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193C3A39" w14:textId="77777777" w:rsidTr="00AD3606">
        <w:trPr>
          <w:cantSplit/>
          <w:trHeight w:val="23"/>
        </w:trPr>
        <w:tc>
          <w:tcPr>
            <w:tcW w:w="3969" w:type="dxa"/>
            <w:vMerge w:val="restart"/>
            <w:tcMar>
              <w:left w:w="0" w:type="dxa"/>
            </w:tcMar>
          </w:tcPr>
          <w:p w14:paraId="18BD85BB"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9C016EC" w14:textId="425DB9FF"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612123">
              <w:rPr>
                <w:b/>
                <w:lang w:val="fr-CH"/>
              </w:rPr>
              <w:t>2</w:t>
            </w:r>
            <w:r w:rsidR="00F66A26">
              <w:rPr>
                <w:b/>
                <w:lang w:val="fr-FR"/>
              </w:rPr>
              <w:t>/</w:t>
            </w:r>
            <w:r w:rsidR="00111F19">
              <w:rPr>
                <w:b/>
                <w:lang w:val="fr-FR"/>
              </w:rPr>
              <w:t>12</w:t>
            </w:r>
          </w:p>
        </w:tc>
      </w:tr>
      <w:tr w:rsidR="00AD3606" w:rsidRPr="00147C54" w14:paraId="36D98C0B" w14:textId="77777777" w:rsidTr="00AD3606">
        <w:trPr>
          <w:cantSplit/>
        </w:trPr>
        <w:tc>
          <w:tcPr>
            <w:tcW w:w="3969" w:type="dxa"/>
            <w:vMerge/>
          </w:tcPr>
          <w:p w14:paraId="3692520F"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662C984" w14:textId="7D6CFAA5" w:rsidR="00AD3606" w:rsidRPr="00147C54" w:rsidRDefault="00111F19" w:rsidP="00AD3606">
            <w:pPr>
              <w:tabs>
                <w:tab w:val="left" w:pos="851"/>
              </w:tabs>
              <w:spacing w:before="0"/>
              <w:jc w:val="right"/>
              <w:rPr>
                <w:b/>
              </w:rPr>
            </w:pPr>
            <w:r>
              <w:rPr>
                <w:b/>
              </w:rPr>
              <w:t>9 February 2025</w:t>
            </w:r>
          </w:p>
        </w:tc>
      </w:tr>
      <w:tr w:rsidR="00AD3606" w:rsidRPr="00147C54" w14:paraId="56A13D2D" w14:textId="77777777" w:rsidTr="00AD3606">
        <w:trPr>
          <w:cantSplit/>
          <w:trHeight w:val="23"/>
        </w:trPr>
        <w:tc>
          <w:tcPr>
            <w:tcW w:w="3969" w:type="dxa"/>
            <w:vMerge/>
          </w:tcPr>
          <w:p w14:paraId="52DE599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71FB64B"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6204AEF" w14:textId="77777777" w:rsidTr="00AD3606">
        <w:trPr>
          <w:cantSplit/>
          <w:trHeight w:val="23"/>
        </w:trPr>
        <w:tc>
          <w:tcPr>
            <w:tcW w:w="3969" w:type="dxa"/>
          </w:tcPr>
          <w:p w14:paraId="02B4D0B3" w14:textId="77777777" w:rsidR="00472BAD" w:rsidRPr="00147C54" w:rsidRDefault="00472BAD" w:rsidP="00AD3606">
            <w:pPr>
              <w:tabs>
                <w:tab w:val="left" w:pos="851"/>
              </w:tabs>
              <w:spacing w:line="240" w:lineRule="atLeast"/>
              <w:rPr>
                <w:b/>
              </w:rPr>
            </w:pPr>
          </w:p>
        </w:tc>
        <w:tc>
          <w:tcPr>
            <w:tcW w:w="5245" w:type="dxa"/>
          </w:tcPr>
          <w:p w14:paraId="6DB72556" w14:textId="77777777" w:rsidR="00472BAD" w:rsidRPr="00147C54" w:rsidRDefault="00472BAD" w:rsidP="00AD3606">
            <w:pPr>
              <w:tabs>
                <w:tab w:val="left" w:pos="851"/>
              </w:tabs>
              <w:spacing w:before="0" w:line="240" w:lineRule="atLeast"/>
              <w:jc w:val="right"/>
              <w:rPr>
                <w:b/>
              </w:rPr>
            </w:pPr>
          </w:p>
        </w:tc>
      </w:tr>
      <w:tr w:rsidR="00AD3606" w:rsidRPr="00147C54" w14:paraId="2D23D470" w14:textId="77777777" w:rsidTr="00AD3606">
        <w:trPr>
          <w:cantSplit/>
        </w:trPr>
        <w:tc>
          <w:tcPr>
            <w:tcW w:w="9214" w:type="dxa"/>
            <w:gridSpan w:val="2"/>
            <w:tcMar>
              <w:left w:w="0" w:type="dxa"/>
            </w:tcMar>
          </w:tcPr>
          <w:p w14:paraId="3FE77297" w14:textId="0940894A" w:rsidR="00AD3606" w:rsidRPr="00147C54" w:rsidRDefault="00006DB2" w:rsidP="00111F19">
            <w:pPr>
              <w:pStyle w:val="Source"/>
              <w:framePr w:hSpace="0" w:wrap="auto" w:vAnchor="margin" w:hAnchor="text" w:xAlign="left" w:yAlign="inline"/>
            </w:pPr>
            <w:bookmarkStart w:id="8" w:name="dsource" w:colFirst="0" w:colLast="0"/>
            <w:bookmarkEnd w:id="7"/>
            <w:r w:rsidRPr="005E413D">
              <w:t xml:space="preserve">Contribution </w:t>
            </w:r>
            <w:r>
              <w:t>by</w:t>
            </w:r>
            <w:r w:rsidRPr="005E413D">
              <w:t xml:space="preserve"> </w:t>
            </w:r>
            <w:r w:rsidR="00EF703F">
              <w:t>Tanzania</w:t>
            </w:r>
            <w:r w:rsidR="00111F19">
              <w:t xml:space="preserve"> (</w:t>
            </w:r>
            <w:r w:rsidR="00111F19">
              <w:t>United Republic of</w:t>
            </w:r>
            <w:r w:rsidR="00111F19">
              <w:t>)</w:t>
            </w:r>
            <w:r w:rsidR="00BA7975">
              <w:t xml:space="preserve">, Kenya </w:t>
            </w:r>
            <w:r w:rsidR="00111F19">
              <w:t xml:space="preserve">(Republic of), </w:t>
            </w:r>
            <w:r w:rsidR="00BA7975">
              <w:t>and Senegal</w:t>
            </w:r>
            <w:r w:rsidR="00111F19">
              <w:t xml:space="preserve"> (Republic of)</w:t>
            </w:r>
          </w:p>
        </w:tc>
      </w:tr>
      <w:tr w:rsidR="00AD3606" w:rsidRPr="00C82FC9" w14:paraId="67F8C45B" w14:textId="77777777" w:rsidTr="00AD3606">
        <w:trPr>
          <w:cantSplit/>
        </w:trPr>
        <w:tc>
          <w:tcPr>
            <w:tcW w:w="9214" w:type="dxa"/>
            <w:gridSpan w:val="2"/>
            <w:tcMar>
              <w:left w:w="0" w:type="dxa"/>
            </w:tcMar>
          </w:tcPr>
          <w:p w14:paraId="52998E66" w14:textId="6CF7BDCD" w:rsidR="00AD3606" w:rsidRPr="00111F19" w:rsidRDefault="00111F19" w:rsidP="00111F19">
            <w:pPr>
              <w:pStyle w:val="CWG-EGName"/>
              <w:jc w:val="left"/>
              <w:rPr>
                <w:b w:val="0"/>
                <w:bCs/>
                <w:sz w:val="32"/>
                <w:szCs w:val="32"/>
              </w:rPr>
            </w:pPr>
            <w:bookmarkStart w:id="9" w:name="dtitle1" w:colFirst="0" w:colLast="0"/>
            <w:bookmarkStart w:id="10" w:name="_Hlk190077607"/>
            <w:bookmarkEnd w:id="8"/>
            <w:r w:rsidRPr="00111F19">
              <w:rPr>
                <w:b w:val="0"/>
                <w:bCs/>
                <w:sz w:val="32"/>
                <w:szCs w:val="32"/>
              </w:rPr>
              <w:t>ANALYSIS OF IMPLICATION OF TRENDS IN THE ICT ENVIRONMENT IN STRATEGIC AND FINANCIAL PLANS DEVELOPMENT</w:t>
            </w:r>
            <w:bookmarkEnd w:id="10"/>
          </w:p>
        </w:tc>
      </w:tr>
      <w:tr w:rsidR="00AD3606" w:rsidRPr="00147C54" w14:paraId="463B7308" w14:textId="77777777" w:rsidTr="00AD3606">
        <w:trPr>
          <w:cantSplit/>
        </w:trPr>
        <w:tc>
          <w:tcPr>
            <w:tcW w:w="9214" w:type="dxa"/>
            <w:gridSpan w:val="2"/>
            <w:tcBorders>
              <w:top w:val="single" w:sz="4" w:space="0" w:color="auto"/>
              <w:bottom w:val="single" w:sz="4" w:space="0" w:color="auto"/>
            </w:tcBorders>
            <w:tcMar>
              <w:left w:w="0" w:type="dxa"/>
            </w:tcMar>
          </w:tcPr>
          <w:p w14:paraId="4D91C713" w14:textId="77777777" w:rsidR="00AD3606" w:rsidRPr="00147C54" w:rsidRDefault="00F16BAB" w:rsidP="00F16BAB">
            <w:pPr>
              <w:spacing w:before="160"/>
              <w:rPr>
                <w:b/>
                <w:bCs/>
                <w:sz w:val="26"/>
                <w:szCs w:val="26"/>
              </w:rPr>
            </w:pPr>
            <w:r w:rsidRPr="00147C54">
              <w:rPr>
                <w:b/>
                <w:bCs/>
                <w:sz w:val="26"/>
                <w:szCs w:val="26"/>
              </w:rPr>
              <w:t>Purpose</w:t>
            </w:r>
          </w:p>
          <w:p w14:paraId="6C8F12F2" w14:textId="77777777" w:rsidR="00AD3606" w:rsidRPr="00147C54" w:rsidRDefault="00C82FC9" w:rsidP="00F16BAB">
            <w:r>
              <w:t>Consider the analysis of implication o</w:t>
            </w:r>
            <w:r w:rsidR="00EF4F5A">
              <w:t>f</w:t>
            </w:r>
            <w:r>
              <w:t xml:space="preserve"> trends in the ICT environment in strategic and financial plans development.</w:t>
            </w:r>
          </w:p>
          <w:p w14:paraId="47D6AF19" w14:textId="77777777" w:rsidR="00AD3606" w:rsidRPr="00147C54" w:rsidRDefault="00AD3606" w:rsidP="00F16BAB">
            <w:pPr>
              <w:spacing w:before="160"/>
              <w:rPr>
                <w:b/>
                <w:bCs/>
                <w:sz w:val="26"/>
                <w:szCs w:val="26"/>
              </w:rPr>
            </w:pPr>
            <w:r w:rsidRPr="00147C54">
              <w:rPr>
                <w:b/>
                <w:bCs/>
                <w:sz w:val="26"/>
                <w:szCs w:val="26"/>
              </w:rPr>
              <w:t>Action required</w:t>
            </w:r>
          </w:p>
          <w:p w14:paraId="12081C30" w14:textId="42786DC6" w:rsidR="00B82C1B" w:rsidRDefault="00006DB2" w:rsidP="00B82C1B">
            <w:pPr>
              <w:spacing w:before="160"/>
            </w:pPr>
            <w:r>
              <w:t>The</w:t>
            </w:r>
            <w:r w:rsidRPr="00273D16">
              <w:t xml:space="preserve"> Council Working Group </w:t>
            </w:r>
            <w:r>
              <w:t xml:space="preserve">for strategic and financial plans 2028-2031 is invited to </w:t>
            </w:r>
            <w:r w:rsidR="00C82FC9" w:rsidRPr="00111F19">
              <w:rPr>
                <w:b/>
                <w:bCs/>
              </w:rPr>
              <w:t>consider</w:t>
            </w:r>
            <w:r w:rsidR="00C82FC9">
              <w:t xml:space="preserve"> th</w:t>
            </w:r>
            <w:r w:rsidR="00111F19">
              <w:t>is</w:t>
            </w:r>
            <w:r w:rsidR="00C82FC9">
              <w:t xml:space="preserve"> document.</w:t>
            </w:r>
          </w:p>
          <w:p w14:paraId="5C2E2990" w14:textId="77777777" w:rsidR="00AD3606" w:rsidRPr="00CD3C91" w:rsidRDefault="00CD3C91" w:rsidP="00CD3C91">
            <w:r>
              <w:t>_______________</w:t>
            </w:r>
          </w:p>
          <w:p w14:paraId="71FD6821" w14:textId="77777777" w:rsidR="00AD3606" w:rsidRPr="00006DB2" w:rsidRDefault="00AD3606" w:rsidP="00663050">
            <w:pPr>
              <w:spacing w:before="160"/>
              <w:rPr>
                <w:sz w:val="26"/>
                <w:szCs w:val="26"/>
              </w:rPr>
            </w:pPr>
            <w:r w:rsidRPr="00147C54">
              <w:rPr>
                <w:b/>
                <w:bCs/>
                <w:sz w:val="26"/>
                <w:szCs w:val="26"/>
              </w:rPr>
              <w:t>References</w:t>
            </w:r>
          </w:p>
          <w:p w14:paraId="2190ACA1" w14:textId="5FB948AA" w:rsidR="00AD3606" w:rsidRPr="00524E9C" w:rsidRDefault="00111F19" w:rsidP="00C11AC5">
            <w:pPr>
              <w:spacing w:after="160"/>
              <w:rPr>
                <w:i/>
                <w:iCs/>
                <w:sz w:val="22"/>
                <w:szCs w:val="22"/>
              </w:rPr>
            </w:pPr>
            <w:hyperlink r:id="rId11" w:history="1">
              <w:r w:rsidR="00C82FC9" w:rsidRPr="00111F19">
                <w:rPr>
                  <w:rStyle w:val="Hyperlink"/>
                  <w:i/>
                  <w:iCs/>
                  <w:sz w:val="22"/>
                  <w:szCs w:val="22"/>
                </w:rPr>
                <w:t>Resolution 71</w:t>
              </w:r>
              <w:r w:rsidR="00C11AC5" w:rsidRPr="00111F19">
                <w:rPr>
                  <w:rStyle w:val="Hyperlink"/>
                  <w:i/>
                  <w:iCs/>
                  <w:sz w:val="22"/>
                  <w:szCs w:val="22"/>
                </w:rPr>
                <w:t xml:space="preserve"> (Rev. Bucharest, 2022)</w:t>
              </w:r>
            </w:hyperlink>
            <w:r w:rsidR="00C11AC5" w:rsidRPr="00C11AC5">
              <w:rPr>
                <w:i/>
                <w:iCs/>
                <w:sz w:val="22"/>
                <w:szCs w:val="22"/>
              </w:rPr>
              <w:t xml:space="preserve"> – Approved strategic plan for the Union for 2024-2027</w:t>
            </w:r>
            <w:r>
              <w:rPr>
                <w:i/>
                <w:iCs/>
                <w:sz w:val="22"/>
                <w:szCs w:val="22"/>
              </w:rPr>
              <w:t>;</w:t>
            </w:r>
            <w:r w:rsidR="009C3665">
              <w:rPr>
                <w:i/>
                <w:iCs/>
                <w:sz w:val="22"/>
                <w:szCs w:val="22"/>
              </w:rPr>
              <w:t xml:space="preserve"> </w:t>
            </w:r>
            <w:hyperlink r:id="rId12" w:history="1">
              <w:r w:rsidR="009C3665" w:rsidRPr="00111F19">
                <w:rPr>
                  <w:rStyle w:val="Hyperlink"/>
                  <w:i/>
                  <w:iCs/>
                  <w:sz w:val="22"/>
                  <w:szCs w:val="22"/>
                </w:rPr>
                <w:t>D</w:t>
              </w:r>
              <w:r w:rsidR="00C11AC5" w:rsidRPr="00111F19">
                <w:rPr>
                  <w:rStyle w:val="Hyperlink"/>
                  <w:i/>
                  <w:iCs/>
                  <w:sz w:val="22"/>
                  <w:szCs w:val="22"/>
                </w:rPr>
                <w:t>ecision</w:t>
              </w:r>
              <w:r w:rsidRPr="00111F19">
                <w:rPr>
                  <w:rStyle w:val="Hyperlink"/>
                  <w:i/>
                  <w:iCs/>
                  <w:sz w:val="22"/>
                  <w:szCs w:val="22"/>
                </w:rPr>
                <w:t> </w:t>
              </w:r>
              <w:r w:rsidR="00C11AC5" w:rsidRPr="00111F19">
                <w:rPr>
                  <w:rStyle w:val="Hyperlink"/>
                  <w:i/>
                  <w:iCs/>
                  <w:sz w:val="22"/>
                  <w:szCs w:val="22"/>
                </w:rPr>
                <w:t>5 (Rev. Bucharest, 2022)</w:t>
              </w:r>
            </w:hyperlink>
            <w:r w:rsidR="00C11AC5" w:rsidRPr="00C11AC5">
              <w:rPr>
                <w:i/>
                <w:iCs/>
                <w:sz w:val="22"/>
                <w:szCs w:val="22"/>
              </w:rPr>
              <w:t xml:space="preserve"> </w:t>
            </w:r>
            <w:r>
              <w:rPr>
                <w:i/>
                <w:iCs/>
                <w:sz w:val="22"/>
                <w:szCs w:val="22"/>
              </w:rPr>
              <w:t>–</w:t>
            </w:r>
            <w:r w:rsidR="00C11AC5" w:rsidRPr="00C11AC5">
              <w:rPr>
                <w:i/>
                <w:iCs/>
                <w:sz w:val="22"/>
                <w:szCs w:val="22"/>
              </w:rPr>
              <w:t xml:space="preserve"> Revenue and expenses for the Union for the period 2024-2027</w:t>
            </w:r>
          </w:p>
        </w:tc>
      </w:tr>
    </w:tbl>
    <w:p w14:paraId="71B8CBE0" w14:textId="72F2D596" w:rsidR="00111F19" w:rsidRDefault="00111F19">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p w14:paraId="68F8DD44" w14:textId="77777777" w:rsidR="00111F19" w:rsidRDefault="00111F19">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p w14:paraId="145990EA" w14:textId="77777777" w:rsidR="00C82FC9" w:rsidRPr="00EF703F" w:rsidRDefault="00C82FC9" w:rsidP="00B200B3">
      <w:pPr>
        <w:pStyle w:val="ListParagraph"/>
        <w:numPr>
          <w:ilvl w:val="0"/>
          <w:numId w:val="13"/>
        </w:numPr>
        <w:spacing w:before="120" w:after="120" w:line="240" w:lineRule="auto"/>
        <w:ind w:left="0" w:firstLine="0"/>
        <w:contextualSpacing w:val="0"/>
        <w:rPr>
          <w:rFonts w:ascii="Arial" w:hAnsi="Arial" w:cs="Arial"/>
          <w:b/>
          <w:szCs w:val="24"/>
        </w:rPr>
      </w:pPr>
      <w:r w:rsidRPr="00EF703F">
        <w:rPr>
          <w:rFonts w:ascii="Arial" w:hAnsi="Arial" w:cs="Arial"/>
          <w:b/>
          <w:szCs w:val="24"/>
        </w:rPr>
        <w:lastRenderedPageBreak/>
        <w:t>Introduction</w:t>
      </w:r>
    </w:p>
    <w:p w14:paraId="4B191AC7" w14:textId="77777777" w:rsidR="00EF4F5A" w:rsidRPr="00147C54" w:rsidRDefault="00C82FC9" w:rsidP="00733426">
      <w:pPr>
        <w:spacing w:after="120"/>
        <w:jc w:val="both"/>
      </w:pPr>
      <w:r>
        <w:t xml:space="preserve">This contribution tries to put forward non exhaustive analysis on key </w:t>
      </w:r>
      <w:r w:rsidR="00EF4F5A">
        <w:t>of implication of trends in the ICT environment in strategic and financial plans development.</w:t>
      </w:r>
    </w:p>
    <w:p w14:paraId="3443ED0D" w14:textId="2E4D6A9F" w:rsidR="00C82FC9" w:rsidRDefault="00EF4F5A" w:rsidP="00733426">
      <w:pPr>
        <w:tabs>
          <w:tab w:val="clear" w:pos="567"/>
          <w:tab w:val="clear" w:pos="1134"/>
          <w:tab w:val="clear" w:pos="1701"/>
          <w:tab w:val="clear" w:pos="2268"/>
          <w:tab w:val="clear" w:pos="2835"/>
        </w:tabs>
        <w:overflowPunct/>
        <w:autoSpaceDE/>
        <w:autoSpaceDN/>
        <w:adjustRightInd/>
        <w:spacing w:after="120"/>
        <w:jc w:val="both"/>
        <w:textAlignment w:val="auto"/>
      </w:pPr>
      <w:r>
        <w:t>This exercise is very important as the CWG SFP moves forward with the elaboration of the strategic and financial plans.</w:t>
      </w:r>
    </w:p>
    <w:bookmarkEnd w:id="5"/>
    <w:bookmarkEnd w:id="11"/>
    <w:p w14:paraId="2CE9D30E" w14:textId="4E671674" w:rsidR="00EF703F" w:rsidRDefault="00EF703F" w:rsidP="00733426">
      <w:pPr>
        <w:pStyle w:val="ListParagraph"/>
        <w:numPr>
          <w:ilvl w:val="0"/>
          <w:numId w:val="13"/>
        </w:numPr>
        <w:spacing w:before="480" w:after="120" w:line="240" w:lineRule="auto"/>
        <w:ind w:left="0" w:firstLine="0"/>
        <w:contextualSpacing w:val="0"/>
        <w:rPr>
          <w:rFonts w:cstheme="minorHAnsi"/>
          <w:b/>
          <w:sz w:val="24"/>
          <w:szCs w:val="24"/>
        </w:rPr>
      </w:pPr>
      <w:r>
        <w:rPr>
          <w:rFonts w:cstheme="minorHAnsi"/>
          <w:b/>
          <w:sz w:val="24"/>
          <w:szCs w:val="24"/>
        </w:rPr>
        <w:t>Discussion</w:t>
      </w:r>
    </w:p>
    <w:p w14:paraId="7874EFF0" w14:textId="13EEF9D1" w:rsidR="00C82FC9" w:rsidRDefault="00C82FC9" w:rsidP="00867DA8">
      <w:pPr>
        <w:pStyle w:val="ListParagraph"/>
        <w:numPr>
          <w:ilvl w:val="1"/>
          <w:numId w:val="13"/>
        </w:numPr>
        <w:spacing w:before="240" w:after="120" w:line="240" w:lineRule="auto"/>
        <w:ind w:left="0" w:firstLine="0"/>
        <w:contextualSpacing w:val="0"/>
        <w:rPr>
          <w:rFonts w:cstheme="minorHAnsi"/>
          <w:b/>
          <w:sz w:val="24"/>
          <w:szCs w:val="24"/>
        </w:rPr>
      </w:pPr>
      <w:r w:rsidRPr="00EF4F5A">
        <w:rPr>
          <w:rFonts w:cstheme="minorHAnsi"/>
          <w:b/>
          <w:sz w:val="24"/>
          <w:szCs w:val="24"/>
        </w:rPr>
        <w:t>External trends to the Union (Opportunities and threats for the Union)</w:t>
      </w:r>
    </w:p>
    <w:p w14:paraId="7B75DD31" w14:textId="77777777" w:rsidR="00C82FC9" w:rsidRPr="00EF4F5A" w:rsidRDefault="00C82FC9" w:rsidP="00733426">
      <w:pPr>
        <w:pStyle w:val="ListParagraph"/>
        <w:numPr>
          <w:ilvl w:val="2"/>
          <w:numId w:val="13"/>
        </w:numPr>
        <w:spacing w:before="120" w:after="120" w:line="240" w:lineRule="auto"/>
        <w:ind w:left="1560" w:hanging="851"/>
        <w:contextualSpacing w:val="0"/>
        <w:rPr>
          <w:rFonts w:cstheme="minorHAnsi"/>
          <w:b/>
          <w:sz w:val="24"/>
          <w:szCs w:val="24"/>
        </w:rPr>
      </w:pPr>
      <w:r w:rsidRPr="00EF4F5A">
        <w:rPr>
          <w:rFonts w:cstheme="minorHAnsi"/>
          <w:b/>
          <w:sz w:val="24"/>
          <w:szCs w:val="24"/>
        </w:rPr>
        <w:t>ICT Environment</w:t>
      </w:r>
    </w:p>
    <w:p w14:paraId="4A40770C" w14:textId="77777777" w:rsidR="00C82FC9" w:rsidRDefault="00C82FC9" w:rsidP="00733426">
      <w:pPr>
        <w:pStyle w:val="ListParagraph"/>
        <w:spacing w:before="120" w:after="120" w:line="240" w:lineRule="auto"/>
        <w:ind w:left="0"/>
        <w:contextualSpacing w:val="0"/>
        <w:jc w:val="both"/>
        <w:rPr>
          <w:rFonts w:cstheme="minorHAnsi"/>
          <w:sz w:val="24"/>
          <w:szCs w:val="24"/>
        </w:rPr>
      </w:pPr>
      <w:r w:rsidRPr="00EF4F5A">
        <w:rPr>
          <w:rFonts w:cstheme="minorHAnsi"/>
          <w:sz w:val="24"/>
          <w:szCs w:val="24"/>
        </w:rPr>
        <w:t>ITU operates in a fast-changing environment and faces competition, especially from the private sector, in several domains of its core activities</w:t>
      </w:r>
      <w:r w:rsidR="00CA59A1">
        <w:rPr>
          <w:rFonts w:cstheme="minorHAnsi"/>
          <w:sz w:val="24"/>
          <w:szCs w:val="24"/>
        </w:rPr>
        <w:t xml:space="preserve">. </w:t>
      </w:r>
      <w:r w:rsidRPr="00CA59A1">
        <w:rPr>
          <w:rFonts w:cstheme="minorHAnsi"/>
          <w:sz w:val="24"/>
          <w:szCs w:val="24"/>
        </w:rPr>
        <w:t>With regard to the industry, new business models have emerged for digital service providers, and increased competition is being observed, reducing margins of telecommunication revenues. This brings into question the types of regulations required, contrasting the regulatory environment for online services with the environment for traditional telecommunication services.</w:t>
      </w:r>
    </w:p>
    <w:p w14:paraId="4AE7A32A" w14:textId="77777777" w:rsidR="00CA59A1" w:rsidRDefault="00C82FC9" w:rsidP="00733426">
      <w:pPr>
        <w:pStyle w:val="ListParagraph"/>
        <w:spacing w:before="120" w:after="120" w:line="240" w:lineRule="auto"/>
        <w:ind w:left="0"/>
        <w:contextualSpacing w:val="0"/>
        <w:jc w:val="both"/>
        <w:rPr>
          <w:rFonts w:cstheme="minorHAnsi"/>
          <w:color w:val="0D0D0D"/>
          <w:sz w:val="24"/>
          <w:szCs w:val="24"/>
          <w:shd w:val="clear" w:color="auto" w:fill="FFFFFF"/>
        </w:rPr>
      </w:pPr>
      <w:r w:rsidRPr="00EF4F5A">
        <w:rPr>
          <w:rFonts w:cstheme="minorHAnsi"/>
          <w:sz w:val="24"/>
          <w:szCs w:val="24"/>
        </w:rPr>
        <w:t xml:space="preserve">On the other hand, the digital divides still exist, posing threats for the Union in achieving its objectives. At least one-third of the world’s population is still offline (By the end of 2023, approximately 67 per cent of the world's population, or 5.4 billion people, were online; Despite progress, only 27 per cent of the population in low-income countries used the Internet in 2023, highlighting persistent challenges in bridging the digital divide). </w:t>
      </w:r>
      <w:r w:rsidRPr="00EF4F5A">
        <w:rPr>
          <w:rFonts w:cstheme="minorHAnsi"/>
          <w:color w:val="0D0D0D"/>
          <w:sz w:val="24"/>
          <w:szCs w:val="24"/>
          <w:shd w:val="clear" w:color="auto" w:fill="FFFFFF"/>
        </w:rPr>
        <w:t xml:space="preserve">In low-income countries, Internet usage rose to 27 per cent in 2023 from 24 per cent in 2022, with 37 per cent of Africa's population online, </w:t>
      </w:r>
      <w:r w:rsidRPr="00E92CB4">
        <w:rPr>
          <w:rFonts w:cstheme="minorHAnsi"/>
          <w:color w:val="0D0D0D"/>
          <w:sz w:val="24"/>
          <w:szCs w:val="24"/>
          <w:shd w:val="clear" w:color="auto" w:fill="FFFFFF"/>
        </w:rPr>
        <w:t>indicating regional disparities</w:t>
      </w:r>
      <w:r w:rsidRPr="00EF4F5A">
        <w:rPr>
          <w:rFonts w:cstheme="minorHAnsi"/>
          <w:color w:val="0D0D0D"/>
          <w:sz w:val="24"/>
          <w:szCs w:val="24"/>
          <w:shd w:val="clear" w:color="auto" w:fill="FFFFFF"/>
        </w:rPr>
        <w:t xml:space="preserve">. Affordability remains a challenge, especially in low-income economies. Globally, men are 5 per cent more likely to use the Internet than women, with </w:t>
      </w:r>
      <w:r w:rsidRPr="00E92CB4">
        <w:rPr>
          <w:rFonts w:cstheme="minorHAnsi"/>
          <w:color w:val="0D0D0D"/>
          <w:sz w:val="24"/>
          <w:szCs w:val="24"/>
          <w:shd w:val="clear" w:color="auto" w:fill="FFFFFF"/>
        </w:rPr>
        <w:t>more pronounced disparities in Africa and least-developed countries.</w:t>
      </w:r>
      <w:r w:rsidR="00235512" w:rsidRPr="00235512">
        <w:t xml:space="preserve"> </w:t>
      </w:r>
      <w:r w:rsidR="00235512" w:rsidRPr="00235512">
        <w:rPr>
          <w:rFonts w:cstheme="minorHAnsi"/>
          <w:color w:val="0D0D0D"/>
          <w:sz w:val="24"/>
          <w:szCs w:val="24"/>
          <w:shd w:val="clear" w:color="auto" w:fill="FFFFFF"/>
        </w:rPr>
        <w:t>: Broadband coverage is increasing but penetration remains low in many areas, limiting access to high-speed internet essential for economic growth and social development.</w:t>
      </w:r>
    </w:p>
    <w:p w14:paraId="36D052BD" w14:textId="77777777" w:rsidR="005753F3" w:rsidRDefault="00CA59A1" w:rsidP="00733426">
      <w:pPr>
        <w:pStyle w:val="ListParagraph"/>
        <w:spacing w:before="120" w:after="120" w:line="240" w:lineRule="auto"/>
        <w:ind w:left="0"/>
        <w:contextualSpacing w:val="0"/>
        <w:jc w:val="both"/>
        <w:rPr>
          <w:rFonts w:cstheme="minorHAnsi"/>
          <w:sz w:val="24"/>
          <w:szCs w:val="24"/>
        </w:rPr>
      </w:pPr>
      <w:r>
        <w:rPr>
          <w:rFonts w:cstheme="minorHAnsi"/>
          <w:sz w:val="24"/>
          <w:szCs w:val="24"/>
        </w:rPr>
        <w:t>T</w:t>
      </w:r>
      <w:r w:rsidR="00C82FC9" w:rsidRPr="00CA59A1">
        <w:rPr>
          <w:rFonts w:cstheme="minorHAnsi"/>
          <w:sz w:val="24"/>
          <w:szCs w:val="24"/>
        </w:rPr>
        <w:t xml:space="preserve">he rapid growth of ICTs and the increasingly digital world, create particular challenges and increasing concerns that the Union may support, within the mandate given by the membership: the environmental impact of increasing networks and devices connected; issues such as cyber-security, online privacy, and consumer protection; the impact on jobs; on growing inequalities; but </w:t>
      </w:r>
      <w:proofErr w:type="gramStart"/>
      <w:r w:rsidR="00C82FC9" w:rsidRPr="00CA59A1">
        <w:rPr>
          <w:rFonts w:cstheme="minorHAnsi"/>
          <w:sz w:val="24"/>
          <w:szCs w:val="24"/>
        </w:rPr>
        <w:t>also</w:t>
      </w:r>
      <w:proofErr w:type="gramEnd"/>
      <w:r w:rsidR="00C82FC9" w:rsidRPr="00CA59A1">
        <w:rPr>
          <w:rFonts w:cstheme="minorHAnsi"/>
          <w:sz w:val="24"/>
          <w:szCs w:val="24"/>
        </w:rPr>
        <w:t xml:space="preserve"> the ethical dimensions of the use of new digital technologies such as AI. Also, Challenges persist, particularly in bridging the digital gender gap and addressing e-waste and greenhouse gas emissions. In particular, ITU’s work could contribute in addressing rising energy consumption, greenhouse gas (GHG) emissions, and e-waste generation through the application of an environmental lens across its work. </w:t>
      </w:r>
    </w:p>
    <w:p w14:paraId="1B274D9F" w14:textId="77777777" w:rsidR="009C4314" w:rsidRPr="009C4314" w:rsidRDefault="009C4314" w:rsidP="00D57EA9">
      <w:pPr>
        <w:pStyle w:val="ListParagraph"/>
        <w:spacing w:before="240" w:after="120" w:line="240" w:lineRule="auto"/>
        <w:ind w:left="0"/>
        <w:contextualSpacing w:val="0"/>
        <w:jc w:val="both"/>
        <w:rPr>
          <w:rFonts w:cstheme="minorHAnsi"/>
          <w:sz w:val="24"/>
          <w:szCs w:val="24"/>
        </w:rPr>
      </w:pPr>
      <w:r>
        <w:rPr>
          <w:rFonts w:cstheme="minorHAnsi"/>
          <w:sz w:val="24"/>
          <w:szCs w:val="24"/>
        </w:rPr>
        <w:t>Therefore, It is necessary for ITU to</w:t>
      </w:r>
      <w:r w:rsidRPr="009C4314">
        <w:rPr>
          <w:rFonts w:cstheme="minorHAnsi"/>
          <w:sz w:val="24"/>
          <w:szCs w:val="24"/>
        </w:rPr>
        <w:t xml:space="preserve"> guide and support member states in navigating the data revolution, ensuring ethical and responsible use of data and AI for sustainable development.</w:t>
      </w:r>
    </w:p>
    <w:p w14:paraId="2D7DE5CC" w14:textId="77777777" w:rsidR="009C4314" w:rsidRPr="009C4314" w:rsidRDefault="009C4314" w:rsidP="00733426">
      <w:pPr>
        <w:pStyle w:val="ListParagraph"/>
        <w:numPr>
          <w:ilvl w:val="0"/>
          <w:numId w:val="20"/>
        </w:numPr>
        <w:spacing w:before="120" w:after="120" w:line="240" w:lineRule="auto"/>
        <w:ind w:left="1276" w:hanging="567"/>
        <w:contextualSpacing w:val="0"/>
        <w:jc w:val="both"/>
        <w:rPr>
          <w:rFonts w:cstheme="minorHAnsi"/>
          <w:sz w:val="24"/>
          <w:szCs w:val="24"/>
        </w:rPr>
      </w:pPr>
      <w:r w:rsidRPr="009C4314">
        <w:rPr>
          <w:rFonts w:cstheme="minorHAnsi"/>
          <w:b/>
          <w:sz w:val="24"/>
          <w:szCs w:val="24"/>
        </w:rPr>
        <w:t>Data Growth</w:t>
      </w:r>
      <w:r w:rsidRPr="009C4314">
        <w:rPr>
          <w:rFonts w:cstheme="minorHAnsi"/>
          <w:sz w:val="24"/>
          <w:szCs w:val="24"/>
        </w:rPr>
        <w:t>: The global data volume is exploding, driven by IoT, 5G, and the increasing reliance on digital services.</w:t>
      </w:r>
    </w:p>
    <w:p w14:paraId="51E59036" w14:textId="77777777" w:rsidR="009C4314" w:rsidRPr="009C4314" w:rsidRDefault="009C4314" w:rsidP="00733426">
      <w:pPr>
        <w:pStyle w:val="ListParagraph"/>
        <w:numPr>
          <w:ilvl w:val="0"/>
          <w:numId w:val="20"/>
        </w:numPr>
        <w:spacing w:before="120" w:after="120" w:line="240" w:lineRule="auto"/>
        <w:ind w:left="1276" w:hanging="567"/>
        <w:contextualSpacing w:val="0"/>
        <w:jc w:val="both"/>
        <w:rPr>
          <w:rFonts w:cstheme="minorHAnsi"/>
          <w:sz w:val="24"/>
          <w:szCs w:val="24"/>
        </w:rPr>
      </w:pPr>
      <w:r w:rsidRPr="009C4314">
        <w:rPr>
          <w:rFonts w:cstheme="minorHAnsi"/>
          <w:b/>
          <w:sz w:val="24"/>
          <w:szCs w:val="24"/>
        </w:rPr>
        <w:t>AI Impact:</w:t>
      </w:r>
      <w:r w:rsidRPr="009C4314">
        <w:rPr>
          <w:rFonts w:cstheme="minorHAnsi"/>
          <w:sz w:val="24"/>
          <w:szCs w:val="24"/>
        </w:rPr>
        <w:t xml:space="preserve"> AI is transforming various sectors, from healthcare and education to finance and transportation, offering significant opportunities for economic growth and social progress.</w:t>
      </w:r>
    </w:p>
    <w:p w14:paraId="6EDA3DEF" w14:textId="77777777" w:rsidR="009C4314" w:rsidRPr="009C4314" w:rsidRDefault="009C4314" w:rsidP="00733426">
      <w:pPr>
        <w:pStyle w:val="ListParagraph"/>
        <w:numPr>
          <w:ilvl w:val="0"/>
          <w:numId w:val="20"/>
        </w:numPr>
        <w:spacing w:before="120" w:after="120" w:line="240" w:lineRule="auto"/>
        <w:ind w:left="1276" w:hanging="567"/>
        <w:contextualSpacing w:val="0"/>
        <w:jc w:val="both"/>
        <w:rPr>
          <w:rFonts w:cstheme="minorHAnsi"/>
          <w:sz w:val="24"/>
          <w:szCs w:val="24"/>
        </w:rPr>
      </w:pPr>
      <w:r w:rsidRPr="009C4314">
        <w:rPr>
          <w:rFonts w:cstheme="minorHAnsi"/>
          <w:b/>
          <w:sz w:val="24"/>
          <w:szCs w:val="24"/>
        </w:rPr>
        <w:lastRenderedPageBreak/>
        <w:t>Ethical Considerations:</w:t>
      </w:r>
      <w:r w:rsidRPr="009C4314">
        <w:rPr>
          <w:rFonts w:cstheme="minorHAnsi"/>
          <w:sz w:val="24"/>
          <w:szCs w:val="24"/>
        </w:rPr>
        <w:t xml:space="preserve"> Concerns around data privacy, security, and algorithmic bias are paramount. The ITU can play a vital role in guiding standards and best practices for ethical AI development and deployment.</w:t>
      </w:r>
    </w:p>
    <w:p w14:paraId="61E2E1F3" w14:textId="77777777" w:rsidR="007B0E3D" w:rsidRPr="007B0E3D" w:rsidRDefault="007B0E3D" w:rsidP="00867DA8">
      <w:pPr>
        <w:pStyle w:val="ListParagraph"/>
        <w:spacing w:before="240" w:after="120" w:line="240" w:lineRule="auto"/>
        <w:ind w:left="0"/>
        <w:contextualSpacing w:val="0"/>
        <w:jc w:val="both"/>
        <w:rPr>
          <w:rFonts w:ascii="Calibri" w:hAnsi="Calibri" w:cstheme="minorHAnsi"/>
          <w:sz w:val="24"/>
          <w:szCs w:val="24"/>
          <w:lang w:val="en-GB"/>
        </w:rPr>
      </w:pPr>
      <w:r w:rsidRPr="007B0E3D">
        <w:rPr>
          <w:rFonts w:cstheme="minorHAnsi"/>
          <w:sz w:val="24"/>
          <w:szCs w:val="24"/>
        </w:rPr>
        <w:t>In</w:t>
      </w:r>
      <w:r w:rsidRPr="007B0E3D">
        <w:rPr>
          <w:rFonts w:ascii="Calibri" w:hAnsi="Calibri" w:cstheme="minorHAnsi"/>
          <w:sz w:val="24"/>
          <w:szCs w:val="24"/>
          <w:lang w:val="en-GB"/>
        </w:rPr>
        <w:t xml:space="preserve"> addition, ITU can contribute significantly to the development of smart cities and communities, the global IoT market is projected to grow significantly in the coming years, with applications ranging from smart homes and buildings to smart grids and transportation systems</w:t>
      </w:r>
    </w:p>
    <w:p w14:paraId="08B8B1C5" w14:textId="77777777" w:rsidR="007B0E3D" w:rsidRPr="007B0E3D" w:rsidRDefault="007B0E3D" w:rsidP="00733426">
      <w:pPr>
        <w:pStyle w:val="ListParagraph"/>
        <w:numPr>
          <w:ilvl w:val="0"/>
          <w:numId w:val="20"/>
        </w:numPr>
        <w:spacing w:before="120" w:after="120" w:line="240" w:lineRule="auto"/>
        <w:ind w:left="1276" w:hanging="567"/>
        <w:contextualSpacing w:val="0"/>
        <w:jc w:val="both"/>
        <w:rPr>
          <w:rFonts w:cstheme="minorHAnsi"/>
          <w:sz w:val="24"/>
          <w:szCs w:val="24"/>
        </w:rPr>
      </w:pPr>
      <w:r w:rsidRPr="007B0E3D">
        <w:rPr>
          <w:rFonts w:cstheme="minorHAnsi"/>
          <w:b/>
          <w:sz w:val="24"/>
          <w:szCs w:val="24"/>
        </w:rPr>
        <w:t xml:space="preserve">Promoting interoperability: </w:t>
      </w:r>
      <w:r w:rsidRPr="007B0E3D">
        <w:rPr>
          <w:rFonts w:cstheme="minorHAnsi"/>
          <w:sz w:val="24"/>
          <w:szCs w:val="24"/>
        </w:rPr>
        <w:t>Establishing standards for IoT devices and communication protocols to ensure seamless integration and data exchange.</w:t>
      </w:r>
    </w:p>
    <w:p w14:paraId="308881EC" w14:textId="77777777" w:rsidR="007B0E3D" w:rsidRPr="007B0E3D" w:rsidRDefault="007B0E3D" w:rsidP="00733426">
      <w:pPr>
        <w:pStyle w:val="ListParagraph"/>
        <w:numPr>
          <w:ilvl w:val="0"/>
          <w:numId w:val="20"/>
        </w:numPr>
        <w:spacing w:before="120" w:after="120" w:line="240" w:lineRule="auto"/>
        <w:ind w:left="1276" w:hanging="567"/>
        <w:contextualSpacing w:val="0"/>
        <w:jc w:val="both"/>
        <w:rPr>
          <w:rFonts w:cstheme="minorHAnsi"/>
          <w:b/>
          <w:sz w:val="24"/>
          <w:szCs w:val="24"/>
        </w:rPr>
      </w:pPr>
      <w:r w:rsidRPr="007B0E3D">
        <w:rPr>
          <w:rFonts w:cstheme="minorHAnsi"/>
          <w:b/>
          <w:sz w:val="24"/>
          <w:szCs w:val="24"/>
        </w:rPr>
        <w:t xml:space="preserve">Fostering innovation: </w:t>
      </w:r>
      <w:r w:rsidRPr="007B0E3D">
        <w:rPr>
          <w:rFonts w:cstheme="minorHAnsi"/>
          <w:sz w:val="24"/>
          <w:szCs w:val="24"/>
        </w:rPr>
        <w:t>Supporting research and development in areas like 5G, edge computing, and AI/ML for smart city applications.</w:t>
      </w:r>
    </w:p>
    <w:p w14:paraId="7FED0CC7" w14:textId="77777777" w:rsidR="007B0E3D" w:rsidRPr="007B0E3D" w:rsidRDefault="007B0E3D" w:rsidP="00733426">
      <w:pPr>
        <w:pStyle w:val="ListParagraph"/>
        <w:numPr>
          <w:ilvl w:val="0"/>
          <w:numId w:val="20"/>
        </w:numPr>
        <w:spacing w:before="120" w:after="120" w:line="240" w:lineRule="auto"/>
        <w:ind w:left="1276" w:hanging="567"/>
        <w:contextualSpacing w:val="0"/>
        <w:jc w:val="both"/>
        <w:rPr>
          <w:rFonts w:cstheme="minorHAnsi"/>
          <w:sz w:val="24"/>
          <w:szCs w:val="24"/>
        </w:rPr>
      </w:pPr>
      <w:r w:rsidRPr="007B0E3D">
        <w:rPr>
          <w:rFonts w:cstheme="minorHAnsi"/>
          <w:b/>
          <w:sz w:val="24"/>
          <w:szCs w:val="24"/>
        </w:rPr>
        <w:t xml:space="preserve">Addressing sustainability: </w:t>
      </w:r>
      <w:r w:rsidRPr="007B0E3D">
        <w:rPr>
          <w:rFonts w:cstheme="minorHAnsi"/>
          <w:sz w:val="24"/>
          <w:szCs w:val="24"/>
        </w:rPr>
        <w:t>Promoting the use of ICTs to improve energy efficiency, reduce environmental impact, and enhance urban resilience.</w:t>
      </w:r>
    </w:p>
    <w:p w14:paraId="44102A86" w14:textId="77777777" w:rsidR="005753F3" w:rsidRPr="005753F3" w:rsidRDefault="005753F3" w:rsidP="00867DA8">
      <w:pPr>
        <w:tabs>
          <w:tab w:val="clear" w:pos="567"/>
          <w:tab w:val="clear" w:pos="1134"/>
          <w:tab w:val="clear" w:pos="1701"/>
          <w:tab w:val="clear" w:pos="2268"/>
          <w:tab w:val="clear" w:pos="2835"/>
        </w:tabs>
        <w:spacing w:before="240" w:after="120"/>
        <w:jc w:val="both"/>
        <w:rPr>
          <w:rFonts w:cstheme="minorHAnsi"/>
          <w:szCs w:val="24"/>
        </w:rPr>
      </w:pPr>
      <w:r w:rsidRPr="005753F3">
        <w:rPr>
          <w:rFonts w:cstheme="minorHAnsi"/>
          <w:szCs w:val="24"/>
        </w:rPr>
        <w:t>Thus, the draft strategic plan should address key trends shaping the ICT landscape by focusing on bridging the digital divide, harnessing the power of data and AI and innovation.  In this way, the ITU can play a crucial role in driving inclusive and equitable digital transformation.</w:t>
      </w:r>
    </w:p>
    <w:p w14:paraId="100FA521" w14:textId="77777777" w:rsidR="005753F3" w:rsidRPr="005753F3" w:rsidRDefault="005753F3" w:rsidP="00D57EA9">
      <w:pPr>
        <w:pStyle w:val="NormalWeb"/>
        <w:numPr>
          <w:ilvl w:val="0"/>
          <w:numId w:val="16"/>
        </w:numPr>
        <w:spacing w:before="120" w:beforeAutospacing="0" w:after="120" w:afterAutospacing="0"/>
        <w:ind w:left="709" w:hanging="709"/>
        <w:jc w:val="both"/>
        <w:textAlignment w:val="baseline"/>
        <w:rPr>
          <w:rFonts w:asciiTheme="minorHAnsi" w:hAnsiTheme="minorHAnsi" w:cstheme="minorHAnsi"/>
          <w:color w:val="000000"/>
        </w:rPr>
      </w:pPr>
      <w:r w:rsidRPr="005753F3">
        <w:rPr>
          <w:rFonts w:asciiTheme="minorHAnsi" w:hAnsiTheme="minorHAnsi" w:cstheme="minorHAnsi"/>
          <w:b/>
          <w:bCs/>
          <w:color w:val="000000"/>
        </w:rPr>
        <w:t>Digital Inclusion:</w:t>
      </w:r>
      <w:r w:rsidRPr="005753F3">
        <w:rPr>
          <w:rFonts w:asciiTheme="minorHAnsi" w:hAnsiTheme="minorHAnsi" w:cstheme="minorHAnsi"/>
          <w:color w:val="000000"/>
        </w:rPr>
        <w:t xml:space="preserve"> The plan should prioritize initiatives to address the digital divide, ensuring that all segments of society, including women, youth, the aged, and people with disabilities, have access to and benefit from ICTs.</w:t>
      </w:r>
    </w:p>
    <w:p w14:paraId="52EB673B" w14:textId="77777777" w:rsidR="005753F3" w:rsidRPr="005753F3" w:rsidRDefault="005753F3" w:rsidP="00D57EA9">
      <w:pPr>
        <w:pStyle w:val="NormalWeb"/>
        <w:numPr>
          <w:ilvl w:val="0"/>
          <w:numId w:val="16"/>
        </w:numPr>
        <w:spacing w:before="120" w:beforeAutospacing="0" w:after="120" w:afterAutospacing="0"/>
        <w:ind w:left="709" w:hanging="709"/>
        <w:jc w:val="both"/>
        <w:textAlignment w:val="baseline"/>
        <w:rPr>
          <w:rFonts w:asciiTheme="minorHAnsi" w:hAnsiTheme="minorHAnsi" w:cstheme="minorHAnsi"/>
          <w:color w:val="000000"/>
        </w:rPr>
      </w:pPr>
      <w:r w:rsidRPr="005753F3">
        <w:rPr>
          <w:rFonts w:asciiTheme="minorHAnsi" w:hAnsiTheme="minorHAnsi" w:cstheme="minorHAnsi"/>
          <w:b/>
          <w:bCs/>
          <w:color w:val="000000"/>
        </w:rPr>
        <w:t>Cybersecurity:</w:t>
      </w:r>
      <w:r w:rsidRPr="005753F3">
        <w:rPr>
          <w:rFonts w:asciiTheme="minorHAnsi" w:hAnsiTheme="minorHAnsi" w:cstheme="minorHAnsi"/>
          <w:color w:val="000000"/>
        </w:rPr>
        <w:t xml:space="preserve"> With the increasing interconnectedness of systems, cybersecurity is paramount. The ITU should strengthen its efforts to promote cybersecurity best practices and build cyber resilience globally.</w:t>
      </w:r>
    </w:p>
    <w:p w14:paraId="68AA8046" w14:textId="77777777" w:rsidR="005753F3" w:rsidRPr="005753F3" w:rsidRDefault="005753F3" w:rsidP="00D57EA9">
      <w:pPr>
        <w:pStyle w:val="NormalWeb"/>
        <w:numPr>
          <w:ilvl w:val="0"/>
          <w:numId w:val="16"/>
        </w:numPr>
        <w:spacing w:before="120" w:beforeAutospacing="0" w:after="120" w:afterAutospacing="0"/>
        <w:ind w:left="709" w:hanging="709"/>
        <w:jc w:val="both"/>
        <w:textAlignment w:val="baseline"/>
        <w:rPr>
          <w:rFonts w:asciiTheme="minorHAnsi" w:hAnsiTheme="minorHAnsi" w:cstheme="minorHAnsi"/>
          <w:color w:val="000000"/>
        </w:rPr>
      </w:pPr>
      <w:r w:rsidRPr="005753F3">
        <w:rPr>
          <w:rFonts w:asciiTheme="minorHAnsi" w:hAnsiTheme="minorHAnsi" w:cstheme="minorHAnsi"/>
          <w:b/>
          <w:bCs/>
          <w:color w:val="000000"/>
        </w:rPr>
        <w:t>Sustainability:</w:t>
      </w:r>
      <w:r w:rsidRPr="005753F3">
        <w:rPr>
          <w:rFonts w:asciiTheme="minorHAnsi" w:hAnsiTheme="minorHAnsi" w:cstheme="minorHAnsi"/>
          <w:color w:val="000000"/>
        </w:rPr>
        <w:t xml:space="preserve"> The environmental impact of ICTs should be carefully considered. The plan should promote the development of energy-efficient technologies and sustainable ICT infrastructure.</w:t>
      </w:r>
    </w:p>
    <w:p w14:paraId="6F8DE715" w14:textId="77777777" w:rsidR="00C82FC9" w:rsidRDefault="00C82FC9" w:rsidP="00D57EA9">
      <w:pPr>
        <w:pStyle w:val="ListParagraph"/>
        <w:numPr>
          <w:ilvl w:val="2"/>
          <w:numId w:val="13"/>
        </w:numPr>
        <w:spacing w:before="360" w:after="120" w:line="240" w:lineRule="auto"/>
        <w:ind w:left="1560" w:hanging="851"/>
        <w:contextualSpacing w:val="0"/>
        <w:rPr>
          <w:rFonts w:cstheme="minorHAnsi"/>
          <w:b/>
          <w:sz w:val="24"/>
          <w:szCs w:val="24"/>
        </w:rPr>
      </w:pPr>
      <w:r w:rsidRPr="00EF4F5A">
        <w:rPr>
          <w:rFonts w:cstheme="minorHAnsi"/>
          <w:b/>
          <w:sz w:val="24"/>
          <w:szCs w:val="24"/>
        </w:rPr>
        <w:t>ICT Developments at the UN System</w:t>
      </w:r>
    </w:p>
    <w:p w14:paraId="093584DA" w14:textId="77777777" w:rsidR="00C82FC9" w:rsidRPr="00EF4F5A" w:rsidRDefault="00C82FC9" w:rsidP="00733426">
      <w:pPr>
        <w:pStyle w:val="ListParagraph"/>
        <w:spacing w:before="120" w:after="120" w:line="240" w:lineRule="auto"/>
        <w:ind w:left="0"/>
        <w:contextualSpacing w:val="0"/>
        <w:jc w:val="both"/>
        <w:rPr>
          <w:rFonts w:cstheme="minorHAnsi"/>
          <w:b/>
          <w:bCs/>
          <w:sz w:val="24"/>
          <w:szCs w:val="24"/>
        </w:rPr>
      </w:pPr>
      <w:r w:rsidRPr="00EF4F5A">
        <w:rPr>
          <w:rFonts w:cstheme="minorHAnsi"/>
          <w:sz w:val="24"/>
          <w:szCs w:val="24"/>
        </w:rPr>
        <w:t xml:space="preserve">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digital technologies in the UN General Assembly and other UN entities has grown, while many UN entities have launched digital transformation strategies and initiatives for their programmes, funds and internal processes. </w:t>
      </w:r>
    </w:p>
    <w:p w14:paraId="71C06EA0" w14:textId="12F6DD2B" w:rsidR="00B71122" w:rsidRPr="00B71122" w:rsidRDefault="00C82FC9" w:rsidP="00733426">
      <w:pPr>
        <w:pStyle w:val="ListParagraph"/>
        <w:spacing w:before="120" w:after="120" w:line="240" w:lineRule="auto"/>
        <w:ind w:left="0"/>
        <w:contextualSpacing w:val="0"/>
        <w:jc w:val="both"/>
        <w:rPr>
          <w:rFonts w:eastAsia="Times New Roman" w:cstheme="minorHAnsi"/>
          <w:bCs/>
          <w:sz w:val="24"/>
          <w:szCs w:val="24"/>
          <w:lang w:val="en-GB"/>
        </w:rPr>
      </w:pPr>
      <w:r w:rsidRPr="00EF4F5A">
        <w:rPr>
          <w:rFonts w:cstheme="minorHAnsi"/>
          <w:sz w:val="24"/>
          <w:szCs w:val="24"/>
        </w:rPr>
        <w:t xml:space="preserve">These evolutions in the UN system may create parallel work-streams and related inefficiencies across UN entities whose work overlaps with ITU’s mandate in areas of telecommunications/ICTs, such as universal connectivity. They may also hinder ITU’s value added in supporting digital transformation across its membership. However, these developments can also create opportunities to enhance ITU’s unique role as a leading organization in the telecommunication/ICT landscape. In particular, ITU can collaborate and participate across UN agencies’ workstreams, to increase synergies, knowledge-sharing and </w:t>
      </w:r>
      <w:r w:rsidRPr="00EF4F5A">
        <w:rPr>
          <w:rFonts w:cstheme="minorHAnsi"/>
          <w:sz w:val="24"/>
          <w:szCs w:val="24"/>
        </w:rPr>
        <w:lastRenderedPageBreak/>
        <w:t xml:space="preserve">generate new and increased funding, as well as support for telecommunication/ICTs initiatives at global, regional and local levels. </w:t>
      </w:r>
      <w:r w:rsidR="003C0313">
        <w:rPr>
          <w:rFonts w:cstheme="minorHAnsi"/>
          <w:sz w:val="24"/>
          <w:szCs w:val="24"/>
        </w:rPr>
        <w:t>Among the notable areas where ITU collaborates with other UN Agencies includes th</w:t>
      </w:r>
      <w:r w:rsidR="00733426">
        <w:rPr>
          <w:rFonts w:cstheme="minorHAnsi"/>
          <w:sz w:val="24"/>
          <w:szCs w:val="24"/>
        </w:rPr>
        <w:t>e</w:t>
      </w:r>
      <w:r w:rsidR="003C0313">
        <w:rPr>
          <w:rFonts w:cstheme="minorHAnsi"/>
          <w:sz w:val="24"/>
          <w:szCs w:val="24"/>
        </w:rPr>
        <w:t xml:space="preserve"> </w:t>
      </w:r>
      <w:r w:rsidRPr="003C0313">
        <w:rPr>
          <w:rFonts w:cstheme="minorHAnsi"/>
          <w:sz w:val="24"/>
          <w:szCs w:val="24"/>
        </w:rPr>
        <w:t>World Summit on the Information Society (WSIS</w:t>
      </w:r>
      <w:r w:rsidRPr="00B71122">
        <w:rPr>
          <w:rFonts w:cstheme="minorHAnsi"/>
          <w:sz w:val="24"/>
          <w:szCs w:val="24"/>
        </w:rPr>
        <w:t xml:space="preserve">), Summit of the Future, </w:t>
      </w:r>
      <w:r w:rsidRPr="00B71122">
        <w:rPr>
          <w:rFonts w:eastAsia="Calibri" w:cstheme="minorHAnsi"/>
          <w:sz w:val="24"/>
          <w:szCs w:val="24"/>
        </w:rPr>
        <w:t xml:space="preserve">Smart sustainable cities, </w:t>
      </w:r>
      <w:r w:rsidRPr="00B71122">
        <w:rPr>
          <w:rFonts w:eastAsia="Times New Roman" w:cstheme="minorHAnsi"/>
          <w:bCs/>
          <w:sz w:val="24"/>
          <w:szCs w:val="24"/>
          <w:lang w:val="en-GB"/>
        </w:rPr>
        <w:t>Global Digital Compact and Artificial Intelligence.</w:t>
      </w:r>
    </w:p>
    <w:p w14:paraId="669A8793" w14:textId="77777777" w:rsidR="00C82FC9" w:rsidRPr="00B71122" w:rsidRDefault="00B71122" w:rsidP="00D57EA9">
      <w:pPr>
        <w:pStyle w:val="ListParagraph"/>
        <w:spacing w:before="120" w:after="240" w:line="240" w:lineRule="auto"/>
        <w:ind w:left="0"/>
        <w:contextualSpacing w:val="0"/>
        <w:jc w:val="both"/>
        <w:rPr>
          <w:rFonts w:eastAsia="Times New Roman" w:cstheme="minorHAnsi"/>
          <w:b/>
          <w:bCs/>
          <w:sz w:val="24"/>
          <w:szCs w:val="24"/>
          <w:lang w:val="en-GB"/>
        </w:rPr>
      </w:pPr>
      <w:r>
        <w:rPr>
          <w:rFonts w:eastAsia="Calibri" w:cstheme="minorHAnsi"/>
          <w:b/>
          <w:sz w:val="24"/>
          <w:szCs w:val="24"/>
        </w:rPr>
        <w:t>T</w:t>
      </w:r>
      <w:r w:rsidR="00C82FC9" w:rsidRPr="00B71122">
        <w:rPr>
          <w:rFonts w:eastAsia="Calibri" w:cstheme="minorHAnsi"/>
          <w:b/>
          <w:sz w:val="24"/>
          <w:szCs w:val="24"/>
        </w:rPr>
        <w:t>he digital agenda has continued to expand in the entire UN system and thus ITU Need to</w:t>
      </w:r>
      <w:r>
        <w:rPr>
          <w:rFonts w:eastAsia="Calibri" w:cstheme="minorHAnsi"/>
          <w:b/>
          <w:sz w:val="24"/>
          <w:szCs w:val="24"/>
        </w:rPr>
        <w:t xml:space="preserve"> be in a </w:t>
      </w:r>
      <w:r w:rsidR="00C82FC9" w:rsidRPr="00B71122">
        <w:rPr>
          <w:rFonts w:eastAsia="Calibri" w:cstheme="minorHAnsi"/>
          <w:b/>
          <w:sz w:val="24"/>
          <w:szCs w:val="24"/>
        </w:rPr>
        <w:t>leading role</w:t>
      </w:r>
      <w:r>
        <w:rPr>
          <w:rFonts w:eastAsia="Calibri" w:cstheme="minorHAnsi"/>
          <w:b/>
          <w:sz w:val="24"/>
          <w:szCs w:val="24"/>
        </w:rPr>
        <w:t xml:space="preserve"> </w:t>
      </w:r>
      <w:r w:rsidRPr="00B71122">
        <w:rPr>
          <w:rFonts w:eastAsia="Calibri" w:cstheme="minorHAnsi"/>
          <w:b/>
          <w:sz w:val="24"/>
          <w:szCs w:val="24"/>
        </w:rPr>
        <w:t>position</w:t>
      </w:r>
      <w:r w:rsidR="00C82FC9" w:rsidRPr="00B71122">
        <w:rPr>
          <w:rFonts w:eastAsia="Calibri" w:cstheme="minorHAnsi"/>
          <w:b/>
          <w:sz w:val="24"/>
          <w:szCs w:val="24"/>
        </w:rPr>
        <w:t>.</w:t>
      </w:r>
      <w:r w:rsidR="00C82FC9" w:rsidRPr="00B71122">
        <w:rPr>
          <w:rFonts w:eastAsia="Calibri" w:cstheme="minorHAnsi"/>
          <w:sz w:val="24"/>
          <w:szCs w:val="24"/>
        </w:rPr>
        <w:t xml:space="preserve">  </w:t>
      </w:r>
      <w:r w:rsidR="006960DF" w:rsidRPr="00B71122">
        <w:rPr>
          <w:rFonts w:eastAsia="Calibri" w:cstheme="minorHAnsi"/>
          <w:b/>
          <w:sz w:val="24"/>
          <w:szCs w:val="24"/>
        </w:rPr>
        <w:t>Thus, strategic d</w:t>
      </w:r>
      <w:r w:rsidR="00C82FC9" w:rsidRPr="00B71122">
        <w:rPr>
          <w:rFonts w:eastAsia="Calibri" w:cstheme="minorHAnsi"/>
          <w:b/>
          <w:sz w:val="24"/>
          <w:szCs w:val="24"/>
        </w:rPr>
        <w:t xml:space="preserve">irections are </w:t>
      </w:r>
      <w:r w:rsidR="006960DF" w:rsidRPr="00B71122">
        <w:rPr>
          <w:rFonts w:eastAsia="Calibri" w:cstheme="minorHAnsi"/>
          <w:b/>
          <w:sz w:val="24"/>
          <w:szCs w:val="24"/>
        </w:rPr>
        <w:t xml:space="preserve">further </w:t>
      </w:r>
      <w:r w:rsidR="00C82FC9" w:rsidRPr="00B71122">
        <w:rPr>
          <w:rFonts w:eastAsia="Calibri" w:cstheme="minorHAnsi"/>
          <w:b/>
          <w:sz w:val="24"/>
          <w:szCs w:val="24"/>
        </w:rPr>
        <w:t xml:space="preserve">needed in this </w:t>
      </w:r>
      <w:r w:rsidR="006960DF" w:rsidRPr="00B71122">
        <w:rPr>
          <w:rFonts w:eastAsia="Calibri" w:cstheme="minorHAnsi"/>
          <w:b/>
          <w:sz w:val="24"/>
          <w:szCs w:val="24"/>
        </w:rPr>
        <w:t>area within the</w:t>
      </w:r>
      <w:r w:rsidR="006960DF" w:rsidRPr="00B71122">
        <w:rPr>
          <w:rFonts w:cstheme="minorHAnsi"/>
          <w:b/>
          <w:sz w:val="24"/>
          <w:szCs w:val="24"/>
        </w:rPr>
        <w:t xml:space="preserve"> new Strategic and Financial Plan (SFP)</w:t>
      </w:r>
      <w:r w:rsidR="00C82FC9" w:rsidRPr="00B71122">
        <w:rPr>
          <w:rFonts w:eastAsia="Calibri" w:cstheme="minorHAnsi"/>
          <w:b/>
          <w:sz w:val="24"/>
          <w:szCs w:val="24"/>
        </w:rPr>
        <w:t xml:space="preserve">. </w:t>
      </w:r>
    </w:p>
    <w:p w14:paraId="069924FC" w14:textId="77777777" w:rsidR="00C82FC9" w:rsidRDefault="00C82FC9" w:rsidP="00D57EA9">
      <w:pPr>
        <w:pStyle w:val="ListParagraph"/>
        <w:numPr>
          <w:ilvl w:val="1"/>
          <w:numId w:val="13"/>
        </w:numPr>
        <w:spacing w:before="360" w:after="120" w:line="240" w:lineRule="auto"/>
        <w:ind w:left="0" w:firstLine="0"/>
        <w:contextualSpacing w:val="0"/>
        <w:rPr>
          <w:rFonts w:cstheme="minorHAnsi"/>
          <w:b/>
          <w:sz w:val="24"/>
          <w:szCs w:val="24"/>
        </w:rPr>
      </w:pPr>
      <w:r w:rsidRPr="006D6093">
        <w:rPr>
          <w:rFonts w:cstheme="minorHAnsi"/>
          <w:b/>
          <w:sz w:val="24"/>
          <w:szCs w:val="24"/>
        </w:rPr>
        <w:t>Internal trends to the Union (non-exhaustive)</w:t>
      </w:r>
    </w:p>
    <w:p w14:paraId="1673591C"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sz w:val="24"/>
          <w:szCs w:val="24"/>
        </w:rPr>
        <w:t xml:space="preserve">The </w:t>
      </w:r>
      <w:r w:rsidRPr="00EF4F5A">
        <w:rPr>
          <w:rFonts w:cstheme="minorHAnsi"/>
          <w:b/>
          <w:bCs/>
          <w:sz w:val="24"/>
          <w:szCs w:val="24"/>
        </w:rPr>
        <w:t>current ITU 2024 – 2027 Strategic Framework</w:t>
      </w:r>
      <w:r w:rsidRPr="00EF4F5A">
        <w:rPr>
          <w:rFonts w:cstheme="minorHAnsi"/>
          <w:sz w:val="24"/>
          <w:szCs w:val="24"/>
        </w:rPr>
        <w:t xml:space="preserve"> has relatively changed in comparison to the previous ones. A flat cross-layer of “high level” thematic priorities was introduced, where predefined objectives for the General secretariat and the sectors were in previous strategic framework. As an example, the thematic priority related to ITU-T mandate is not defining clearly the mandate of the ITU-T. Therefore, it is important to review the effectiveness, of the current strategic framework, </w:t>
      </w:r>
      <w:proofErr w:type="gramStart"/>
      <w:r w:rsidRPr="00EF4F5A">
        <w:rPr>
          <w:rFonts w:cstheme="minorHAnsi"/>
          <w:sz w:val="24"/>
          <w:szCs w:val="24"/>
        </w:rPr>
        <w:t>in order to</w:t>
      </w:r>
      <w:proofErr w:type="gramEnd"/>
      <w:r w:rsidRPr="00EF4F5A">
        <w:rPr>
          <w:rFonts w:cstheme="minorHAnsi"/>
          <w:sz w:val="24"/>
          <w:szCs w:val="24"/>
        </w:rPr>
        <w:t xml:space="preserve"> envision the next one.  </w:t>
      </w:r>
    </w:p>
    <w:p w14:paraId="622E456F"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sz w:val="24"/>
          <w:szCs w:val="24"/>
        </w:rPr>
        <w:t xml:space="preserve">The </w:t>
      </w:r>
      <w:r w:rsidRPr="00EF4F5A">
        <w:rPr>
          <w:rFonts w:cstheme="minorHAnsi"/>
          <w:b/>
          <w:bCs/>
          <w:sz w:val="24"/>
          <w:szCs w:val="24"/>
        </w:rPr>
        <w:t>ITU Transformation</w:t>
      </w:r>
      <w:r w:rsidRPr="00EF4F5A">
        <w:rPr>
          <w:rFonts w:cstheme="minorHAnsi"/>
          <w:sz w:val="24"/>
          <w:szCs w:val="24"/>
        </w:rPr>
        <w:t xml:space="preserve"> is an ambitious project for the Union that spans across many areas such as; Financial, Human Resources &amp; IT matters. It is important that next strategy reflect how this transformation is fulfilling the ITU Strategy. This can also include the linkage with the Financial &amp; Operational plans.</w:t>
      </w:r>
    </w:p>
    <w:p w14:paraId="242AB15B"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sz w:val="24"/>
          <w:szCs w:val="24"/>
        </w:rPr>
        <w:t xml:space="preserve">The </w:t>
      </w:r>
      <w:r w:rsidRPr="00EF4F5A">
        <w:rPr>
          <w:rFonts w:cstheme="minorHAnsi"/>
          <w:b/>
          <w:bCs/>
          <w:sz w:val="24"/>
          <w:szCs w:val="24"/>
        </w:rPr>
        <w:t>Financial situation</w:t>
      </w:r>
      <w:r w:rsidRPr="00EF4F5A">
        <w:rPr>
          <w:rFonts w:cstheme="minorHAnsi"/>
          <w:sz w:val="24"/>
          <w:szCs w:val="24"/>
        </w:rPr>
        <w:t xml:space="preserve"> of the Union needs high attention and consideration. Although the efforts in financial resources mobilization, further efforts need to be done. Therefore, it is important for the next ITU Strategy to consider the financial situation of the Union. The analysis can also consider the current Financial Regulations and financial rules, and the efforts with IPSAS compliance. </w:t>
      </w:r>
    </w:p>
    <w:p w14:paraId="14E2B778"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sz w:val="24"/>
          <w:szCs w:val="24"/>
        </w:rPr>
        <w:t xml:space="preserve">The </w:t>
      </w:r>
      <w:r w:rsidRPr="00EF4F5A">
        <w:rPr>
          <w:rFonts w:cstheme="minorHAnsi"/>
          <w:b/>
          <w:bCs/>
          <w:sz w:val="24"/>
          <w:szCs w:val="24"/>
        </w:rPr>
        <w:t>regional presence</w:t>
      </w:r>
      <w:r w:rsidRPr="00EF4F5A">
        <w:rPr>
          <w:rFonts w:cstheme="minorHAnsi"/>
          <w:sz w:val="24"/>
          <w:szCs w:val="24"/>
        </w:rPr>
        <w:t xml:space="preserve"> needs further to be considered in the ITU Strategic plan, with predefined objectives. This has been discussed in the preparation of the 2024 – 2027  ITU Strategy and should deserve additional and detailed consideration in the preparation of the next ITU strategy.</w:t>
      </w:r>
    </w:p>
    <w:p w14:paraId="58A52E0A"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sz w:val="24"/>
          <w:szCs w:val="24"/>
        </w:rPr>
        <w:t xml:space="preserve">The </w:t>
      </w:r>
      <w:r w:rsidRPr="00EF4F5A">
        <w:rPr>
          <w:rFonts w:cstheme="minorHAnsi"/>
          <w:b/>
          <w:bCs/>
          <w:sz w:val="24"/>
          <w:szCs w:val="24"/>
        </w:rPr>
        <w:t>oversight Unit</w:t>
      </w:r>
      <w:r w:rsidRPr="00EF4F5A">
        <w:rPr>
          <w:rFonts w:cstheme="minorHAnsi"/>
          <w:sz w:val="24"/>
          <w:szCs w:val="24"/>
        </w:rPr>
        <w:t xml:space="preserve"> was implemented, with a charter being approved by ITU Council, that Unit encompasses an Audit, Investigation and Evaluation functions. The oversight Unit is a true enabler in the implementation of the next strategy. This must include the consideration of the Ethics office.</w:t>
      </w:r>
    </w:p>
    <w:p w14:paraId="53E41F5B"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b/>
          <w:bCs/>
          <w:sz w:val="24"/>
          <w:szCs w:val="24"/>
        </w:rPr>
        <w:t>Human Resources</w:t>
      </w:r>
      <w:r w:rsidRPr="00EF4F5A">
        <w:rPr>
          <w:rFonts w:cstheme="minorHAnsi"/>
          <w:sz w:val="24"/>
          <w:szCs w:val="24"/>
        </w:rPr>
        <w:t xml:space="preserve"> related matters are of high importance, this includes staff Council and staff representatives, are key enabler of the next ITU strategy. The rise of non-regular staff in ITU was observed. </w:t>
      </w:r>
    </w:p>
    <w:p w14:paraId="7193CB36" w14:textId="77777777" w:rsidR="00C82FC9" w:rsidRPr="00EF4F5A" w:rsidRDefault="00C82FC9" w:rsidP="0032739D">
      <w:pPr>
        <w:pStyle w:val="ListParagraph"/>
        <w:numPr>
          <w:ilvl w:val="0"/>
          <w:numId w:val="12"/>
        </w:numPr>
        <w:spacing w:before="120" w:after="120" w:line="240" w:lineRule="auto"/>
        <w:ind w:left="1560" w:hanging="567"/>
        <w:contextualSpacing w:val="0"/>
        <w:jc w:val="both"/>
        <w:rPr>
          <w:rFonts w:cstheme="minorHAnsi"/>
          <w:sz w:val="24"/>
          <w:szCs w:val="24"/>
        </w:rPr>
      </w:pPr>
      <w:r w:rsidRPr="00EF4F5A">
        <w:rPr>
          <w:rFonts w:cstheme="minorHAnsi"/>
          <w:b/>
          <w:bCs/>
          <w:sz w:val="24"/>
          <w:szCs w:val="24"/>
        </w:rPr>
        <w:t xml:space="preserve">ITU-T is undergoing a study groups restructuring. </w:t>
      </w:r>
      <w:r w:rsidRPr="00EF4F5A">
        <w:rPr>
          <w:rFonts w:cstheme="minorHAnsi"/>
          <w:sz w:val="24"/>
          <w:szCs w:val="24"/>
        </w:rPr>
        <w:t>Although this is sector’ matter, it has to find its place within an entire Union’s strategy.</w:t>
      </w:r>
      <w:r w:rsidRPr="00EF4F5A">
        <w:rPr>
          <w:rFonts w:cstheme="minorHAnsi"/>
          <w:b/>
          <w:bCs/>
          <w:sz w:val="24"/>
          <w:szCs w:val="24"/>
        </w:rPr>
        <w:t xml:space="preserve"> </w:t>
      </w:r>
      <w:r w:rsidRPr="00EF4F5A">
        <w:rPr>
          <w:rFonts w:cstheme="minorHAnsi"/>
          <w:sz w:val="24"/>
          <w:szCs w:val="24"/>
        </w:rPr>
        <w:t xml:space="preserve">The ITU-T is also looking how to </w:t>
      </w:r>
      <w:r w:rsidRPr="00EF4F5A">
        <w:rPr>
          <w:rFonts w:cstheme="minorHAnsi"/>
          <w:b/>
          <w:bCs/>
          <w:sz w:val="24"/>
          <w:szCs w:val="24"/>
        </w:rPr>
        <w:t xml:space="preserve">engage industry </w:t>
      </w:r>
      <w:r w:rsidRPr="00EF4F5A">
        <w:rPr>
          <w:rFonts w:cstheme="minorHAnsi"/>
          <w:sz w:val="24"/>
          <w:szCs w:val="24"/>
        </w:rPr>
        <w:t>into its Study groups, the matter of</w:t>
      </w:r>
      <w:r w:rsidRPr="00EF4F5A">
        <w:rPr>
          <w:rFonts w:cstheme="minorHAnsi"/>
          <w:b/>
          <w:bCs/>
          <w:sz w:val="24"/>
          <w:szCs w:val="24"/>
        </w:rPr>
        <w:t xml:space="preserve"> stakeholders engagement </w:t>
      </w:r>
      <w:r w:rsidRPr="00EF4F5A">
        <w:rPr>
          <w:rFonts w:cstheme="minorHAnsi"/>
          <w:sz w:val="24"/>
          <w:szCs w:val="24"/>
        </w:rPr>
        <w:t xml:space="preserve">need to be considered from a holistic approach in the next ITU Strategy. </w:t>
      </w:r>
    </w:p>
    <w:p w14:paraId="4DA57C06" w14:textId="77777777" w:rsidR="00EF703F" w:rsidRPr="00EF703F" w:rsidRDefault="00EF703F" w:rsidP="00867DA8">
      <w:pPr>
        <w:pStyle w:val="ListParagraph"/>
        <w:keepNext/>
        <w:keepLines/>
        <w:numPr>
          <w:ilvl w:val="0"/>
          <w:numId w:val="13"/>
        </w:numPr>
        <w:spacing w:before="120" w:after="120" w:line="240" w:lineRule="auto"/>
        <w:ind w:left="0" w:firstLine="0"/>
        <w:contextualSpacing w:val="0"/>
        <w:rPr>
          <w:rFonts w:cstheme="minorHAnsi"/>
          <w:b/>
          <w:sz w:val="24"/>
          <w:szCs w:val="24"/>
        </w:rPr>
      </w:pPr>
      <w:r w:rsidRPr="00EF703F">
        <w:rPr>
          <w:rFonts w:cstheme="minorHAnsi"/>
          <w:b/>
          <w:sz w:val="24"/>
          <w:szCs w:val="24"/>
        </w:rPr>
        <w:lastRenderedPageBreak/>
        <w:t>Conclusion</w:t>
      </w:r>
    </w:p>
    <w:p w14:paraId="6093D994" w14:textId="77777777" w:rsidR="00EF703F" w:rsidRDefault="00EF703F" w:rsidP="00867DA8">
      <w:pPr>
        <w:keepNext/>
        <w:keepLines/>
        <w:tabs>
          <w:tab w:val="clear" w:pos="567"/>
          <w:tab w:val="left" w:pos="720"/>
        </w:tabs>
        <w:overflowPunct/>
        <w:autoSpaceDE/>
        <w:adjustRightInd/>
        <w:spacing w:after="120"/>
        <w:jc w:val="both"/>
        <w:rPr>
          <w:szCs w:val="24"/>
        </w:rPr>
      </w:pPr>
      <w:r>
        <w:rPr>
          <w:szCs w:val="24"/>
        </w:rPr>
        <w:t xml:space="preserve">By incorporating the suggestions in this contribution, the ITU can enrich the development of Strategic </w:t>
      </w:r>
      <w:r w:rsidR="005E623F">
        <w:rPr>
          <w:szCs w:val="24"/>
        </w:rPr>
        <w:t>and Financial Plan 2028 – 2031. Thus, we</w:t>
      </w:r>
      <w:r>
        <w:rPr>
          <w:szCs w:val="24"/>
        </w:rPr>
        <w:t xml:space="preserve"> recomme</w:t>
      </w:r>
      <w:r w:rsidR="005E623F">
        <w:rPr>
          <w:szCs w:val="24"/>
        </w:rPr>
        <w:t xml:space="preserve">nd that the ITU CWG-SFP </w:t>
      </w:r>
      <w:r>
        <w:rPr>
          <w:szCs w:val="24"/>
        </w:rPr>
        <w:t xml:space="preserve">consider </w:t>
      </w:r>
      <w:r w:rsidR="005E623F">
        <w:rPr>
          <w:szCs w:val="24"/>
        </w:rPr>
        <w:t>this proposal</w:t>
      </w:r>
      <w:r>
        <w:rPr>
          <w:szCs w:val="24"/>
        </w:rPr>
        <w:t xml:space="preserve"> as </w:t>
      </w:r>
      <w:r w:rsidR="006A6C89">
        <w:rPr>
          <w:szCs w:val="24"/>
        </w:rPr>
        <w:t xml:space="preserve">an </w:t>
      </w:r>
      <w:r>
        <w:rPr>
          <w:szCs w:val="24"/>
        </w:rPr>
        <w:t>input to the ITU Strategic Plan.</w:t>
      </w:r>
    </w:p>
    <w:p w14:paraId="5B239F25" w14:textId="4009BEA7" w:rsidR="00B200B3" w:rsidRDefault="00B200B3" w:rsidP="00B200B3">
      <w:pPr>
        <w:tabs>
          <w:tab w:val="clear" w:pos="567"/>
          <w:tab w:val="left" w:pos="720"/>
        </w:tabs>
        <w:overflowPunct/>
        <w:autoSpaceDE/>
        <w:adjustRightInd/>
        <w:spacing w:before="720"/>
        <w:jc w:val="center"/>
        <w:rPr>
          <w:szCs w:val="24"/>
        </w:rPr>
      </w:pPr>
      <w:r>
        <w:rPr>
          <w:szCs w:val="24"/>
        </w:rPr>
        <w:t>________________</w:t>
      </w:r>
    </w:p>
    <w:sectPr w:rsidR="00B200B3"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AE0B1" w14:textId="77777777" w:rsidR="00D807A2" w:rsidRDefault="00D807A2">
      <w:r>
        <w:separator/>
      </w:r>
    </w:p>
  </w:endnote>
  <w:endnote w:type="continuationSeparator" w:id="0">
    <w:p w14:paraId="219384B8" w14:textId="77777777" w:rsidR="00D807A2" w:rsidRDefault="00D8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4A0E0C70" w14:textId="77777777" w:rsidTr="0042469C">
      <w:trPr>
        <w:jc w:val="center"/>
      </w:trPr>
      <w:tc>
        <w:tcPr>
          <w:tcW w:w="1803" w:type="dxa"/>
          <w:vAlign w:val="center"/>
        </w:tcPr>
        <w:p w14:paraId="37C94668" w14:textId="77777777" w:rsidR="00EE49E8" w:rsidRDefault="00EE49E8" w:rsidP="00EE49E8">
          <w:pPr>
            <w:pStyle w:val="Header"/>
            <w:jc w:val="left"/>
            <w:rPr>
              <w:noProof/>
            </w:rPr>
          </w:pPr>
        </w:p>
      </w:tc>
      <w:tc>
        <w:tcPr>
          <w:tcW w:w="8261" w:type="dxa"/>
        </w:tcPr>
        <w:p w14:paraId="3F9ECC3D" w14:textId="748E421E" w:rsidR="00EE49E8" w:rsidRPr="00877BF2" w:rsidRDefault="00EE49E8" w:rsidP="00111F19">
          <w:pPr>
            <w:pStyle w:val="Header"/>
            <w:tabs>
              <w:tab w:val="left" w:pos="5961"/>
              <w:tab w:val="right" w:pos="7946"/>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B82C1B">
            <w:rPr>
              <w:bCs/>
              <w:lang w:val="es-ES"/>
            </w:rPr>
            <w:t>2/</w:t>
          </w:r>
          <w:r w:rsidR="00111F19">
            <w:rPr>
              <w:bCs/>
              <w:lang w:val="es-ES"/>
            </w:rPr>
            <w:t>12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3931CE">
            <w:rPr>
              <w:noProof/>
              <w:lang w:val="es-ES"/>
            </w:rPr>
            <w:t>5</w:t>
          </w:r>
          <w:r>
            <w:rPr>
              <w:noProof/>
            </w:rPr>
            <w:fldChar w:fldCharType="end"/>
          </w:r>
        </w:p>
      </w:tc>
    </w:tr>
  </w:tbl>
  <w:p w14:paraId="17FFFB1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0B841546" w14:textId="77777777" w:rsidTr="00A52C84">
      <w:trPr>
        <w:jc w:val="center"/>
      </w:trPr>
      <w:tc>
        <w:tcPr>
          <w:tcW w:w="3107" w:type="dxa"/>
          <w:vAlign w:val="center"/>
        </w:tcPr>
        <w:p w14:paraId="57CC06B9" w14:textId="77777777" w:rsidR="00EE49E8" w:rsidRPr="00D74BFC" w:rsidRDefault="0025570E" w:rsidP="00EE49E8">
          <w:pPr>
            <w:pStyle w:val="Header"/>
            <w:jc w:val="left"/>
            <w:rPr>
              <w:noProof/>
            </w:rPr>
          </w:pPr>
          <w:hyperlink r:id="rId1" w:history="1">
            <w:r w:rsidRPr="00D74BFC">
              <w:rPr>
                <w:rStyle w:val="Hyperlink"/>
                <w:u w:val="none"/>
              </w:rPr>
              <w:t>https://council.itu.int/working-groups</w:t>
            </w:r>
          </w:hyperlink>
        </w:p>
      </w:tc>
      <w:tc>
        <w:tcPr>
          <w:tcW w:w="6957" w:type="dxa"/>
        </w:tcPr>
        <w:p w14:paraId="492AD6ED" w14:textId="5B9070D0" w:rsidR="00EE49E8" w:rsidRPr="000F6AB8" w:rsidRDefault="00EE49E8" w:rsidP="00111F19">
          <w:pPr>
            <w:pStyle w:val="Header"/>
            <w:tabs>
              <w:tab w:val="left" w:pos="4940"/>
              <w:tab w:val="right" w:pos="657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B82C1B">
            <w:rPr>
              <w:bCs/>
              <w:lang w:val="es-ES"/>
            </w:rPr>
            <w:t>2</w:t>
          </w:r>
          <w:r w:rsidR="00205D4E">
            <w:rPr>
              <w:bCs/>
              <w:lang w:val="es-ES"/>
            </w:rPr>
            <w:t>/</w:t>
          </w:r>
          <w:r w:rsidR="00111F19">
            <w:rPr>
              <w:bCs/>
              <w:lang w:val="es-ES"/>
            </w:rPr>
            <w:t>12</w:t>
          </w:r>
          <w:r w:rsidRPr="000F6AB8">
            <w:rPr>
              <w:bCs/>
              <w:lang w:val="es-ES"/>
            </w:rPr>
            <w:t>-E</w:t>
          </w:r>
          <w:r w:rsidR="00111F19">
            <w:rPr>
              <w:bCs/>
              <w:lang w:val="es-ES"/>
            </w:rPr>
            <w:tab/>
          </w:r>
          <w:r w:rsidR="00111F19">
            <w:rPr>
              <w:bCs/>
              <w:lang w:val="es-ES"/>
            </w:rPr>
            <w:fldChar w:fldCharType="begin"/>
          </w:r>
          <w:r w:rsidR="00111F19">
            <w:rPr>
              <w:bCs/>
              <w:lang w:val="es-ES"/>
            </w:rPr>
            <w:instrText xml:space="preserve"> PAGE  \* Arabic  \* MERGEFORMAT </w:instrText>
          </w:r>
          <w:r w:rsidR="00111F19">
            <w:rPr>
              <w:bCs/>
              <w:lang w:val="es-ES"/>
            </w:rPr>
            <w:fldChar w:fldCharType="separate"/>
          </w:r>
          <w:r w:rsidR="00111F19">
            <w:rPr>
              <w:bCs/>
              <w:noProof/>
              <w:lang w:val="es-ES"/>
            </w:rPr>
            <w:t>4</w:t>
          </w:r>
          <w:r w:rsidR="00111F19">
            <w:rPr>
              <w:bCs/>
              <w:lang w:val="es-ES"/>
            </w:rPr>
            <w:fldChar w:fldCharType="end"/>
          </w:r>
          <w:r w:rsidRPr="000F6AB8">
            <w:rPr>
              <w:bCs/>
              <w:lang w:val="es-ES"/>
            </w:rPr>
            <w:tab/>
          </w:r>
          <w:r>
            <w:fldChar w:fldCharType="begin"/>
          </w:r>
          <w:r w:rsidRPr="000F6AB8">
            <w:rPr>
              <w:lang w:val="es-ES"/>
            </w:rPr>
            <w:instrText>PAGE</w:instrText>
          </w:r>
          <w:r>
            <w:fldChar w:fldCharType="separate"/>
          </w:r>
          <w:r w:rsidR="00BA7975">
            <w:rPr>
              <w:noProof/>
              <w:lang w:val="es-ES"/>
            </w:rPr>
            <w:t>1</w:t>
          </w:r>
          <w:r>
            <w:rPr>
              <w:noProof/>
            </w:rPr>
            <w:fldChar w:fldCharType="end"/>
          </w:r>
        </w:p>
      </w:tc>
    </w:tr>
  </w:tbl>
  <w:p w14:paraId="6530C35E" w14:textId="77777777" w:rsidR="00A514A4" w:rsidRPr="000F6AB8" w:rsidRDefault="00A514A4" w:rsidP="00111F19">
    <w:pPr>
      <w:pStyle w:val="Header"/>
      <w:tabs>
        <w:tab w:val="left" w:pos="8080"/>
        <w:tab w:val="right" w:pos="9072"/>
      </w:tabs>
      <w:jc w:val="lef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4C03" w14:textId="77777777" w:rsidR="00D807A2" w:rsidRDefault="00D807A2">
      <w:r>
        <w:t>____________________</w:t>
      </w:r>
    </w:p>
  </w:footnote>
  <w:footnote w:type="continuationSeparator" w:id="0">
    <w:p w14:paraId="1AEC2792" w14:textId="77777777" w:rsidR="00D807A2" w:rsidRDefault="00D8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5090C53" w14:textId="77777777" w:rsidTr="00F74694">
      <w:trPr>
        <w:trHeight w:val="1304"/>
        <w:jc w:val="center"/>
      </w:trPr>
      <w:tc>
        <w:tcPr>
          <w:tcW w:w="6546" w:type="dxa"/>
        </w:tcPr>
        <w:p w14:paraId="65CF08E6" w14:textId="77777777" w:rsidR="00AD3606" w:rsidRPr="009621F8" w:rsidRDefault="00533E0D"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5681CDCB" wp14:editId="4CC0CF85">
                    <wp:simplePos x="0" y="0"/>
                    <wp:positionH relativeFrom="column">
                      <wp:posOffset>1438380</wp:posOffset>
                    </wp:positionH>
                    <wp:positionV relativeFrom="paragraph">
                      <wp:posOffset>7620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1FD9ECE" w14:textId="77777777" w:rsidR="00130599" w:rsidRDefault="00B82C1B" w:rsidP="00533E0D">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00727C44" w:rsidRPr="00130599">
                                  <w:rPr>
                                    <w:sz w:val="20"/>
                                  </w:rPr>
                                  <w:t xml:space="preserve">meeting </w:t>
                                </w:r>
                                <w:r w:rsidR="00727C44">
                                  <w:rPr>
                                    <w:sz w:val="20"/>
                                  </w:rPr>
                                  <w:t xml:space="preserve">– From </w:t>
                                </w:r>
                                <w:r>
                                  <w:rPr>
                                    <w:sz w:val="20"/>
                                  </w:rPr>
                                  <w:t>2</w:t>
                                </w:r>
                                <w:r w:rsidR="00727C44">
                                  <w:rPr>
                                    <w:sz w:val="20"/>
                                  </w:rPr>
                                  <w:t xml:space="preserve">0 to </w:t>
                                </w:r>
                                <w:r>
                                  <w:rPr>
                                    <w:sz w:val="20"/>
                                  </w:rPr>
                                  <w:t>2</w:t>
                                </w:r>
                                <w:r w:rsidR="00727C44">
                                  <w:rPr>
                                    <w:sz w:val="20"/>
                                  </w:rPr>
                                  <w:t>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81CDCB" id="_x0000_t202" coordsize="21600,21600" o:spt="202" path="m,l,21600r21600,l21600,xe">
                    <v:stroke joinstyle="miter"/>
                    <v:path gradientshapeok="t" o:connecttype="rect"/>
                  </v:shapetype>
                  <v:shape id="Text Box 2" o:spid="_x0000_s1026" type="#_x0000_t202" style="position:absolute;margin-left:113.25pt;margin-top:.6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" fillcolor="white [3212]" stroked="f">
                    <v:textbox style="mso-fit-shape-to-text:t" inset="1mm">
                      <w:txbxContent>
                        <w:p w14:paraId="01FD9ECE" w14:textId="77777777" w:rsidR="00130599" w:rsidRDefault="00B82C1B" w:rsidP="00533E0D">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00727C44" w:rsidRPr="00130599">
                            <w:rPr>
                              <w:sz w:val="20"/>
                            </w:rPr>
                            <w:t xml:space="preserve">meeting </w:t>
                          </w:r>
                          <w:r w:rsidR="00727C44">
                            <w:rPr>
                              <w:sz w:val="20"/>
                            </w:rPr>
                            <w:t xml:space="preserve">– From </w:t>
                          </w:r>
                          <w:r>
                            <w:rPr>
                              <w:sz w:val="20"/>
                            </w:rPr>
                            <w:t>2</w:t>
                          </w:r>
                          <w:r w:rsidR="00727C44">
                            <w:rPr>
                              <w:sz w:val="20"/>
                            </w:rPr>
                            <w:t xml:space="preserve">0 to </w:t>
                          </w:r>
                          <w:r>
                            <w:rPr>
                              <w:sz w:val="20"/>
                            </w:rPr>
                            <w:t>2</w:t>
                          </w:r>
                          <w:r w:rsidR="00727C44">
                            <w:rPr>
                              <w:sz w:val="20"/>
                            </w:rPr>
                            <w:t>1 February 2025</w:t>
                          </w:r>
                        </w:p>
                      </w:txbxContent>
                    </v:textbox>
                  </v:shape>
                </w:pict>
              </mc:Fallback>
            </mc:AlternateContent>
          </w:r>
          <w:r>
            <w:rPr>
              <w:rFonts w:ascii="Arial" w:hAnsi="Arial" w:cs="Arial"/>
              <w:b/>
              <w:bCs/>
              <w:noProof/>
              <w:color w:val="009CD6"/>
              <w:sz w:val="36"/>
              <w:szCs w:val="36"/>
              <w:lang w:val="en-US"/>
            </w:rPr>
            <w:drawing>
              <wp:inline distT="0" distB="0" distL="0" distR="0" wp14:anchorId="1BE5F4F0" wp14:editId="5FF269E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29542E9" w14:textId="77777777" w:rsidR="00AD3606" w:rsidRDefault="00AD3606" w:rsidP="00AD3606">
          <w:pPr>
            <w:pStyle w:val="Header"/>
            <w:jc w:val="right"/>
            <w:rPr>
              <w:rFonts w:ascii="Arial" w:hAnsi="Arial" w:cs="Arial"/>
              <w:b/>
              <w:bCs/>
              <w:color w:val="009CD6"/>
              <w:szCs w:val="18"/>
            </w:rPr>
          </w:pPr>
        </w:p>
        <w:p w14:paraId="4334B8F0" w14:textId="77777777" w:rsidR="00AD3606" w:rsidRDefault="00AD3606" w:rsidP="00AD3606">
          <w:pPr>
            <w:pStyle w:val="Header"/>
            <w:jc w:val="right"/>
            <w:rPr>
              <w:rFonts w:ascii="Arial" w:hAnsi="Arial" w:cs="Arial"/>
              <w:b/>
              <w:bCs/>
              <w:color w:val="009CD6"/>
              <w:szCs w:val="18"/>
            </w:rPr>
          </w:pPr>
        </w:p>
        <w:p w14:paraId="58A7B64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72AA505" w14:textId="77777777"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1D6F25A" wp14:editId="5E1C628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419B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E57479"/>
    <w:multiLevelType w:val="hybridMultilevel"/>
    <w:tmpl w:val="17B00B98"/>
    <w:lvl w:ilvl="0" w:tplc="215AC2B8">
      <w:start w:val="1"/>
      <w:numFmt w:val="lowerRoman"/>
      <w:lvlText w:val="%1.)"/>
      <w:lvlJc w:val="right"/>
      <w:pPr>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A1F47"/>
    <w:multiLevelType w:val="hybridMultilevel"/>
    <w:tmpl w:val="17B00B98"/>
    <w:lvl w:ilvl="0" w:tplc="215AC2B8">
      <w:start w:val="1"/>
      <w:numFmt w:val="lowerRoman"/>
      <w:lvlText w:val="%1.)"/>
      <w:lvlJc w:val="right"/>
      <w:pPr>
        <w:ind w:left="288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4" w15:restartNumberingAfterBreak="0">
    <w:nsid w:val="24A16FA6"/>
    <w:multiLevelType w:val="hybridMultilevel"/>
    <w:tmpl w:val="17B00B98"/>
    <w:lvl w:ilvl="0" w:tplc="215AC2B8">
      <w:start w:val="1"/>
      <w:numFmt w:val="lowerRoman"/>
      <w:lvlText w:val="%1.)"/>
      <w:lvlJc w:val="right"/>
      <w:pPr>
        <w:ind w:left="288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4BF68EB"/>
    <w:multiLevelType w:val="hybridMultilevel"/>
    <w:tmpl w:val="17B00B98"/>
    <w:lvl w:ilvl="0" w:tplc="215AC2B8">
      <w:start w:val="1"/>
      <w:numFmt w:val="lowerRoman"/>
      <w:lvlText w:val="%1.)"/>
      <w:lvlJc w:val="right"/>
      <w:pPr>
        <w:ind w:left="288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5991CE3"/>
    <w:multiLevelType w:val="hybridMultilevel"/>
    <w:tmpl w:val="EA9872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8C97460"/>
    <w:multiLevelType w:val="hybridMultilevel"/>
    <w:tmpl w:val="90186D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5A4A9C"/>
    <w:multiLevelType w:val="hybridMultilevel"/>
    <w:tmpl w:val="17B00B98"/>
    <w:lvl w:ilvl="0" w:tplc="215AC2B8">
      <w:start w:val="1"/>
      <w:numFmt w:val="lowerRoman"/>
      <w:lvlText w:val="%1.)"/>
      <w:lvlJc w:val="right"/>
      <w:pPr>
        <w:ind w:left="288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D5B1C59"/>
    <w:multiLevelType w:val="multilevel"/>
    <w:tmpl w:val="6B9EEC96"/>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1" w15:restartNumberingAfterBreak="0">
    <w:nsid w:val="480E141F"/>
    <w:multiLevelType w:val="multilevel"/>
    <w:tmpl w:val="3E9E9DE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734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395AFA"/>
    <w:multiLevelType w:val="multilevel"/>
    <w:tmpl w:val="EA7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15" w15:restartNumberingAfterBreak="0">
    <w:nsid w:val="5B7E3A45"/>
    <w:multiLevelType w:val="multilevel"/>
    <w:tmpl w:val="4FBE8CC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525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abstractNum w:abstractNumId="18" w15:restartNumberingAfterBreak="0">
    <w:nsid w:val="7F257D7C"/>
    <w:multiLevelType w:val="multilevel"/>
    <w:tmpl w:val="863E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916574">
    <w:abstractNumId w:val="0"/>
  </w:num>
  <w:num w:numId="2" w16cid:durableId="1260912865">
    <w:abstractNumId w:val="5"/>
  </w:num>
  <w:num w:numId="3" w16cid:durableId="2145613851">
    <w:abstractNumId w:val="14"/>
  </w:num>
  <w:num w:numId="4" w16cid:durableId="734816845">
    <w:abstractNumId w:val="3"/>
  </w:num>
  <w:num w:numId="5" w16cid:durableId="1403067493">
    <w:abstractNumId w:val="17"/>
  </w:num>
  <w:num w:numId="6" w16cid:durableId="1615210536">
    <w:abstractNumId w:val="10"/>
  </w:num>
  <w:num w:numId="7" w16cid:durableId="252596243">
    <w:abstractNumId w:val="16"/>
  </w:num>
  <w:num w:numId="8" w16cid:durableId="1884556174">
    <w:abstractNumId w:val="1"/>
  </w:num>
  <w:num w:numId="9" w16cid:durableId="1811630463">
    <w:abstractNumId w:val="7"/>
  </w:num>
  <w:num w:numId="10" w16cid:durableId="1020820710">
    <w:abstractNumId w:val="8"/>
  </w:num>
  <w:num w:numId="11" w16cid:durableId="281306408">
    <w:abstractNumId w:val="4"/>
  </w:num>
  <w:num w:numId="12" w16cid:durableId="1536037988">
    <w:abstractNumId w:val="2"/>
  </w:num>
  <w:num w:numId="13" w16cid:durableId="869562237">
    <w:abstractNumId w:val="12"/>
  </w:num>
  <w:num w:numId="14" w16cid:durableId="1471939">
    <w:abstractNumId w:val="15"/>
  </w:num>
  <w:num w:numId="15" w16cid:durableId="1716270536">
    <w:abstractNumId w:val="9"/>
  </w:num>
  <w:num w:numId="16" w16cid:durableId="2037995232">
    <w:abstractNumId w:val="11"/>
  </w:num>
  <w:num w:numId="17" w16cid:durableId="181005453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18694740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714429918">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201670954">
    <w:abstractNumId w:val="6"/>
  </w:num>
  <w:num w:numId="21" w16cid:durableId="187572970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51388407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58198697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23"/>
    <w:rsid w:val="00003A6D"/>
    <w:rsid w:val="000041A9"/>
    <w:rsid w:val="00004C8C"/>
    <w:rsid w:val="00006DB2"/>
    <w:rsid w:val="000120E4"/>
    <w:rsid w:val="000210D4"/>
    <w:rsid w:val="00033C4D"/>
    <w:rsid w:val="000525A1"/>
    <w:rsid w:val="00063016"/>
    <w:rsid w:val="00066795"/>
    <w:rsid w:val="00076AF6"/>
    <w:rsid w:val="00077699"/>
    <w:rsid w:val="00085CF2"/>
    <w:rsid w:val="000A1525"/>
    <w:rsid w:val="000B1705"/>
    <w:rsid w:val="000C6127"/>
    <w:rsid w:val="000D75B2"/>
    <w:rsid w:val="000F6AB8"/>
    <w:rsid w:val="00111F19"/>
    <w:rsid w:val="001121F5"/>
    <w:rsid w:val="00130599"/>
    <w:rsid w:val="00131E18"/>
    <w:rsid w:val="001400DC"/>
    <w:rsid w:val="00140CE1"/>
    <w:rsid w:val="00147C54"/>
    <w:rsid w:val="0016259B"/>
    <w:rsid w:val="0017539C"/>
    <w:rsid w:val="00175AC2"/>
    <w:rsid w:val="0017609F"/>
    <w:rsid w:val="001A7D1D"/>
    <w:rsid w:val="001B0595"/>
    <w:rsid w:val="001B51DD"/>
    <w:rsid w:val="001C628E"/>
    <w:rsid w:val="001D62DF"/>
    <w:rsid w:val="001E0F7B"/>
    <w:rsid w:val="001E0FBE"/>
    <w:rsid w:val="001E5FE7"/>
    <w:rsid w:val="001E6A7C"/>
    <w:rsid w:val="00205D4E"/>
    <w:rsid w:val="002119FD"/>
    <w:rsid w:val="002130E0"/>
    <w:rsid w:val="00215C9F"/>
    <w:rsid w:val="00227AAB"/>
    <w:rsid w:val="00235373"/>
    <w:rsid w:val="00235512"/>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1BDA"/>
    <w:rsid w:val="00322D0D"/>
    <w:rsid w:val="0032739D"/>
    <w:rsid w:val="00361465"/>
    <w:rsid w:val="003877F5"/>
    <w:rsid w:val="003931CE"/>
    <w:rsid w:val="003942D4"/>
    <w:rsid w:val="0039514F"/>
    <w:rsid w:val="003958A8"/>
    <w:rsid w:val="003B29C2"/>
    <w:rsid w:val="003C0313"/>
    <w:rsid w:val="003C20CA"/>
    <w:rsid w:val="003C2533"/>
    <w:rsid w:val="003D2E43"/>
    <w:rsid w:val="003D5A7F"/>
    <w:rsid w:val="003D635C"/>
    <w:rsid w:val="003D71D8"/>
    <w:rsid w:val="003E0769"/>
    <w:rsid w:val="004016E2"/>
    <w:rsid w:val="0040435A"/>
    <w:rsid w:val="00416A24"/>
    <w:rsid w:val="00416A30"/>
    <w:rsid w:val="0042059E"/>
    <w:rsid w:val="00431D9E"/>
    <w:rsid w:val="00433CE8"/>
    <w:rsid w:val="00434A5C"/>
    <w:rsid w:val="0045393E"/>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3E0D"/>
    <w:rsid w:val="00536422"/>
    <w:rsid w:val="0054526E"/>
    <w:rsid w:val="005536C2"/>
    <w:rsid w:val="00564FBC"/>
    <w:rsid w:val="005753F3"/>
    <w:rsid w:val="005800BC"/>
    <w:rsid w:val="00582442"/>
    <w:rsid w:val="005A335D"/>
    <w:rsid w:val="005B0869"/>
    <w:rsid w:val="005C13D4"/>
    <w:rsid w:val="005E2BD5"/>
    <w:rsid w:val="005E4F47"/>
    <w:rsid w:val="005E623F"/>
    <w:rsid w:val="005F3269"/>
    <w:rsid w:val="005F7BEB"/>
    <w:rsid w:val="00612123"/>
    <w:rsid w:val="00615961"/>
    <w:rsid w:val="00623AE3"/>
    <w:rsid w:val="006261F4"/>
    <w:rsid w:val="0064737F"/>
    <w:rsid w:val="00647966"/>
    <w:rsid w:val="006535F1"/>
    <w:rsid w:val="0065557D"/>
    <w:rsid w:val="00660D50"/>
    <w:rsid w:val="00662984"/>
    <w:rsid w:val="00663050"/>
    <w:rsid w:val="006716BB"/>
    <w:rsid w:val="006960DF"/>
    <w:rsid w:val="006973C8"/>
    <w:rsid w:val="006A4862"/>
    <w:rsid w:val="006A6C89"/>
    <w:rsid w:val="006B1859"/>
    <w:rsid w:val="006B6680"/>
    <w:rsid w:val="006B6DCC"/>
    <w:rsid w:val="006D6093"/>
    <w:rsid w:val="006F72E3"/>
    <w:rsid w:val="00701C70"/>
    <w:rsid w:val="00702DEF"/>
    <w:rsid w:val="00706861"/>
    <w:rsid w:val="007247CF"/>
    <w:rsid w:val="00726B8C"/>
    <w:rsid w:val="00727C44"/>
    <w:rsid w:val="00733426"/>
    <w:rsid w:val="0075051B"/>
    <w:rsid w:val="0077110E"/>
    <w:rsid w:val="00775655"/>
    <w:rsid w:val="007849D5"/>
    <w:rsid w:val="00793188"/>
    <w:rsid w:val="007933BB"/>
    <w:rsid w:val="00794D34"/>
    <w:rsid w:val="007B0E3D"/>
    <w:rsid w:val="00806E3C"/>
    <w:rsid w:val="00813E5E"/>
    <w:rsid w:val="00816C2C"/>
    <w:rsid w:val="0083581B"/>
    <w:rsid w:val="00860EED"/>
    <w:rsid w:val="00863874"/>
    <w:rsid w:val="00864AFF"/>
    <w:rsid w:val="00865925"/>
    <w:rsid w:val="00867DA8"/>
    <w:rsid w:val="00870C17"/>
    <w:rsid w:val="00872B5C"/>
    <w:rsid w:val="00875FD1"/>
    <w:rsid w:val="00877BF2"/>
    <w:rsid w:val="00884F3A"/>
    <w:rsid w:val="00891503"/>
    <w:rsid w:val="008960A9"/>
    <w:rsid w:val="008A2F06"/>
    <w:rsid w:val="008B4A6A"/>
    <w:rsid w:val="008C7E27"/>
    <w:rsid w:val="008F3822"/>
    <w:rsid w:val="008F7448"/>
    <w:rsid w:val="0090147A"/>
    <w:rsid w:val="0090389B"/>
    <w:rsid w:val="009173EF"/>
    <w:rsid w:val="00932906"/>
    <w:rsid w:val="00937FC0"/>
    <w:rsid w:val="00961860"/>
    <w:rsid w:val="00961B0B"/>
    <w:rsid w:val="00962D33"/>
    <w:rsid w:val="009B13FC"/>
    <w:rsid w:val="009B38C3"/>
    <w:rsid w:val="009B44BD"/>
    <w:rsid w:val="009C3665"/>
    <w:rsid w:val="009C4314"/>
    <w:rsid w:val="009E17BD"/>
    <w:rsid w:val="009E2F20"/>
    <w:rsid w:val="009E485A"/>
    <w:rsid w:val="00A04CEC"/>
    <w:rsid w:val="00A27F92"/>
    <w:rsid w:val="00A32257"/>
    <w:rsid w:val="00A36D20"/>
    <w:rsid w:val="00A43C03"/>
    <w:rsid w:val="00A46CD0"/>
    <w:rsid w:val="00A514A4"/>
    <w:rsid w:val="00A52C84"/>
    <w:rsid w:val="00A55622"/>
    <w:rsid w:val="00A83502"/>
    <w:rsid w:val="00A960A3"/>
    <w:rsid w:val="00AC08C9"/>
    <w:rsid w:val="00AD15B3"/>
    <w:rsid w:val="00AD3606"/>
    <w:rsid w:val="00AD4A3D"/>
    <w:rsid w:val="00AF6E49"/>
    <w:rsid w:val="00B04A67"/>
    <w:rsid w:val="00B0583C"/>
    <w:rsid w:val="00B200B3"/>
    <w:rsid w:val="00B248BC"/>
    <w:rsid w:val="00B27BC2"/>
    <w:rsid w:val="00B358B2"/>
    <w:rsid w:val="00B40A81"/>
    <w:rsid w:val="00B44910"/>
    <w:rsid w:val="00B63B0B"/>
    <w:rsid w:val="00B71122"/>
    <w:rsid w:val="00B72267"/>
    <w:rsid w:val="00B73DD1"/>
    <w:rsid w:val="00B76EB6"/>
    <w:rsid w:val="00B7737B"/>
    <w:rsid w:val="00B824C8"/>
    <w:rsid w:val="00B82C1B"/>
    <w:rsid w:val="00B849D3"/>
    <w:rsid w:val="00B84B9D"/>
    <w:rsid w:val="00BA3A51"/>
    <w:rsid w:val="00BA7975"/>
    <w:rsid w:val="00BB799F"/>
    <w:rsid w:val="00BC251A"/>
    <w:rsid w:val="00BD032B"/>
    <w:rsid w:val="00BD0614"/>
    <w:rsid w:val="00BD094B"/>
    <w:rsid w:val="00BE2640"/>
    <w:rsid w:val="00BE77AC"/>
    <w:rsid w:val="00BF6FD5"/>
    <w:rsid w:val="00C01189"/>
    <w:rsid w:val="00C11AC5"/>
    <w:rsid w:val="00C27DB8"/>
    <w:rsid w:val="00C374DE"/>
    <w:rsid w:val="00C47AD4"/>
    <w:rsid w:val="00C52D81"/>
    <w:rsid w:val="00C55198"/>
    <w:rsid w:val="00C725C6"/>
    <w:rsid w:val="00C82FC9"/>
    <w:rsid w:val="00C922C7"/>
    <w:rsid w:val="00CA59A1"/>
    <w:rsid w:val="00CA6393"/>
    <w:rsid w:val="00CB18FF"/>
    <w:rsid w:val="00CB24AA"/>
    <w:rsid w:val="00CC294E"/>
    <w:rsid w:val="00CD0C08"/>
    <w:rsid w:val="00CD3C91"/>
    <w:rsid w:val="00CE03FB"/>
    <w:rsid w:val="00CE433C"/>
    <w:rsid w:val="00CF0161"/>
    <w:rsid w:val="00CF33F3"/>
    <w:rsid w:val="00D06183"/>
    <w:rsid w:val="00D143DF"/>
    <w:rsid w:val="00D22C42"/>
    <w:rsid w:val="00D45669"/>
    <w:rsid w:val="00D464CC"/>
    <w:rsid w:val="00D522F6"/>
    <w:rsid w:val="00D57EA9"/>
    <w:rsid w:val="00D65041"/>
    <w:rsid w:val="00D67039"/>
    <w:rsid w:val="00D74758"/>
    <w:rsid w:val="00D74BFC"/>
    <w:rsid w:val="00D807A2"/>
    <w:rsid w:val="00D821BF"/>
    <w:rsid w:val="00D86E6C"/>
    <w:rsid w:val="00DB00D5"/>
    <w:rsid w:val="00DB1936"/>
    <w:rsid w:val="00DB384B"/>
    <w:rsid w:val="00DE0E19"/>
    <w:rsid w:val="00DF0189"/>
    <w:rsid w:val="00E06FD5"/>
    <w:rsid w:val="00E10E80"/>
    <w:rsid w:val="00E124F0"/>
    <w:rsid w:val="00E227F3"/>
    <w:rsid w:val="00E4728B"/>
    <w:rsid w:val="00E545C6"/>
    <w:rsid w:val="00E60F04"/>
    <w:rsid w:val="00E63EFF"/>
    <w:rsid w:val="00E65B24"/>
    <w:rsid w:val="00E854E4"/>
    <w:rsid w:val="00E85B67"/>
    <w:rsid w:val="00E86DBF"/>
    <w:rsid w:val="00E92CB4"/>
    <w:rsid w:val="00EA1733"/>
    <w:rsid w:val="00EB0D6F"/>
    <w:rsid w:val="00EB2232"/>
    <w:rsid w:val="00EC5337"/>
    <w:rsid w:val="00EC7C07"/>
    <w:rsid w:val="00ED1472"/>
    <w:rsid w:val="00EE49E8"/>
    <w:rsid w:val="00EF4F5A"/>
    <w:rsid w:val="00EF703F"/>
    <w:rsid w:val="00F10B59"/>
    <w:rsid w:val="00F119D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A5795"/>
    <w:rsid w:val="00FB1279"/>
    <w:rsid w:val="00FB1523"/>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44707"/>
  <w15:docId w15:val="{93A5B049-0293-4EF8-B6B1-BDD81B6F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11F1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styleId="ListParagraph">
    <w:name w:val="List Paragraph"/>
    <w:aliases w:val="NUMBERED PARAGRAPH,List Paragraph 1,List Paragraph (numbered (a)),Use Case List Paragraph,References,ReferencesCxSpLast,lp1,List Paragraph1,Recommendation,List Paragraph11,Listenabsatz Standard"/>
    <w:basedOn w:val="Normal"/>
    <w:link w:val="ListParagraphChar"/>
    <w:uiPriority w:val="34"/>
    <w:qFormat/>
    <w:rsid w:val="00C82FC9"/>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table" w:customStyle="1" w:styleId="Tableausimple21">
    <w:name w:val="Tableau simple 21"/>
    <w:basedOn w:val="TableNormal"/>
    <w:uiPriority w:val="42"/>
    <w:rsid w:val="00C82FC9"/>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C82FC9"/>
    <w:rPr>
      <w:rFonts w:asciiTheme="minorHAnsi" w:eastAsiaTheme="minorHAnsi" w:hAnsiTheme="minorHAnsi" w:cstheme="minorBidi"/>
      <w:sz w:val="22"/>
      <w:szCs w:val="22"/>
      <w:lang w:eastAsia="en-US"/>
    </w:rPr>
  </w:style>
  <w:style w:type="paragraph" w:customStyle="1" w:styleId="CWG-EGName">
    <w:name w:val="CWG-EG_Name"/>
    <w:basedOn w:val="Normal"/>
    <w:rsid w:val="00C82FC9"/>
    <w:pPr>
      <w:jc w:val="center"/>
    </w:pPr>
    <w:rPr>
      <w:b/>
      <w:sz w:val="28"/>
    </w:rPr>
  </w:style>
  <w:style w:type="paragraph" w:styleId="BalloonText">
    <w:name w:val="Balloon Text"/>
    <w:basedOn w:val="Normal"/>
    <w:link w:val="BalloonTextChar"/>
    <w:semiHidden/>
    <w:unhideWhenUsed/>
    <w:rsid w:val="00FB152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B1523"/>
    <w:rPr>
      <w:rFonts w:ascii="Tahoma" w:hAnsi="Tahoma" w:cs="Tahoma"/>
      <w:sz w:val="16"/>
      <w:szCs w:val="16"/>
      <w:lang w:val="en-GB" w:eastAsia="en-US"/>
    </w:rPr>
  </w:style>
  <w:style w:type="paragraph" w:styleId="NormalWeb">
    <w:name w:val="Normal (Web)"/>
    <w:basedOn w:val="Normal"/>
    <w:uiPriority w:val="99"/>
    <w:semiHidden/>
    <w:unhideWhenUsed/>
    <w:rsid w:val="005753F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character" w:styleId="UnresolvedMention">
    <w:name w:val="Unresolved Mention"/>
    <w:basedOn w:val="DefaultParagraphFont"/>
    <w:uiPriority w:val="99"/>
    <w:semiHidden/>
    <w:unhideWhenUsed/>
    <w:rsid w:val="0011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DEC-005-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1-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WG-SFP2-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62E360EB612A45AC10C33F275DB288" ma:contentTypeVersion="1" ma:contentTypeDescription="Create a new document." ma:contentTypeScope="" ma:versionID="74ff6eb72c0eb09fa07ceededf461d4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F12F1-1F94-470B-9445-F840C53E68A1}">
  <ds:schemaRefs>
    <ds:schemaRef ds:uri="http://schemas.microsoft.com/sharepoint/v3/contenttype/forms"/>
  </ds:schemaRefs>
</ds:datastoreItem>
</file>

<file path=customXml/itemProps2.xml><?xml version="1.0" encoding="utf-8"?>
<ds:datastoreItem xmlns:ds="http://schemas.openxmlformats.org/officeDocument/2006/customXml" ds:itemID="{A804E00A-A34D-42B5-9E24-01D2C0655EC9}">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0791778B-FE6F-4471-A420-180F9CBAB085}">
  <ds:schemaRefs>
    <ds:schemaRef ds:uri="http://schemas.openxmlformats.org/officeDocument/2006/bibliography"/>
  </ds:schemaRefs>
</ds:datastoreItem>
</file>

<file path=customXml/itemProps4.xml><?xml version="1.0" encoding="utf-8"?>
<ds:datastoreItem xmlns:ds="http://schemas.openxmlformats.org/officeDocument/2006/customXml" ds:itemID="{AB29322D-0C56-4378-8426-7F53C7BF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CWG-SFP2-TEMPLATE-EXT-contrib.dotx</Template>
  <TotalTime>39</TotalTime>
  <Pages>5</Pages>
  <Words>1519</Words>
  <Characters>8955</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10454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Analysis of implication of Trends in the ICT environment in Strategic and Financial plans Development</dc:title>
  <dc:subject>ITU Council Working Group for strategic and financial plans 2028-2031</dc:subject>
  <dc:creator>User</dc:creator>
  <cp:keywords>CWG-SFP</cp:keywords>
  <cp:lastModifiedBy>GBS</cp:lastModifiedBy>
  <cp:revision>4</cp:revision>
  <dcterms:created xsi:type="dcterms:W3CDTF">2025-02-10T09:19:00Z</dcterms:created>
  <dcterms:modified xsi:type="dcterms:W3CDTF">2025-02-10T10:00:00Z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0x010100B862E360EB612A45AC10C33F275DB288</vt:lpwstr>
  </property>
</Properties>
</file>