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604D0A" w:rsidRPr="00EE3B1A" w14:paraId="2FFCE2C0" w14:textId="77777777">
        <w:trPr>
          <w:cantSplit/>
          <w:trHeight w:val="23"/>
        </w:trPr>
        <w:tc>
          <w:tcPr>
            <w:tcW w:w="3969" w:type="dxa"/>
            <w:vMerge w:val="restart"/>
            <w:tcMar>
              <w:left w:w="0" w:type="dxa"/>
            </w:tcMar>
          </w:tcPr>
          <w:p w14:paraId="77098226" w14:textId="77777777" w:rsidR="00604D0A" w:rsidRPr="00EE3B1A" w:rsidRDefault="00604D0A">
            <w:pPr>
              <w:tabs>
                <w:tab w:val="left" w:pos="851"/>
              </w:tabs>
              <w:spacing w:before="0" w:line="240" w:lineRule="atLeast"/>
              <w:rPr>
                <w:b/>
              </w:rPr>
            </w:pPr>
            <w:bookmarkStart w:id="0" w:name="dmeeting" w:colFirst="0" w:colLast="0"/>
            <w:bookmarkStart w:id="1" w:name="dnum" w:colFirst="1" w:colLast="1"/>
            <w:bookmarkStart w:id="2" w:name="_Hlk133422370"/>
            <w:bookmarkStart w:id="3" w:name="_Hlk133421856"/>
            <w:bookmarkStart w:id="4" w:name="_Hlk133421839"/>
            <w:bookmarkStart w:id="5" w:name="_Hlk133586559"/>
          </w:p>
        </w:tc>
        <w:tc>
          <w:tcPr>
            <w:tcW w:w="5245" w:type="dxa"/>
          </w:tcPr>
          <w:p w14:paraId="42D2E736" w14:textId="55BB113F" w:rsidR="00604D0A" w:rsidRPr="00EE3B1A" w:rsidRDefault="00EE3B1A">
            <w:pPr>
              <w:tabs>
                <w:tab w:val="left" w:pos="851"/>
              </w:tabs>
              <w:spacing w:before="0" w:line="240" w:lineRule="atLeast"/>
              <w:jc w:val="right"/>
              <w:rPr>
                <w:b/>
              </w:rPr>
            </w:pPr>
            <w:r w:rsidRPr="00EE3B1A">
              <w:rPr>
                <w:b/>
              </w:rPr>
              <w:t>Document CWG-SFP-2/</w:t>
            </w:r>
            <w:r w:rsidR="00E62507" w:rsidRPr="00EE3B1A">
              <w:rPr>
                <w:b/>
              </w:rPr>
              <w:t>10</w:t>
            </w:r>
          </w:p>
        </w:tc>
      </w:tr>
      <w:tr w:rsidR="00604D0A" w:rsidRPr="00EE3B1A" w14:paraId="17D242EC" w14:textId="77777777">
        <w:trPr>
          <w:cantSplit/>
        </w:trPr>
        <w:tc>
          <w:tcPr>
            <w:tcW w:w="3969" w:type="dxa"/>
            <w:vMerge/>
          </w:tcPr>
          <w:p w14:paraId="1393BB51" w14:textId="77777777" w:rsidR="00604D0A" w:rsidRPr="00EE3B1A" w:rsidRDefault="00604D0A">
            <w:pPr>
              <w:tabs>
                <w:tab w:val="left" w:pos="851"/>
              </w:tabs>
              <w:spacing w:line="240" w:lineRule="atLeast"/>
              <w:rPr>
                <w:b/>
              </w:rPr>
            </w:pPr>
            <w:bookmarkStart w:id="6" w:name="ddate" w:colFirst="1" w:colLast="1"/>
            <w:bookmarkEnd w:id="0"/>
            <w:bookmarkEnd w:id="1"/>
          </w:p>
        </w:tc>
        <w:tc>
          <w:tcPr>
            <w:tcW w:w="5245" w:type="dxa"/>
          </w:tcPr>
          <w:p w14:paraId="2585C48E" w14:textId="5C23A6CF" w:rsidR="00604D0A" w:rsidRPr="00EE3B1A" w:rsidRDefault="00EE3B1A">
            <w:pPr>
              <w:tabs>
                <w:tab w:val="left" w:pos="851"/>
              </w:tabs>
              <w:spacing w:before="0"/>
              <w:jc w:val="right"/>
              <w:rPr>
                <w:b/>
              </w:rPr>
            </w:pPr>
            <w:r w:rsidRPr="00EE3B1A">
              <w:rPr>
                <w:b/>
                <w:lang w:eastAsia="zh-CN"/>
              </w:rPr>
              <w:t>6</w:t>
            </w:r>
            <w:r w:rsidRPr="00EE3B1A">
              <w:rPr>
                <w:b/>
              </w:rPr>
              <w:t xml:space="preserve"> </w:t>
            </w:r>
            <w:r w:rsidRPr="00EE3B1A">
              <w:rPr>
                <w:b/>
                <w:lang w:eastAsia="zh-CN"/>
              </w:rPr>
              <w:t>February</w:t>
            </w:r>
            <w:r w:rsidRPr="00EE3B1A">
              <w:rPr>
                <w:b/>
              </w:rPr>
              <w:t xml:space="preserve"> 2025</w:t>
            </w:r>
          </w:p>
        </w:tc>
      </w:tr>
      <w:tr w:rsidR="00604D0A" w:rsidRPr="00EE3B1A" w14:paraId="763BACCB" w14:textId="77777777">
        <w:trPr>
          <w:cantSplit/>
          <w:trHeight w:val="23"/>
        </w:trPr>
        <w:tc>
          <w:tcPr>
            <w:tcW w:w="3969" w:type="dxa"/>
            <w:vMerge/>
          </w:tcPr>
          <w:p w14:paraId="785E0836" w14:textId="77777777" w:rsidR="00604D0A" w:rsidRPr="00EE3B1A" w:rsidRDefault="00604D0A">
            <w:pPr>
              <w:tabs>
                <w:tab w:val="left" w:pos="851"/>
              </w:tabs>
              <w:spacing w:line="240" w:lineRule="atLeast"/>
              <w:rPr>
                <w:b/>
              </w:rPr>
            </w:pPr>
            <w:bookmarkStart w:id="7" w:name="dorlang" w:colFirst="1" w:colLast="1"/>
            <w:bookmarkEnd w:id="6"/>
          </w:p>
        </w:tc>
        <w:tc>
          <w:tcPr>
            <w:tcW w:w="5245" w:type="dxa"/>
          </w:tcPr>
          <w:p w14:paraId="4A6DED76" w14:textId="77777777" w:rsidR="00604D0A" w:rsidRPr="00EE3B1A" w:rsidRDefault="00EE3B1A">
            <w:pPr>
              <w:tabs>
                <w:tab w:val="left" w:pos="851"/>
              </w:tabs>
              <w:spacing w:before="0" w:line="240" w:lineRule="atLeast"/>
              <w:jc w:val="right"/>
              <w:rPr>
                <w:b/>
              </w:rPr>
            </w:pPr>
            <w:r w:rsidRPr="00EE3B1A">
              <w:rPr>
                <w:b/>
              </w:rPr>
              <w:t>English only</w:t>
            </w:r>
          </w:p>
        </w:tc>
      </w:tr>
      <w:tr w:rsidR="00604D0A" w:rsidRPr="00EE3B1A" w14:paraId="67FFE9E2" w14:textId="77777777">
        <w:trPr>
          <w:cantSplit/>
          <w:trHeight w:val="23"/>
        </w:trPr>
        <w:tc>
          <w:tcPr>
            <w:tcW w:w="3969" w:type="dxa"/>
          </w:tcPr>
          <w:p w14:paraId="6A60DB49" w14:textId="77777777" w:rsidR="00604D0A" w:rsidRPr="00EE3B1A" w:rsidRDefault="00604D0A">
            <w:pPr>
              <w:tabs>
                <w:tab w:val="left" w:pos="851"/>
              </w:tabs>
              <w:spacing w:line="240" w:lineRule="atLeast"/>
              <w:rPr>
                <w:b/>
              </w:rPr>
            </w:pPr>
          </w:p>
        </w:tc>
        <w:tc>
          <w:tcPr>
            <w:tcW w:w="5245" w:type="dxa"/>
          </w:tcPr>
          <w:p w14:paraId="20C95CF5" w14:textId="77777777" w:rsidR="00604D0A" w:rsidRPr="00EE3B1A" w:rsidRDefault="00604D0A">
            <w:pPr>
              <w:tabs>
                <w:tab w:val="left" w:pos="851"/>
              </w:tabs>
              <w:spacing w:before="0" w:line="240" w:lineRule="atLeast"/>
              <w:jc w:val="right"/>
              <w:rPr>
                <w:b/>
              </w:rPr>
            </w:pPr>
          </w:p>
        </w:tc>
      </w:tr>
      <w:tr w:rsidR="00604D0A" w:rsidRPr="00EE3B1A" w14:paraId="5D0EE421" w14:textId="77777777">
        <w:trPr>
          <w:cantSplit/>
        </w:trPr>
        <w:tc>
          <w:tcPr>
            <w:tcW w:w="9214" w:type="dxa"/>
            <w:gridSpan w:val="2"/>
            <w:tcMar>
              <w:left w:w="0" w:type="dxa"/>
            </w:tcMar>
          </w:tcPr>
          <w:p w14:paraId="5FBC7CDC" w14:textId="0B47E343" w:rsidR="00604D0A" w:rsidRPr="00EE3B1A" w:rsidRDefault="00EE3B1A">
            <w:pPr>
              <w:pStyle w:val="Source"/>
              <w:framePr w:hSpace="0" w:wrap="auto" w:vAnchor="margin" w:hAnchor="text" w:xAlign="left" w:yAlign="inline"/>
            </w:pPr>
            <w:bookmarkStart w:id="8" w:name="dsource" w:colFirst="0" w:colLast="0"/>
            <w:bookmarkEnd w:id="7"/>
            <w:r w:rsidRPr="00EE3B1A">
              <w:t xml:space="preserve">Contribution by </w:t>
            </w:r>
            <w:r w:rsidRPr="00EE3B1A">
              <w:rPr>
                <w:lang w:eastAsia="zh-CN"/>
              </w:rPr>
              <w:t>China (People’s Republic of)</w:t>
            </w:r>
            <w:r w:rsidR="00C0735A">
              <w:rPr>
                <w:lang w:eastAsia="zh-CN"/>
              </w:rPr>
              <w:t>, and Cuba</w:t>
            </w:r>
          </w:p>
        </w:tc>
      </w:tr>
      <w:tr w:rsidR="00604D0A" w:rsidRPr="00EE3B1A" w14:paraId="4117CAB0" w14:textId="77777777">
        <w:trPr>
          <w:cantSplit/>
        </w:trPr>
        <w:tc>
          <w:tcPr>
            <w:tcW w:w="9214" w:type="dxa"/>
            <w:gridSpan w:val="2"/>
            <w:tcMar>
              <w:left w:w="0" w:type="dxa"/>
            </w:tcMar>
          </w:tcPr>
          <w:p w14:paraId="1F52A885" w14:textId="29566ECF" w:rsidR="00604D0A" w:rsidRPr="00EE3B1A" w:rsidRDefault="002D4C93">
            <w:pPr>
              <w:pStyle w:val="Subtitle"/>
              <w:framePr w:hSpace="0" w:wrap="auto" w:xAlign="left" w:yAlign="inline"/>
            </w:pPr>
            <w:bookmarkStart w:id="9" w:name="dtitle1" w:colFirst="0" w:colLast="0"/>
            <w:bookmarkEnd w:id="8"/>
            <w:r w:rsidRPr="00EE3B1A">
              <w:t xml:space="preserve">SUGGESTIONS </w:t>
            </w:r>
            <w:r w:rsidRPr="00EE3B1A">
              <w:rPr>
                <w:lang w:eastAsia="zh-CN"/>
              </w:rPr>
              <w:t>ON</w:t>
            </w:r>
            <w:r w:rsidRPr="00EE3B1A">
              <w:t xml:space="preserve"> THE DEVELOPMENT OF STRATEGIC AND FINANCIAL PLANS OF ITU FOR 2028-2031</w:t>
            </w:r>
          </w:p>
        </w:tc>
      </w:tr>
      <w:tr w:rsidR="00604D0A" w:rsidRPr="00EE3B1A" w14:paraId="58616980" w14:textId="77777777">
        <w:trPr>
          <w:cantSplit/>
        </w:trPr>
        <w:tc>
          <w:tcPr>
            <w:tcW w:w="9214" w:type="dxa"/>
            <w:gridSpan w:val="2"/>
            <w:tcBorders>
              <w:top w:val="single" w:sz="4" w:space="0" w:color="auto"/>
              <w:bottom w:val="single" w:sz="4" w:space="0" w:color="auto"/>
            </w:tcBorders>
            <w:tcMar>
              <w:left w:w="0" w:type="dxa"/>
            </w:tcMar>
          </w:tcPr>
          <w:p w14:paraId="48C789A5" w14:textId="77777777" w:rsidR="00604D0A" w:rsidRPr="00EE3B1A" w:rsidRDefault="00EE3B1A">
            <w:pPr>
              <w:spacing w:before="160"/>
              <w:rPr>
                <w:b/>
                <w:bCs/>
                <w:sz w:val="26"/>
                <w:szCs w:val="26"/>
              </w:rPr>
            </w:pPr>
            <w:r w:rsidRPr="00EE3B1A">
              <w:rPr>
                <w:b/>
                <w:bCs/>
                <w:sz w:val="26"/>
                <w:szCs w:val="26"/>
              </w:rPr>
              <w:t>Purpose</w:t>
            </w:r>
          </w:p>
          <w:p w14:paraId="29F85243" w14:textId="77777777" w:rsidR="00604D0A" w:rsidRPr="00EE3B1A" w:rsidRDefault="00EE3B1A">
            <w:pPr>
              <w:jc w:val="both"/>
              <w:rPr>
                <w:lang w:eastAsia="zh-CN"/>
              </w:rPr>
            </w:pPr>
            <w:r w:rsidRPr="00EE3B1A">
              <w:t xml:space="preserve">This contribution provides suggestions for </w:t>
            </w:r>
            <w:r w:rsidRPr="00EE3B1A">
              <w:rPr>
                <w:lang w:eastAsia="zh-CN"/>
              </w:rPr>
              <w:t>further improving</w:t>
            </w:r>
            <w:r w:rsidRPr="00EE3B1A">
              <w:t xml:space="preserve"> the development of the strategic and financial plans for 2028-203</w:t>
            </w:r>
            <w:r w:rsidRPr="00EE3B1A">
              <w:rPr>
                <w:lang w:eastAsia="zh-CN"/>
              </w:rPr>
              <w:t>1, in order to implement the decisions of the 2024 Session of ITU Council.</w:t>
            </w:r>
          </w:p>
          <w:p w14:paraId="3678AD95" w14:textId="77777777" w:rsidR="00604D0A" w:rsidRPr="00EE3B1A" w:rsidRDefault="00EE3B1A">
            <w:pPr>
              <w:spacing w:before="160"/>
              <w:rPr>
                <w:b/>
                <w:bCs/>
                <w:sz w:val="26"/>
                <w:szCs w:val="26"/>
              </w:rPr>
            </w:pPr>
            <w:r w:rsidRPr="00EE3B1A">
              <w:rPr>
                <w:b/>
                <w:bCs/>
                <w:sz w:val="26"/>
                <w:szCs w:val="26"/>
              </w:rPr>
              <w:t>Action required</w:t>
            </w:r>
          </w:p>
          <w:p w14:paraId="4EA7ED6B" w14:textId="77777777" w:rsidR="00604D0A" w:rsidRPr="00EE3B1A" w:rsidRDefault="00EE3B1A">
            <w:pPr>
              <w:spacing w:before="160"/>
            </w:pPr>
            <w:r w:rsidRPr="00EE3B1A">
              <w:t>The Council Working Group for strategic and financial plans 2028-2031 is invited</w:t>
            </w:r>
            <w:r w:rsidRPr="00EE3B1A">
              <w:rPr>
                <w:lang w:eastAsia="zh-CN"/>
              </w:rPr>
              <w:t xml:space="preserve"> to </w:t>
            </w:r>
            <w:r w:rsidRPr="00EE3B1A">
              <w:rPr>
                <w:b/>
                <w:bCs/>
                <w:lang w:eastAsia="zh-CN"/>
              </w:rPr>
              <w:t>consider</w:t>
            </w:r>
            <w:r w:rsidRPr="00EE3B1A">
              <w:t xml:space="preserve"> this contribution and </w:t>
            </w:r>
            <w:r w:rsidRPr="00EE3B1A">
              <w:rPr>
                <w:b/>
                <w:bCs/>
              </w:rPr>
              <w:t>take appropriate action</w:t>
            </w:r>
            <w:r w:rsidRPr="00EE3B1A">
              <w:t xml:space="preserve">. </w:t>
            </w:r>
          </w:p>
          <w:p w14:paraId="1B4BF5DE" w14:textId="77777777" w:rsidR="00604D0A" w:rsidRPr="00EE3B1A" w:rsidRDefault="00EE3B1A">
            <w:r w:rsidRPr="00EE3B1A">
              <w:t>_______________</w:t>
            </w:r>
          </w:p>
          <w:p w14:paraId="4C2410E0" w14:textId="77777777" w:rsidR="00604D0A" w:rsidRPr="00EE3B1A" w:rsidRDefault="00EE3B1A">
            <w:pPr>
              <w:spacing w:before="160"/>
              <w:rPr>
                <w:b/>
                <w:bCs/>
                <w:sz w:val="26"/>
                <w:szCs w:val="26"/>
              </w:rPr>
            </w:pPr>
            <w:r w:rsidRPr="00EE3B1A">
              <w:rPr>
                <w:b/>
                <w:bCs/>
                <w:sz w:val="26"/>
                <w:szCs w:val="26"/>
              </w:rPr>
              <w:t>References</w:t>
            </w:r>
          </w:p>
          <w:p w14:paraId="7D02A723" w14:textId="77777777" w:rsidR="00604D0A" w:rsidRPr="00EE3B1A" w:rsidRDefault="00EE3B1A" w:rsidP="00D02FCD">
            <w:pPr>
              <w:spacing w:before="160"/>
              <w:rPr>
                <w:rStyle w:val="Hyperlink"/>
                <w:rFonts w:asciiTheme="minorHAnsi" w:hAnsiTheme="minorHAnsi" w:cstheme="minorHAnsi"/>
                <w:i/>
                <w:iCs/>
                <w:sz w:val="22"/>
                <w:szCs w:val="22"/>
                <w:lang w:eastAsia="zh-CN"/>
              </w:rPr>
            </w:pPr>
            <w:r w:rsidRPr="00EE3B1A">
              <w:rPr>
                <w:i/>
                <w:iCs/>
                <w:sz w:val="22"/>
                <w:szCs w:val="22"/>
              </w:rPr>
              <w:t xml:space="preserve">PP Resolution 71 (Rev. Bucharest 2022), PP Resolution </w:t>
            </w:r>
            <w:r w:rsidRPr="00EE3B1A">
              <w:rPr>
                <w:i/>
                <w:iCs/>
                <w:sz w:val="22"/>
                <w:szCs w:val="22"/>
                <w:lang w:eastAsia="zh-CN"/>
              </w:rPr>
              <w:t>15</w:t>
            </w:r>
            <w:r w:rsidRPr="00EE3B1A">
              <w:rPr>
                <w:i/>
                <w:iCs/>
                <w:sz w:val="22"/>
                <w:szCs w:val="22"/>
              </w:rPr>
              <w:t>1 (Rev. Bucharest 2022), Council Resolution 1428 (C24)</w:t>
            </w:r>
            <w:r w:rsidRPr="00EE3B1A">
              <w:rPr>
                <w:i/>
                <w:iCs/>
                <w:sz w:val="22"/>
                <w:szCs w:val="22"/>
                <w:lang w:eastAsia="zh-CN"/>
              </w:rPr>
              <w:t>;</w:t>
            </w:r>
            <w:r w:rsidR="00D02FCD" w:rsidRPr="00EE3B1A">
              <w:rPr>
                <w:i/>
                <w:iCs/>
                <w:sz w:val="22"/>
                <w:szCs w:val="22"/>
                <w:lang w:eastAsia="zh-CN"/>
              </w:rPr>
              <w:t xml:space="preserve"> Documents </w:t>
            </w:r>
            <w:hyperlink r:id="rId8" w:history="1">
              <w:r w:rsidRPr="00EE3B1A">
                <w:rPr>
                  <w:rStyle w:val="Hyperlink"/>
                  <w:i/>
                  <w:iCs/>
                  <w:sz w:val="22"/>
                  <w:szCs w:val="22"/>
                  <w:lang w:eastAsia="zh-CN"/>
                </w:rPr>
                <w:t>CWG-SFP-2</w:t>
              </w:r>
            </w:hyperlink>
            <w:r w:rsidRPr="00EE3B1A">
              <w:rPr>
                <w:i/>
                <w:iCs/>
                <w:sz w:val="22"/>
                <w:szCs w:val="22"/>
                <w:lang w:eastAsia="zh-CN"/>
              </w:rPr>
              <w:t xml:space="preserve">, </w:t>
            </w:r>
            <w:hyperlink r:id="rId9" w:history="1">
              <w:r w:rsidRPr="00EE3B1A">
                <w:rPr>
                  <w:rStyle w:val="Hyperlink"/>
                  <w:bCs/>
                  <w:i/>
                  <w:iCs/>
                  <w:sz w:val="22"/>
                  <w:szCs w:val="22"/>
                </w:rPr>
                <w:t>C24/49</w:t>
              </w:r>
            </w:hyperlink>
            <w:r w:rsidRPr="00EE3B1A">
              <w:rPr>
                <w:bCs/>
                <w:i/>
                <w:iCs/>
                <w:sz w:val="22"/>
                <w:szCs w:val="22"/>
                <w:lang w:eastAsia="zh-CN"/>
              </w:rPr>
              <w:t xml:space="preserve">, </w:t>
            </w:r>
            <w:r w:rsidRPr="00EE3B1A">
              <w:rPr>
                <w:rStyle w:val="Hyperlink"/>
                <w:rFonts w:asciiTheme="minorHAnsi" w:hAnsiTheme="minorHAnsi" w:cstheme="minorHAnsi"/>
                <w:i/>
                <w:iCs/>
                <w:sz w:val="22"/>
                <w:szCs w:val="22"/>
                <w:lang w:eastAsia="zh-CN"/>
              </w:rPr>
              <w:t>CWG-SFP-1/7</w:t>
            </w:r>
          </w:p>
          <w:p w14:paraId="3910E657" w14:textId="45681CF0" w:rsidR="00D02FCD" w:rsidRPr="00EE3B1A" w:rsidRDefault="00D02FCD" w:rsidP="00D02FCD">
            <w:pPr>
              <w:spacing w:before="160"/>
              <w:rPr>
                <w:i/>
                <w:iCs/>
                <w:sz w:val="22"/>
                <w:szCs w:val="22"/>
              </w:rPr>
            </w:pPr>
          </w:p>
        </w:tc>
      </w:tr>
    </w:tbl>
    <w:p w14:paraId="2C1941CC" w14:textId="77777777" w:rsidR="00604D0A" w:rsidRPr="00EE3B1A" w:rsidRDefault="00EE3B1A">
      <w:r w:rsidRPr="00EE3B1A">
        <w:br w:type="page"/>
      </w:r>
    </w:p>
    <w:p w14:paraId="5FFDF0F8" w14:textId="28C024BF" w:rsidR="00604D0A" w:rsidRPr="00EE3B1A" w:rsidRDefault="00EE3B1A" w:rsidP="002D4C93">
      <w:pPr>
        <w:pStyle w:val="Heading1"/>
        <w:rPr>
          <w:lang w:eastAsia="zh-CN"/>
        </w:rPr>
      </w:pPr>
      <w:r w:rsidRPr="00EE3B1A">
        <w:rPr>
          <w:lang w:eastAsia="zh-CN"/>
        </w:rPr>
        <w:lastRenderedPageBreak/>
        <w:t>1</w:t>
      </w:r>
      <w:r w:rsidR="002D4C93" w:rsidRPr="00EE3B1A">
        <w:rPr>
          <w:lang w:eastAsia="zh-CN"/>
        </w:rPr>
        <w:tab/>
      </w:r>
      <w:r w:rsidRPr="00EE3B1A">
        <w:rPr>
          <w:lang w:eastAsia="zh-CN"/>
        </w:rPr>
        <w:t>Background</w:t>
      </w:r>
    </w:p>
    <w:p w14:paraId="2C124D56" w14:textId="2102536B" w:rsidR="00604D0A" w:rsidRPr="00EE3B1A" w:rsidRDefault="00EE3B1A" w:rsidP="002D4C93">
      <w:pPr>
        <w:jc w:val="both"/>
        <w:rPr>
          <w:lang w:eastAsia="zh-CN"/>
        </w:rPr>
      </w:pPr>
      <w:r w:rsidRPr="00EE3B1A">
        <w:rPr>
          <w:lang w:eastAsia="zh-CN"/>
        </w:rPr>
        <w:t>Plenipotentiary Conference Resolution 151 (</w:t>
      </w:r>
      <w:r w:rsidR="002D4C93" w:rsidRPr="00EE3B1A">
        <w:rPr>
          <w:lang w:eastAsia="zh-CN"/>
        </w:rPr>
        <w:t>Rev. Bucharest</w:t>
      </w:r>
      <w:r w:rsidRPr="00EE3B1A">
        <w:rPr>
          <w:lang w:eastAsia="zh-CN"/>
        </w:rPr>
        <w:t>, 2022) “Improvement of results-based management in ITU” resolves that,</w:t>
      </w:r>
      <w:r w:rsidRPr="00EE3B1A">
        <w:t xml:space="preserve"> “</w:t>
      </w:r>
      <w:r w:rsidR="002D4C93" w:rsidRPr="00EE3B1A">
        <w:t xml:space="preserve">the </w:t>
      </w:r>
      <w:r w:rsidRPr="00EE3B1A">
        <w:t xml:space="preserve">Secretary-General and the Directors of the three Bureaux should continue to develop a comprehensive ITU results framework to support implementation of the strategic, financial and operational plans and budget and increase the capability of the Union's membership to assess progress in the achievement of ITU goals”. </w:t>
      </w:r>
      <w:r w:rsidRPr="00EE3B1A">
        <w:rPr>
          <w:lang w:eastAsia="zh-CN"/>
        </w:rPr>
        <w:t>In September 2024, the liaison statement of TSAG to CWG-SFP (</w:t>
      </w:r>
      <w:r w:rsidR="00D02FCD" w:rsidRPr="00EE3B1A">
        <w:rPr>
          <w:lang w:eastAsia="zh-CN"/>
        </w:rPr>
        <w:t xml:space="preserve">Doc. </w:t>
      </w:r>
      <w:hyperlink r:id="rId10" w:history="1">
        <w:r w:rsidRPr="00EE3B1A">
          <w:rPr>
            <w:rStyle w:val="Hyperlink"/>
          </w:rPr>
          <w:t>CWG-SFP-1/7</w:t>
        </w:r>
      </w:hyperlink>
      <w:r w:rsidRPr="00EE3B1A">
        <w:rPr>
          <w:lang w:eastAsia="zh-CN"/>
        </w:rPr>
        <w:t>) stated that “the current version of the Strategic Plan 2024-2027 does not address the issue of linkage</w:t>
      </w:r>
      <w:r w:rsidRPr="00EE3B1A">
        <w:t xml:space="preserve"> </w:t>
      </w:r>
      <w:r w:rsidRPr="00EE3B1A">
        <w:rPr>
          <w:lang w:eastAsia="zh-CN"/>
        </w:rPr>
        <w:t xml:space="preserve">of the strategic and operational plans in its narrative text”. The </w:t>
      </w:r>
      <w:hyperlink r:id="rId11" w:history="1">
        <w:r w:rsidRPr="00EE3B1A">
          <w:rPr>
            <w:rStyle w:val="Hyperlink"/>
          </w:rPr>
          <w:t>Corporate Risk Register</w:t>
        </w:r>
      </w:hyperlink>
      <w:r w:rsidRPr="00EE3B1A">
        <w:rPr>
          <w:rStyle w:val="Hyperlink"/>
          <w:rFonts w:eastAsia="SimSun" w:cs="Calibri"/>
          <w:lang w:eastAsia="zh-CN"/>
        </w:rPr>
        <w:t xml:space="preserve"> </w:t>
      </w:r>
      <w:r w:rsidRPr="00EE3B1A">
        <w:rPr>
          <w:lang w:eastAsia="zh-CN"/>
        </w:rPr>
        <w:t>(</w:t>
      </w:r>
      <w:r w:rsidR="00D02FCD" w:rsidRPr="00EE3B1A">
        <w:rPr>
          <w:lang w:eastAsia="zh-CN"/>
        </w:rPr>
        <w:t>Doc. </w:t>
      </w:r>
      <w:hyperlink r:id="rId12" w:history="1">
        <w:r w:rsidRPr="00EE3B1A">
          <w:rPr>
            <w:rStyle w:val="Hyperlink"/>
          </w:rPr>
          <w:t>C24/49</w:t>
        </w:r>
      </w:hyperlink>
      <w:r w:rsidRPr="00EE3B1A">
        <w:rPr>
          <w:lang w:eastAsia="zh-CN"/>
        </w:rPr>
        <w:t>) examined the risks faced by the ITU, and categorized 12 of them as strategic risks. It also recognized that “there is a substantial risk that the current strategic plan does not fully translate into or inform the formulation of actionable objectives and workplans across the General Secretariat and Bureaux to support the activities of the Union”. In December 2024, the CWG-SFP conducted an online consultation (</w:t>
      </w:r>
      <w:r w:rsidR="00D02FCD" w:rsidRPr="00EE3B1A">
        <w:rPr>
          <w:lang w:eastAsia="zh-CN"/>
        </w:rPr>
        <w:t xml:space="preserve">Doc. </w:t>
      </w:r>
      <w:hyperlink r:id="rId13" w:history="1">
        <w:r w:rsidR="00D02FCD" w:rsidRPr="00EE3B1A">
          <w:rPr>
            <w:rStyle w:val="Hyperlink"/>
            <w:rFonts w:eastAsia="SimSun" w:cs="Calibri"/>
            <w:lang w:eastAsia="zh-CN"/>
          </w:rPr>
          <w:t>CWG-SFP-2/2</w:t>
        </w:r>
      </w:hyperlink>
      <w:r w:rsidRPr="00EE3B1A">
        <w:rPr>
          <w:lang w:eastAsia="zh-CN"/>
        </w:rPr>
        <w:t xml:space="preserve">), and widely collected members' opinions on ITU's strengths, weaknesses, risks, and opportunities. </w:t>
      </w:r>
    </w:p>
    <w:p w14:paraId="5205FF76" w14:textId="31C796E4" w:rsidR="00604D0A" w:rsidRPr="00EE3B1A" w:rsidRDefault="00D02FCD" w:rsidP="002D4C93">
      <w:pPr>
        <w:pStyle w:val="Heading1"/>
        <w:rPr>
          <w:lang w:eastAsia="zh-CN"/>
        </w:rPr>
      </w:pPr>
      <w:r w:rsidRPr="00EE3B1A">
        <w:rPr>
          <w:lang w:eastAsia="zh-CN"/>
        </w:rPr>
        <w:t>2</w:t>
      </w:r>
      <w:r w:rsidRPr="00EE3B1A">
        <w:rPr>
          <w:lang w:eastAsia="zh-CN"/>
        </w:rPr>
        <w:tab/>
      </w:r>
      <w:r w:rsidR="00EE3B1A" w:rsidRPr="00EE3B1A">
        <w:rPr>
          <w:lang w:eastAsia="zh-CN"/>
        </w:rPr>
        <w:t>Discussion</w:t>
      </w:r>
    </w:p>
    <w:p w14:paraId="4B262C01" w14:textId="6D58DCE2" w:rsidR="00604D0A" w:rsidRPr="00EE3B1A" w:rsidRDefault="00D02FCD" w:rsidP="00D02FCD">
      <w:pPr>
        <w:jc w:val="both"/>
        <w:rPr>
          <w:lang w:eastAsia="zh-CN"/>
        </w:rPr>
      </w:pPr>
      <w:r w:rsidRPr="00EE3B1A">
        <w:rPr>
          <w:lang w:eastAsia="zh-CN"/>
        </w:rPr>
        <w:t>1</w:t>
      </w:r>
      <w:r w:rsidRPr="00EE3B1A">
        <w:rPr>
          <w:lang w:eastAsia="zh-CN"/>
        </w:rPr>
        <w:tab/>
      </w:r>
      <w:r w:rsidR="00EE3B1A" w:rsidRPr="00EE3B1A">
        <w:rPr>
          <w:lang w:eastAsia="zh-CN"/>
        </w:rPr>
        <w:t>As the UN's specialized agency for information and communication technology (ICT), ITU has a mission in promoting, facilitating and fostering affordable and universal access to telecommunication/information and communication technology networks, services and applications and their use for social, economic and environmentally sustainable growth and development. The ITU's strategic and financial plans for 2028-2031 should give a clear roadmap for the Union to achieve its mission in the new round of scientific and technological revolution and industrial transformation, and align with major international processes, with the aim to leverage ICTs to contribute to the achievement of the United Nations Sustainable Development Goals.</w:t>
      </w:r>
    </w:p>
    <w:p w14:paraId="12730FE9" w14:textId="76A75139" w:rsidR="00604D0A" w:rsidRPr="00EE3B1A" w:rsidRDefault="00D02FCD" w:rsidP="00D02FCD">
      <w:pPr>
        <w:jc w:val="both"/>
        <w:rPr>
          <w:lang w:eastAsia="zh-CN"/>
        </w:rPr>
      </w:pPr>
      <w:r w:rsidRPr="00EE3B1A">
        <w:rPr>
          <w:lang w:eastAsia="zh-CN"/>
        </w:rPr>
        <w:t>2</w:t>
      </w:r>
      <w:r w:rsidRPr="00EE3B1A">
        <w:rPr>
          <w:lang w:eastAsia="zh-CN"/>
        </w:rPr>
        <w:tab/>
      </w:r>
      <w:r w:rsidR="00EE3B1A" w:rsidRPr="00EE3B1A">
        <w:rPr>
          <w:lang w:eastAsia="zh-CN"/>
        </w:rPr>
        <w:t>Strategic Plan 2024-2027 does not provide a complete analysis of ITU's strengths, weaknesses, opportunities, and threats (SWOT). Such an analysis is crucial for clarifying the organization's strategic positioning, formulating strategic directions, optimizing resource allocation, and fostering innovation and organizational change. It is an indispensable component of strategic and financial planning.</w:t>
      </w:r>
    </w:p>
    <w:p w14:paraId="6336268C" w14:textId="1B26B5E6" w:rsidR="00604D0A" w:rsidRPr="00EE3B1A" w:rsidRDefault="00EE3B1A" w:rsidP="00D02FCD">
      <w:pPr>
        <w:jc w:val="both"/>
        <w:rPr>
          <w:lang w:eastAsia="zh-CN"/>
        </w:rPr>
      </w:pPr>
      <w:r w:rsidRPr="00EE3B1A">
        <w:rPr>
          <w:lang w:eastAsia="zh-CN"/>
        </w:rPr>
        <w:t>3</w:t>
      </w:r>
      <w:r w:rsidR="00D02FCD" w:rsidRPr="00EE3B1A">
        <w:rPr>
          <w:lang w:eastAsia="zh-CN"/>
        </w:rPr>
        <w:tab/>
      </w:r>
      <w:r w:rsidRPr="00EE3B1A">
        <w:rPr>
          <w:lang w:eastAsia="zh-CN"/>
        </w:rPr>
        <w:t>It is necessary to strengthen the linkage of the strategic, financial and operational plans. This not only enhances the effectiveness of resource utilization and promotes the implementation of overall strategic goals, but also facilitates the integration of Bureaux priorities into strategic and financial plans and strengthens collaboration within the Union.</w:t>
      </w:r>
    </w:p>
    <w:p w14:paraId="39B72DF2" w14:textId="7463C044" w:rsidR="00604D0A" w:rsidRPr="00EE3B1A" w:rsidRDefault="00EE3B1A" w:rsidP="002D4C93">
      <w:pPr>
        <w:pStyle w:val="Heading1"/>
        <w:rPr>
          <w:lang w:eastAsia="zh-CN"/>
        </w:rPr>
      </w:pPr>
      <w:r w:rsidRPr="00EE3B1A">
        <w:rPr>
          <w:lang w:eastAsia="zh-CN"/>
        </w:rPr>
        <w:t>3</w:t>
      </w:r>
      <w:r w:rsidR="00D02FCD" w:rsidRPr="00EE3B1A">
        <w:rPr>
          <w:lang w:eastAsia="zh-CN"/>
        </w:rPr>
        <w:tab/>
      </w:r>
      <w:r w:rsidRPr="00EE3B1A">
        <w:rPr>
          <w:lang w:eastAsia="zh-CN"/>
        </w:rPr>
        <w:t>Proposal</w:t>
      </w:r>
    </w:p>
    <w:p w14:paraId="436A6332" w14:textId="77777777" w:rsidR="00604D0A" w:rsidRPr="00EE3B1A" w:rsidRDefault="00EE3B1A" w:rsidP="00D02FCD">
      <w:pPr>
        <w:rPr>
          <w:lang w:eastAsia="zh-CN"/>
        </w:rPr>
      </w:pPr>
      <w:r w:rsidRPr="00EE3B1A">
        <w:rPr>
          <w:lang w:eastAsia="zh-CN"/>
        </w:rPr>
        <w:t>The following issues should be considered in the formulation of strategic and financial plans 2028-2031:</w:t>
      </w:r>
    </w:p>
    <w:p w14:paraId="636C5D8A" w14:textId="33E5953B" w:rsidR="00604D0A" w:rsidRPr="00EE3B1A" w:rsidRDefault="00D02FCD" w:rsidP="00D02FCD">
      <w:pPr>
        <w:pStyle w:val="enumlev1"/>
        <w:jc w:val="both"/>
        <w:rPr>
          <w:lang w:eastAsia="zh-CN"/>
        </w:rPr>
      </w:pPr>
      <w:r w:rsidRPr="00EE3B1A">
        <w:rPr>
          <w:lang w:eastAsia="zh-CN"/>
        </w:rPr>
        <w:t>1</w:t>
      </w:r>
      <w:r w:rsidRPr="00EE3B1A">
        <w:rPr>
          <w:lang w:eastAsia="zh-CN"/>
        </w:rPr>
        <w:tab/>
      </w:r>
      <w:r w:rsidR="00EE3B1A" w:rsidRPr="00EE3B1A">
        <w:rPr>
          <w:lang w:eastAsia="zh-CN"/>
        </w:rPr>
        <w:t xml:space="preserve">The strategic and financial plans should incorporate such topics as key thematic priorities, which include: rational, equitable, efficient and economical use of the radio-frequency spectrum and associated satellite-orbit resources; ICT standardization; cybersecurity and resilience; innovation and application of emerging technologies; and </w:t>
      </w:r>
      <w:r w:rsidR="00EE3B1A" w:rsidRPr="00EE3B1A">
        <w:rPr>
          <w:lang w:eastAsia="zh-CN"/>
        </w:rPr>
        <w:lastRenderedPageBreak/>
        <w:t>digitalization and green transition, with the aim to comply with ITU’s mandates and better capture the latest innovation trends.</w:t>
      </w:r>
    </w:p>
    <w:p w14:paraId="4F4D51F2" w14:textId="5F587C4A" w:rsidR="00604D0A" w:rsidRPr="00EE3B1A" w:rsidRDefault="00D02FCD" w:rsidP="00D02FCD">
      <w:pPr>
        <w:pStyle w:val="enumlev1"/>
        <w:jc w:val="both"/>
        <w:rPr>
          <w:lang w:eastAsia="zh-CN"/>
        </w:rPr>
      </w:pPr>
      <w:r w:rsidRPr="00EE3B1A">
        <w:rPr>
          <w:lang w:eastAsia="zh-CN"/>
        </w:rPr>
        <w:t>2</w:t>
      </w:r>
      <w:r w:rsidRPr="00EE3B1A">
        <w:rPr>
          <w:lang w:eastAsia="zh-CN"/>
        </w:rPr>
        <w:tab/>
      </w:r>
      <w:r w:rsidR="00EE3B1A" w:rsidRPr="00EE3B1A">
        <w:rPr>
          <w:lang w:eastAsia="zh-CN"/>
        </w:rPr>
        <w:t>It is necessary to add a comprehensive SWOT analysis in the situational analysis section, which could help members having a clearer understanding of the opportunities and challenges in the next cycle.</w:t>
      </w:r>
    </w:p>
    <w:p w14:paraId="644D9072" w14:textId="04736B5E" w:rsidR="00604D0A" w:rsidRPr="00EE3B1A" w:rsidRDefault="00EE3B1A" w:rsidP="00D02FCD">
      <w:pPr>
        <w:pStyle w:val="enumlev1"/>
        <w:jc w:val="both"/>
        <w:rPr>
          <w:lang w:eastAsia="zh-CN"/>
        </w:rPr>
      </w:pPr>
      <w:r w:rsidRPr="00EE3B1A">
        <w:rPr>
          <w:lang w:eastAsia="zh-CN"/>
        </w:rPr>
        <w:t>3</w:t>
      </w:r>
      <w:r w:rsidR="00D02FCD" w:rsidRPr="00EE3B1A">
        <w:rPr>
          <w:lang w:eastAsia="zh-CN"/>
        </w:rPr>
        <w:tab/>
      </w:r>
      <w:r w:rsidRPr="00EE3B1A">
        <w:rPr>
          <w:lang w:eastAsia="zh-CN"/>
        </w:rPr>
        <w:t xml:space="preserve">To strengthen the linkage of the strategic and financial plans, the </w:t>
      </w:r>
      <w:r w:rsidRPr="00EE3B1A">
        <w:t>Advisory Group</w:t>
      </w:r>
      <w:r w:rsidRPr="00EE3B1A">
        <w:rPr>
          <w:lang w:eastAsia="zh-CN"/>
        </w:rPr>
        <w:t>s</w:t>
      </w:r>
      <w:r w:rsidRPr="00EE3B1A">
        <w:t xml:space="preserve"> </w:t>
      </w:r>
      <w:r w:rsidRPr="00EE3B1A">
        <w:rPr>
          <w:lang w:eastAsia="zh-CN"/>
        </w:rPr>
        <w:t>of three Bureaux are expected to actively engage in the development of strategic and financial plans, identifying their respective priorities for the 2028-2031 period and proposing corresponding budgetary allocations. The analysis should serve as a key reference for the development of the strategic and financial plans for 2028-2031.</w:t>
      </w:r>
    </w:p>
    <w:p w14:paraId="0EAB55F6" w14:textId="2F937170" w:rsidR="00604D0A" w:rsidRPr="00EE3B1A" w:rsidRDefault="00EE3B1A" w:rsidP="00D02FCD">
      <w:pPr>
        <w:pStyle w:val="enumlev1"/>
        <w:jc w:val="both"/>
        <w:rPr>
          <w:lang w:eastAsia="zh-CN"/>
        </w:rPr>
      </w:pPr>
      <w:r w:rsidRPr="00EE3B1A">
        <w:rPr>
          <w:lang w:eastAsia="zh-CN"/>
        </w:rPr>
        <w:t>4</w:t>
      </w:r>
      <w:r w:rsidR="00D02FCD" w:rsidRPr="00EE3B1A">
        <w:rPr>
          <w:lang w:eastAsia="zh-CN"/>
        </w:rPr>
        <w:tab/>
      </w:r>
      <w:r w:rsidRPr="00EE3B1A">
        <w:rPr>
          <w:lang w:eastAsia="zh-CN"/>
        </w:rPr>
        <w:t>To establish correspondence groups based on the core elements of the planning framework with clear Terms of Reference to facilitate the discussion and development of the strategic and financial plan. The outcomes of these discussions should be submitted to the CWG-SFP for review.</w:t>
      </w:r>
      <w:bookmarkEnd w:id="2"/>
      <w:bookmarkEnd w:id="3"/>
      <w:bookmarkEnd w:id="4"/>
      <w:bookmarkEnd w:id="5"/>
      <w:bookmarkEnd w:id="9"/>
    </w:p>
    <w:p w14:paraId="5E8386D4" w14:textId="77777777" w:rsidR="00D02FCD" w:rsidRPr="00EE3B1A" w:rsidRDefault="00D02FCD" w:rsidP="00D02FCD">
      <w:pPr>
        <w:pStyle w:val="enumlev1"/>
        <w:jc w:val="both"/>
        <w:rPr>
          <w:lang w:eastAsia="zh-CN"/>
        </w:rPr>
      </w:pPr>
    </w:p>
    <w:p w14:paraId="6270E615" w14:textId="1984A26F" w:rsidR="00D02FCD" w:rsidRPr="00EE3B1A" w:rsidRDefault="00D02FCD" w:rsidP="00D02FCD">
      <w:pPr>
        <w:jc w:val="center"/>
      </w:pPr>
      <w:r w:rsidRPr="00EE3B1A">
        <w:t>______________</w:t>
      </w:r>
    </w:p>
    <w:sectPr w:rsidR="00D02FCD" w:rsidRPr="00EE3B1A">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ECC18" w14:textId="77777777" w:rsidR="00EE3B1A" w:rsidRDefault="00EE3B1A">
      <w:pPr>
        <w:spacing w:before="0"/>
      </w:pPr>
      <w:r>
        <w:separator/>
      </w:r>
    </w:p>
  </w:endnote>
  <w:endnote w:type="continuationSeparator" w:id="0">
    <w:p w14:paraId="288AD268" w14:textId="77777777" w:rsidR="00EE3B1A" w:rsidRDefault="00EE3B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04D0A" w14:paraId="48F1DD1B" w14:textId="77777777">
      <w:trPr>
        <w:jc w:val="center"/>
      </w:trPr>
      <w:tc>
        <w:tcPr>
          <w:tcW w:w="1803" w:type="dxa"/>
          <w:vAlign w:val="center"/>
        </w:tcPr>
        <w:p w14:paraId="29F97D18" w14:textId="77777777" w:rsidR="00604D0A" w:rsidRDefault="00604D0A">
          <w:pPr>
            <w:pStyle w:val="Header"/>
            <w:jc w:val="left"/>
            <w:rPr>
              <w:rFonts w:eastAsiaTheme="minorHAnsi"/>
            </w:rPr>
          </w:pPr>
        </w:p>
      </w:tc>
      <w:tc>
        <w:tcPr>
          <w:tcW w:w="8261" w:type="dxa"/>
        </w:tcPr>
        <w:p w14:paraId="6340D32A" w14:textId="2CE262EC" w:rsidR="00604D0A" w:rsidRDefault="00EE3B1A">
          <w:pPr>
            <w:pStyle w:val="Header"/>
            <w:tabs>
              <w:tab w:val="left" w:pos="6451"/>
              <w:tab w:val="right" w:pos="8505"/>
              <w:tab w:val="right" w:pos="9639"/>
            </w:tabs>
            <w:jc w:val="left"/>
            <w:rPr>
              <w:rFonts w:ascii="Arial" w:eastAsiaTheme="minorHAnsi" w:hAnsi="Arial" w:cs="Arial"/>
              <w:b/>
              <w:bCs/>
              <w:szCs w:val="18"/>
              <w:lang w:val="es-ES"/>
            </w:rPr>
          </w:pPr>
          <w:r>
            <w:rPr>
              <w:rFonts w:eastAsiaTheme="minorHAnsi"/>
              <w:bCs/>
              <w:lang w:val="fr-CH"/>
            </w:rPr>
            <w:tab/>
          </w:r>
          <w:r>
            <w:rPr>
              <w:rFonts w:eastAsiaTheme="minorHAnsi"/>
              <w:bCs/>
              <w:lang w:val="es-ES"/>
            </w:rPr>
            <w:t>CWG-SFP-2/</w:t>
          </w:r>
          <w:r w:rsidR="002D4C93">
            <w:rPr>
              <w:rFonts w:eastAsiaTheme="minorHAnsi"/>
              <w:bCs/>
              <w:lang w:val="es-ES"/>
            </w:rPr>
            <w:t>10</w:t>
          </w:r>
          <w:r>
            <w:rPr>
              <w:rFonts w:eastAsiaTheme="minorHAnsi"/>
              <w:bCs/>
              <w:lang w:val="es-ES"/>
            </w:rPr>
            <w:t>-E</w:t>
          </w:r>
          <w:r>
            <w:rPr>
              <w:rFonts w:eastAsiaTheme="minorHAnsi"/>
              <w:bCs/>
              <w:lang w:val="es-ES"/>
            </w:rPr>
            <w:tab/>
          </w:r>
          <w:r>
            <w:rPr>
              <w:rFonts w:eastAsiaTheme="minorHAnsi"/>
            </w:rPr>
            <w:fldChar w:fldCharType="begin"/>
          </w:r>
          <w:r>
            <w:rPr>
              <w:rFonts w:eastAsiaTheme="minorHAnsi"/>
              <w:lang w:val="es-ES"/>
            </w:rPr>
            <w:instrText>PAGE</w:instrText>
          </w:r>
          <w:r>
            <w:rPr>
              <w:rFonts w:eastAsiaTheme="minorHAnsi"/>
            </w:rPr>
            <w:fldChar w:fldCharType="separate"/>
          </w:r>
          <w:r>
            <w:rPr>
              <w:rFonts w:eastAsiaTheme="minorHAnsi"/>
              <w:lang w:val="es-ES"/>
            </w:rPr>
            <w:t>1</w:t>
          </w:r>
          <w:r>
            <w:rPr>
              <w:rFonts w:eastAsiaTheme="minorHAnsi"/>
            </w:rPr>
            <w:fldChar w:fldCharType="end"/>
          </w:r>
        </w:p>
      </w:tc>
    </w:tr>
  </w:tbl>
  <w:p w14:paraId="01BC2F67" w14:textId="77777777" w:rsidR="00604D0A" w:rsidRDefault="00604D0A">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604D0A" w14:paraId="3162D198" w14:textId="77777777">
      <w:trPr>
        <w:jc w:val="center"/>
      </w:trPr>
      <w:tc>
        <w:tcPr>
          <w:tcW w:w="3107" w:type="dxa"/>
          <w:vAlign w:val="center"/>
        </w:tcPr>
        <w:p w14:paraId="7F3A1A8C" w14:textId="77777777" w:rsidR="00604D0A" w:rsidRDefault="00EE3B1A">
          <w:pPr>
            <w:pStyle w:val="Header"/>
            <w:jc w:val="left"/>
            <w:rPr>
              <w:rFonts w:eastAsiaTheme="minorHAnsi"/>
            </w:rPr>
          </w:pPr>
          <w:hyperlink r:id="rId1" w:history="1">
            <w:r w:rsidRPr="002D4C93">
              <w:rPr>
                <w:rStyle w:val="Hyperlink"/>
                <w:rFonts w:eastAsiaTheme="minorHAnsi"/>
                <w:color w:val="4F81BD" w:themeColor="accent1"/>
                <w:u w:val="none"/>
              </w:rPr>
              <w:t>https://council.itu.int/working-groups</w:t>
            </w:r>
          </w:hyperlink>
        </w:p>
      </w:tc>
      <w:tc>
        <w:tcPr>
          <w:tcW w:w="6957" w:type="dxa"/>
        </w:tcPr>
        <w:p w14:paraId="73196C76" w14:textId="36529B75" w:rsidR="00604D0A" w:rsidRDefault="00EE3B1A">
          <w:pPr>
            <w:pStyle w:val="Header"/>
            <w:tabs>
              <w:tab w:val="left" w:pos="5150"/>
              <w:tab w:val="right" w:pos="8505"/>
              <w:tab w:val="right" w:pos="9639"/>
            </w:tabs>
            <w:jc w:val="left"/>
            <w:rPr>
              <w:rFonts w:ascii="Arial" w:eastAsiaTheme="minorHAnsi" w:hAnsi="Arial" w:cs="Arial"/>
              <w:b/>
              <w:bCs/>
              <w:szCs w:val="18"/>
              <w:lang w:val="es-ES"/>
            </w:rPr>
          </w:pPr>
          <w:r>
            <w:rPr>
              <w:rFonts w:eastAsiaTheme="minorHAnsi"/>
              <w:bCs/>
            </w:rPr>
            <w:tab/>
          </w:r>
          <w:r>
            <w:rPr>
              <w:rFonts w:eastAsiaTheme="minorHAnsi"/>
              <w:bCs/>
              <w:lang w:val="es-ES"/>
            </w:rPr>
            <w:t>CWG-SFP-2/</w:t>
          </w:r>
          <w:r w:rsidR="002D4C93">
            <w:rPr>
              <w:rFonts w:eastAsiaTheme="minorHAnsi"/>
              <w:bCs/>
              <w:lang w:val="es-ES"/>
            </w:rPr>
            <w:t>10</w:t>
          </w:r>
          <w:r>
            <w:rPr>
              <w:rFonts w:eastAsiaTheme="minorHAnsi"/>
              <w:bCs/>
              <w:lang w:val="es-ES"/>
            </w:rPr>
            <w:t>-E</w:t>
          </w:r>
          <w:r>
            <w:rPr>
              <w:rFonts w:eastAsiaTheme="minorHAnsi"/>
              <w:bCs/>
              <w:lang w:val="es-ES"/>
            </w:rPr>
            <w:tab/>
          </w:r>
          <w:r>
            <w:rPr>
              <w:rFonts w:eastAsiaTheme="minorHAnsi"/>
            </w:rPr>
            <w:fldChar w:fldCharType="begin"/>
          </w:r>
          <w:r>
            <w:rPr>
              <w:rFonts w:eastAsiaTheme="minorHAnsi"/>
              <w:lang w:val="es-ES"/>
            </w:rPr>
            <w:instrText>PAGE</w:instrText>
          </w:r>
          <w:r>
            <w:rPr>
              <w:rFonts w:eastAsiaTheme="minorHAnsi"/>
            </w:rPr>
            <w:fldChar w:fldCharType="separate"/>
          </w:r>
          <w:r>
            <w:rPr>
              <w:rFonts w:eastAsiaTheme="minorHAnsi"/>
              <w:lang w:val="es-ES"/>
            </w:rPr>
            <w:t>1</w:t>
          </w:r>
          <w:r>
            <w:rPr>
              <w:rFonts w:eastAsiaTheme="minorHAnsi"/>
            </w:rPr>
            <w:fldChar w:fldCharType="end"/>
          </w:r>
        </w:p>
      </w:tc>
    </w:tr>
  </w:tbl>
  <w:p w14:paraId="370F8F42" w14:textId="77777777" w:rsidR="00604D0A" w:rsidRDefault="00604D0A">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2D4E" w14:textId="77777777" w:rsidR="00604D0A" w:rsidRDefault="00EE3B1A">
      <w:pPr>
        <w:spacing w:before="0"/>
      </w:pPr>
      <w:r>
        <w:separator/>
      </w:r>
    </w:p>
  </w:footnote>
  <w:footnote w:type="continuationSeparator" w:id="0">
    <w:p w14:paraId="649070FB" w14:textId="77777777" w:rsidR="00604D0A" w:rsidRDefault="00EE3B1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604D0A" w14:paraId="72F29023" w14:textId="77777777">
      <w:trPr>
        <w:trHeight w:val="1304"/>
        <w:jc w:val="center"/>
      </w:trPr>
      <w:tc>
        <w:tcPr>
          <w:tcW w:w="6546" w:type="dxa"/>
        </w:tcPr>
        <w:bookmarkStart w:id="10" w:name="_Hlk133422111"/>
        <w:p w14:paraId="7B9FDE1E" w14:textId="77777777" w:rsidR="00604D0A" w:rsidRDefault="00EE3B1A">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0288" behindDoc="0" locked="0" layoutInCell="1" allowOverlap="1" wp14:anchorId="0F98BD37" wp14:editId="719FA7B7">
                    <wp:simplePos x="0" y="0"/>
                    <wp:positionH relativeFrom="column">
                      <wp:posOffset>1438275</wp:posOffset>
                    </wp:positionH>
                    <wp:positionV relativeFrom="paragraph">
                      <wp:posOffset>7620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ln>
                          </wps:spPr>
                          <wps:txbx>
                            <w:txbxContent>
                              <w:p w14:paraId="061271F8" w14:textId="77777777" w:rsidR="00604D0A" w:rsidRDefault="00EE3B1A">
                                <w:pPr>
                                  <w:spacing w:before="0"/>
                                  <w:ind w:left="-57"/>
                                </w:pPr>
                                <w:r>
                                  <w:rPr>
                                    <w:b/>
                                    <w:bCs/>
                                    <w:szCs w:val="24"/>
                                  </w:rPr>
                                  <w:t xml:space="preserve">Council Working Group </w:t>
                                </w:r>
                                <w:r>
                                  <w:rPr>
                                    <w:b/>
                                    <w:bCs/>
                                    <w:szCs w:val="24"/>
                                  </w:rPr>
                                  <w:br/>
                                  <w:t>for strategic and financial plans 2028-2031</w:t>
                                </w:r>
                                <w:r>
                                  <w:br/>
                                </w:r>
                                <w:r>
                                  <w:rPr>
                                    <w:sz w:val="20"/>
                                  </w:rPr>
                                  <w:t>Second meeting – From 20 to 21 February 2025</w:t>
                                </w:r>
                              </w:p>
                            </w:txbxContent>
                          </wps:txbx>
                          <wps:bodyPr rot="0" vert="horz" wrap="square" lIns="36000" tIns="45720" rIns="91440" bIns="45720" anchor="t" anchorCtr="0">
                            <a:spAutoFit/>
                          </wps:bodyPr>
                        </wps:wsp>
                      </a:graphicData>
                    </a:graphic>
                  </wp:anchor>
                </w:drawing>
              </mc:Choice>
              <mc:Fallback>
                <w:pict>
                  <v:shapetype w14:anchorId="0F98BD37" id="_x0000_t202" coordsize="21600,21600" o:spt="202" path="m,l,21600r21600,l21600,xe">
                    <v:stroke joinstyle="miter"/>
                    <v:path gradientshapeok="t" o:connecttype="rect"/>
                  </v:shapetype>
                  <v:shape id="Text Box 2" o:spid="_x0000_s1026" type="#_x0000_t202" style="position:absolute;margin-left:113.25pt;margin-top:.6pt;width:314.9pt;height:3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" fillcolor="white [3212]" stroked="f">
                    <v:textbox style="mso-fit-shape-to-text:t" inset="1mm">
                      <w:txbxContent>
                        <w:p w14:paraId="061271F8" w14:textId="77777777" w:rsidR="00604D0A" w:rsidRDefault="00EE3B1A">
                          <w:pPr>
                            <w:spacing w:before="0"/>
                            <w:ind w:left="-57"/>
                          </w:pPr>
                          <w:r>
                            <w:rPr>
                              <w:b/>
                              <w:bCs/>
                              <w:szCs w:val="24"/>
                            </w:rPr>
                            <w:t xml:space="preserve">Council Working Group </w:t>
                          </w:r>
                          <w:r>
                            <w:rPr>
                              <w:b/>
                              <w:bCs/>
                              <w:szCs w:val="24"/>
                            </w:rPr>
                            <w:br/>
                            <w:t>for strategic and financial plans 2028-2031</w:t>
                          </w:r>
                          <w:r>
                            <w:br/>
                          </w:r>
                          <w:r>
                            <w:rPr>
                              <w:sz w:val="20"/>
                            </w:rPr>
                            <w:t>Second meeting – From 20 to 21 February 2025</w:t>
                          </w:r>
                        </w:p>
                      </w:txbxContent>
                    </v:textbox>
                  </v:shape>
                </w:pict>
              </mc:Fallback>
            </mc:AlternateContent>
          </w:r>
          <w:r>
            <w:rPr>
              <w:rFonts w:ascii="Arial" w:eastAsiaTheme="minorHAnsi" w:hAnsi="Arial" w:cs="Arial"/>
              <w:b/>
              <w:bCs/>
              <w:noProof/>
              <w:color w:val="009CD6"/>
              <w:sz w:val="36"/>
              <w:szCs w:val="36"/>
              <w14:textFill>
                <w14:solidFill>
                  <w14:srgbClr w14:val="009CD6">
                    <w14:lumMod w14:val="50000"/>
                    <w14:lumOff w14:val="50000"/>
                  </w14:srgbClr>
                </w14:solidFill>
              </w14:textFill>
            </w:rPr>
            <w:drawing>
              <wp:inline distT="0" distB="0" distL="0" distR="0" wp14:anchorId="14F2154A" wp14:editId="26276A76">
                <wp:extent cx="3671570" cy="611505"/>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F190DE0" w14:textId="77777777" w:rsidR="00604D0A" w:rsidRDefault="00604D0A">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3F361049" w14:textId="77777777" w:rsidR="00604D0A" w:rsidRDefault="00604D0A">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181B860E" w14:textId="77777777" w:rsidR="00604D0A" w:rsidRDefault="00EE3B1A">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bookmarkEnd w:id="10"/>
  <w:p w14:paraId="5E9092BD" w14:textId="77777777" w:rsidR="00604D0A" w:rsidRDefault="00EE3B1A">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12BFBA5" wp14:editId="1F61CD6C">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59264;mso-width-relative:page;mso-height-relative:page;" fillcolor="#009CD5" filled="t" stroked="f" coordsize="21600,21600" o:gfxdata="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9XYxTXAAAABwEAAA8AAAAAAAAA&#10;AQAgAAAAIgAAAGRycy9kb3ducmV2LnhtbFBLAQIUABQAAAAIAIdO4kBR2/FNEgIAACcEAAAOAAAA&#10;AAAAAAEAIAAAACYBAABkcnMvZTJvRG9jLnhtbFBLBQYAAAAABgAGAFkBAACq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F25449"/>
    <w:multiLevelType w:val="singleLevel"/>
    <w:tmpl w:val="81F25449"/>
    <w:lvl w:ilvl="0">
      <w:start w:val="1"/>
      <w:numFmt w:val="decimal"/>
      <w:suff w:val="space"/>
      <w:lvlText w:val="(%1)"/>
      <w:lvlJc w:val="left"/>
    </w:lvl>
  </w:abstractNum>
  <w:abstractNum w:abstractNumId="1" w15:restartNumberingAfterBreak="0">
    <w:nsid w:val="860CCEA5"/>
    <w:multiLevelType w:val="singleLevel"/>
    <w:tmpl w:val="860CCEA5"/>
    <w:lvl w:ilvl="0">
      <w:start w:val="1"/>
      <w:numFmt w:val="decimal"/>
      <w:suff w:val="space"/>
      <w:lvlText w:val="(%1)"/>
      <w:lvlJc w:val="left"/>
    </w:lvl>
  </w:abstractNum>
  <w:abstractNum w:abstractNumId="2" w15:restartNumberingAfterBreak="0">
    <w:nsid w:val="2ED0201B"/>
    <w:multiLevelType w:val="singleLevel"/>
    <w:tmpl w:val="2ED0201B"/>
    <w:lvl w:ilvl="0">
      <w:start w:val="2"/>
      <w:numFmt w:val="decimal"/>
      <w:suff w:val="space"/>
      <w:lvlText w:val="%1."/>
      <w:lvlJc w:val="left"/>
    </w:lvl>
  </w:abstractNum>
  <w:num w:numId="1" w16cid:durableId="1768380586">
    <w:abstractNumId w:val="2"/>
  </w:num>
  <w:num w:numId="2" w16cid:durableId="1430736341">
    <w:abstractNumId w:val="1"/>
  </w:num>
  <w:num w:numId="3" w16cid:durableId="3246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83"/>
    <w:rsid w:val="F3F6E692"/>
    <w:rsid w:val="FF7F04AF"/>
    <w:rsid w:val="00003A6D"/>
    <w:rsid w:val="000041A9"/>
    <w:rsid w:val="00004C8C"/>
    <w:rsid w:val="00006DB2"/>
    <w:rsid w:val="000120E4"/>
    <w:rsid w:val="000210D4"/>
    <w:rsid w:val="000525A1"/>
    <w:rsid w:val="00063016"/>
    <w:rsid w:val="00066795"/>
    <w:rsid w:val="00076AF6"/>
    <w:rsid w:val="00085CF2"/>
    <w:rsid w:val="000A1525"/>
    <w:rsid w:val="000B1705"/>
    <w:rsid w:val="000D75B2"/>
    <w:rsid w:val="000F6AB8"/>
    <w:rsid w:val="000F7274"/>
    <w:rsid w:val="001121F5"/>
    <w:rsid w:val="00130599"/>
    <w:rsid w:val="00131E18"/>
    <w:rsid w:val="001400DC"/>
    <w:rsid w:val="00140CE1"/>
    <w:rsid w:val="00147C54"/>
    <w:rsid w:val="0016259B"/>
    <w:rsid w:val="0017539C"/>
    <w:rsid w:val="00175AC2"/>
    <w:rsid w:val="0017609F"/>
    <w:rsid w:val="001A7D1D"/>
    <w:rsid w:val="001B0595"/>
    <w:rsid w:val="001B51DD"/>
    <w:rsid w:val="001C628E"/>
    <w:rsid w:val="001D62DF"/>
    <w:rsid w:val="001E0F7B"/>
    <w:rsid w:val="001E0FBE"/>
    <w:rsid w:val="001E5FE7"/>
    <w:rsid w:val="00205D4E"/>
    <w:rsid w:val="002119FD"/>
    <w:rsid w:val="002130E0"/>
    <w:rsid w:val="00227AAB"/>
    <w:rsid w:val="00244F7F"/>
    <w:rsid w:val="0025570E"/>
    <w:rsid w:val="002608B7"/>
    <w:rsid w:val="00264425"/>
    <w:rsid w:val="00265875"/>
    <w:rsid w:val="0027303B"/>
    <w:rsid w:val="0028109B"/>
    <w:rsid w:val="002A2188"/>
    <w:rsid w:val="002B1F58"/>
    <w:rsid w:val="002B6EDA"/>
    <w:rsid w:val="002C1C7A"/>
    <w:rsid w:val="002C54E2"/>
    <w:rsid w:val="002D4C93"/>
    <w:rsid w:val="002E0AC3"/>
    <w:rsid w:val="002F2D06"/>
    <w:rsid w:val="0030160F"/>
    <w:rsid w:val="00301AEE"/>
    <w:rsid w:val="003145DF"/>
    <w:rsid w:val="00320223"/>
    <w:rsid w:val="00322D0D"/>
    <w:rsid w:val="00337DCB"/>
    <w:rsid w:val="00361465"/>
    <w:rsid w:val="003877F5"/>
    <w:rsid w:val="003942D4"/>
    <w:rsid w:val="0039514F"/>
    <w:rsid w:val="003958A8"/>
    <w:rsid w:val="003B29C2"/>
    <w:rsid w:val="003B3508"/>
    <w:rsid w:val="003C20CA"/>
    <w:rsid w:val="003C2533"/>
    <w:rsid w:val="003D2E43"/>
    <w:rsid w:val="003D5A7F"/>
    <w:rsid w:val="003D635C"/>
    <w:rsid w:val="003D71D8"/>
    <w:rsid w:val="003E3DA7"/>
    <w:rsid w:val="004016E2"/>
    <w:rsid w:val="0040435A"/>
    <w:rsid w:val="00416A24"/>
    <w:rsid w:val="00416A30"/>
    <w:rsid w:val="0042059E"/>
    <w:rsid w:val="00431D9E"/>
    <w:rsid w:val="00433CE8"/>
    <w:rsid w:val="00434A5C"/>
    <w:rsid w:val="004544D9"/>
    <w:rsid w:val="00472BAD"/>
    <w:rsid w:val="00484009"/>
    <w:rsid w:val="00490E72"/>
    <w:rsid w:val="00491157"/>
    <w:rsid w:val="004921C8"/>
    <w:rsid w:val="00495B0B"/>
    <w:rsid w:val="004A1B8B"/>
    <w:rsid w:val="004B51C8"/>
    <w:rsid w:val="004C2042"/>
    <w:rsid w:val="004C7E76"/>
    <w:rsid w:val="004D1851"/>
    <w:rsid w:val="004D599D"/>
    <w:rsid w:val="004D6583"/>
    <w:rsid w:val="004E06D1"/>
    <w:rsid w:val="004E2EA5"/>
    <w:rsid w:val="004E3AEB"/>
    <w:rsid w:val="004F0776"/>
    <w:rsid w:val="004F7FD1"/>
    <w:rsid w:val="00500CA4"/>
    <w:rsid w:val="0050223C"/>
    <w:rsid w:val="00514929"/>
    <w:rsid w:val="005170FD"/>
    <w:rsid w:val="005243FF"/>
    <w:rsid w:val="00524E9C"/>
    <w:rsid w:val="005311D6"/>
    <w:rsid w:val="00533E0D"/>
    <w:rsid w:val="00536422"/>
    <w:rsid w:val="0054526E"/>
    <w:rsid w:val="005536C2"/>
    <w:rsid w:val="00564FBC"/>
    <w:rsid w:val="005800BC"/>
    <w:rsid w:val="00582442"/>
    <w:rsid w:val="005A335D"/>
    <w:rsid w:val="005B0869"/>
    <w:rsid w:val="005C13D4"/>
    <w:rsid w:val="005E2BD5"/>
    <w:rsid w:val="005E4F47"/>
    <w:rsid w:val="005F3269"/>
    <w:rsid w:val="005F7BEB"/>
    <w:rsid w:val="00604D0A"/>
    <w:rsid w:val="00612123"/>
    <w:rsid w:val="00615961"/>
    <w:rsid w:val="00623AE3"/>
    <w:rsid w:val="006261F4"/>
    <w:rsid w:val="0064737F"/>
    <w:rsid w:val="00647966"/>
    <w:rsid w:val="006535F1"/>
    <w:rsid w:val="0065557D"/>
    <w:rsid w:val="00660D50"/>
    <w:rsid w:val="00662984"/>
    <w:rsid w:val="00663050"/>
    <w:rsid w:val="006716BB"/>
    <w:rsid w:val="006973C8"/>
    <w:rsid w:val="006A4862"/>
    <w:rsid w:val="006B1859"/>
    <w:rsid w:val="006B6680"/>
    <w:rsid w:val="006B6DCC"/>
    <w:rsid w:val="00701C70"/>
    <w:rsid w:val="00702DEF"/>
    <w:rsid w:val="00706861"/>
    <w:rsid w:val="007247CF"/>
    <w:rsid w:val="00726B8C"/>
    <w:rsid w:val="00727C44"/>
    <w:rsid w:val="0075051B"/>
    <w:rsid w:val="00752D3C"/>
    <w:rsid w:val="00756E5D"/>
    <w:rsid w:val="00764CCE"/>
    <w:rsid w:val="0077110E"/>
    <w:rsid w:val="00775655"/>
    <w:rsid w:val="007849D5"/>
    <w:rsid w:val="00793188"/>
    <w:rsid w:val="00794D34"/>
    <w:rsid w:val="00806E3C"/>
    <w:rsid w:val="00813E5E"/>
    <w:rsid w:val="00816C2C"/>
    <w:rsid w:val="00822FD6"/>
    <w:rsid w:val="00833A0B"/>
    <w:rsid w:val="0083581B"/>
    <w:rsid w:val="00847A71"/>
    <w:rsid w:val="00860EED"/>
    <w:rsid w:val="00863874"/>
    <w:rsid w:val="00864AFF"/>
    <w:rsid w:val="00865925"/>
    <w:rsid w:val="00870C17"/>
    <w:rsid w:val="00872B5C"/>
    <w:rsid w:val="00875DFB"/>
    <w:rsid w:val="00875FD1"/>
    <w:rsid w:val="00877BF2"/>
    <w:rsid w:val="00884F3A"/>
    <w:rsid w:val="00891503"/>
    <w:rsid w:val="008A2F06"/>
    <w:rsid w:val="008B4A6A"/>
    <w:rsid w:val="008C0C08"/>
    <w:rsid w:val="008C7E27"/>
    <w:rsid w:val="008F2604"/>
    <w:rsid w:val="008F3822"/>
    <w:rsid w:val="008F7448"/>
    <w:rsid w:val="0090147A"/>
    <w:rsid w:val="0090389B"/>
    <w:rsid w:val="009173EF"/>
    <w:rsid w:val="00932906"/>
    <w:rsid w:val="00961860"/>
    <w:rsid w:val="00961B0B"/>
    <w:rsid w:val="00962D33"/>
    <w:rsid w:val="009B1134"/>
    <w:rsid w:val="009B38C3"/>
    <w:rsid w:val="009B44BD"/>
    <w:rsid w:val="009B5319"/>
    <w:rsid w:val="009E17BD"/>
    <w:rsid w:val="009E485A"/>
    <w:rsid w:val="00A04CEC"/>
    <w:rsid w:val="00A27F92"/>
    <w:rsid w:val="00A32257"/>
    <w:rsid w:val="00A36D20"/>
    <w:rsid w:val="00A43C03"/>
    <w:rsid w:val="00A46CD0"/>
    <w:rsid w:val="00A514A4"/>
    <w:rsid w:val="00A52C84"/>
    <w:rsid w:val="00A55622"/>
    <w:rsid w:val="00A763F9"/>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A3A51"/>
    <w:rsid w:val="00BC251A"/>
    <w:rsid w:val="00BD032B"/>
    <w:rsid w:val="00BD0614"/>
    <w:rsid w:val="00BD094B"/>
    <w:rsid w:val="00BD6663"/>
    <w:rsid w:val="00BE2640"/>
    <w:rsid w:val="00C01189"/>
    <w:rsid w:val="00C0735A"/>
    <w:rsid w:val="00C27DB8"/>
    <w:rsid w:val="00C374DE"/>
    <w:rsid w:val="00C47AD4"/>
    <w:rsid w:val="00C52D81"/>
    <w:rsid w:val="00C55198"/>
    <w:rsid w:val="00C66E14"/>
    <w:rsid w:val="00C725C6"/>
    <w:rsid w:val="00C922C7"/>
    <w:rsid w:val="00C9296A"/>
    <w:rsid w:val="00CA6393"/>
    <w:rsid w:val="00CB18FF"/>
    <w:rsid w:val="00CB24AA"/>
    <w:rsid w:val="00CD0C08"/>
    <w:rsid w:val="00CD3C91"/>
    <w:rsid w:val="00CE03FB"/>
    <w:rsid w:val="00CE433C"/>
    <w:rsid w:val="00CF0161"/>
    <w:rsid w:val="00CF33F3"/>
    <w:rsid w:val="00D02FCD"/>
    <w:rsid w:val="00D06183"/>
    <w:rsid w:val="00D143DF"/>
    <w:rsid w:val="00D22C42"/>
    <w:rsid w:val="00D45669"/>
    <w:rsid w:val="00D464CC"/>
    <w:rsid w:val="00D522F6"/>
    <w:rsid w:val="00D65041"/>
    <w:rsid w:val="00D65E31"/>
    <w:rsid w:val="00D67039"/>
    <w:rsid w:val="00D74BFC"/>
    <w:rsid w:val="00D86E6C"/>
    <w:rsid w:val="00DB00D5"/>
    <w:rsid w:val="00DB1936"/>
    <w:rsid w:val="00DB384B"/>
    <w:rsid w:val="00DB521D"/>
    <w:rsid w:val="00DF0189"/>
    <w:rsid w:val="00DF5D96"/>
    <w:rsid w:val="00E06FD5"/>
    <w:rsid w:val="00E10E80"/>
    <w:rsid w:val="00E124F0"/>
    <w:rsid w:val="00E227F3"/>
    <w:rsid w:val="00E4728B"/>
    <w:rsid w:val="00E545C6"/>
    <w:rsid w:val="00E60F04"/>
    <w:rsid w:val="00E62507"/>
    <w:rsid w:val="00E63EFF"/>
    <w:rsid w:val="00E65B24"/>
    <w:rsid w:val="00E854E4"/>
    <w:rsid w:val="00E85B67"/>
    <w:rsid w:val="00E86DBF"/>
    <w:rsid w:val="00EA1733"/>
    <w:rsid w:val="00EB0D6F"/>
    <w:rsid w:val="00EB2232"/>
    <w:rsid w:val="00EC5337"/>
    <w:rsid w:val="00EC7C07"/>
    <w:rsid w:val="00EE3B1A"/>
    <w:rsid w:val="00EE49E8"/>
    <w:rsid w:val="00F10B59"/>
    <w:rsid w:val="00F10B6E"/>
    <w:rsid w:val="00F119DF"/>
    <w:rsid w:val="00F16BAB"/>
    <w:rsid w:val="00F2150A"/>
    <w:rsid w:val="00F231D8"/>
    <w:rsid w:val="00F44C00"/>
    <w:rsid w:val="00F45D2C"/>
    <w:rsid w:val="00F46C5F"/>
    <w:rsid w:val="00F54EBA"/>
    <w:rsid w:val="00F62A38"/>
    <w:rsid w:val="00F632C0"/>
    <w:rsid w:val="00F66A26"/>
    <w:rsid w:val="00F73B2C"/>
    <w:rsid w:val="00F74694"/>
    <w:rsid w:val="00F86596"/>
    <w:rsid w:val="00F93FD4"/>
    <w:rsid w:val="00F94A63"/>
    <w:rsid w:val="00FA1C28"/>
    <w:rsid w:val="00FA5795"/>
    <w:rsid w:val="00FB1279"/>
    <w:rsid w:val="00FB6B76"/>
    <w:rsid w:val="00FB7596"/>
    <w:rsid w:val="00FD7E78"/>
    <w:rsid w:val="00FE4077"/>
    <w:rsid w:val="00FE500D"/>
    <w:rsid w:val="00FE77D2"/>
    <w:rsid w:val="0419676F"/>
    <w:rsid w:val="04B651A7"/>
    <w:rsid w:val="055A10B1"/>
    <w:rsid w:val="05771CCF"/>
    <w:rsid w:val="07CC09EB"/>
    <w:rsid w:val="0919607C"/>
    <w:rsid w:val="13620DB3"/>
    <w:rsid w:val="1652149F"/>
    <w:rsid w:val="170D6CB1"/>
    <w:rsid w:val="19110838"/>
    <w:rsid w:val="264D51E4"/>
    <w:rsid w:val="2F851F1C"/>
    <w:rsid w:val="39033292"/>
    <w:rsid w:val="41FA30CE"/>
    <w:rsid w:val="47606191"/>
    <w:rsid w:val="47F3B913"/>
    <w:rsid w:val="4CE2597A"/>
    <w:rsid w:val="53594DDD"/>
    <w:rsid w:val="55D2593B"/>
    <w:rsid w:val="5AEF6ED8"/>
    <w:rsid w:val="6137685A"/>
    <w:rsid w:val="6450743B"/>
    <w:rsid w:val="667C5D15"/>
    <w:rsid w:val="66F8073F"/>
    <w:rsid w:val="6AD2649C"/>
    <w:rsid w:val="6B9E5D94"/>
    <w:rsid w:val="6BDF1DC7"/>
    <w:rsid w:val="77077871"/>
    <w:rsid w:val="7B0635A6"/>
    <w:rsid w:val="7E816A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C23B7"/>
  <w15:docId w15:val="{7561728A-B6DD-425D-83F5-93F371EE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unhideWhenUsed="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heme="minorEastAsia"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next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table" w:styleId="TableGrid">
    <w:name w:val="Table Grid"/>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page" w:x="1821" w:y="2317"/>
      <w:spacing w:before="840"/>
    </w:pPr>
    <w:rPr>
      <w:b/>
      <w:sz w:val="32"/>
      <w:szCs w:val="32"/>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 w:val="left" w:pos="851"/>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after="160"/>
    </w:pPr>
  </w:style>
  <w:style w:type="paragraph" w:customStyle="1" w:styleId="Figure">
    <w:name w:val="Figure"/>
    <w:basedOn w:val="Normal"/>
    <w:next w:val="Figuretitle"/>
    <w:qFormat/>
    <w:pPr>
      <w:spacing w:after="240"/>
      <w:jc w:val="center"/>
    </w:pPr>
  </w:style>
  <w:style w:type="paragraph" w:customStyle="1" w:styleId="Figuretitle">
    <w:name w:val="Figure_title"/>
    <w:basedOn w:val="Tabletitle"/>
    <w:next w:val="Normalaftertitle"/>
    <w:qFormat/>
  </w:style>
  <w:style w:type="paragraph" w:customStyle="1" w:styleId="Tabletitle">
    <w:name w:val="Table_title"/>
    <w:basedOn w:val="TableNo"/>
    <w:next w:val="Tabletext"/>
    <w:qFormat/>
    <w:pPr>
      <w:tabs>
        <w:tab w:val="left" w:pos="2948"/>
        <w:tab w:val="left" w:pos="4082"/>
      </w:tabs>
      <w:spacing w:before="120" w:after="120"/>
    </w:pPr>
    <w:rPr>
      <w:b/>
      <w:caps w:val="0"/>
    </w:rPr>
  </w:style>
  <w:style w:type="paragraph" w:customStyle="1" w:styleId="TableNo">
    <w:name w:val="Table_No"/>
    <w:basedOn w:val="Normal"/>
    <w:next w:val="Tabletitle"/>
    <w:qFormat/>
    <w:pPr>
      <w:keepNext/>
      <w:keepLines/>
      <w:spacing w:before="480"/>
      <w:jc w:val="center"/>
    </w:pPr>
    <w:rPr>
      <w:caps/>
    </w:rPr>
  </w:style>
  <w:style w:type="paragraph" w:customStyle="1" w:styleId="Tabletext">
    <w:name w:val="Table_text"/>
    <w:basedOn w:val="Normal"/>
    <w:qFormat/>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480"/>
      <w:jc w:val="center"/>
    </w:pPr>
    <w:rPr>
      <w:caps/>
    </w:rPr>
  </w:style>
  <w:style w:type="paragraph" w:customStyle="1" w:styleId="Figurewithouttitle">
    <w:name w:val="Figure_without_title"/>
    <w:basedOn w:val="Figure"/>
    <w:next w:val="Normalaftertitle"/>
    <w:qFormat/>
  </w:style>
  <w:style w:type="paragraph" w:customStyle="1" w:styleId="Headingi">
    <w:name w:val="Heading_i"/>
    <w:basedOn w:val="Heading3"/>
    <w:next w:val="Normal"/>
    <w:qFormat/>
    <w:pPr>
      <w:spacing w:before="160"/>
      <w:outlineLvl w:val="0"/>
    </w:pPr>
    <w:rPr>
      <w:rFonts w:asciiTheme="minorHAnsi" w:hAnsiTheme="minorHAnsi"/>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80" w:after="80"/>
      <w:jc w:val="center"/>
    </w:pPr>
    <w:rPr>
      <w:b/>
    </w:rPr>
  </w:style>
  <w:style w:type="paragraph" w:customStyle="1" w:styleId="Tablelegend">
    <w:name w:val="Table_legend"/>
    <w:basedOn w:val="Tabletext"/>
    <w:qFormat/>
    <w:rPr>
      <w:sz w:val="20"/>
    </w:r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1">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666666"/>
    </w:rPr>
  </w:style>
  <w:style w:type="paragraph" w:customStyle="1" w:styleId="Revision1">
    <w:name w:val="Revision1"/>
    <w:hidden/>
    <w:uiPriority w:val="99"/>
    <w:unhideWhenUsed/>
    <w:qFormat/>
    <w:rPr>
      <w:rFonts w:ascii="Calibri" w:eastAsiaTheme="minorEastAsia" w:hAnsi="Calibri"/>
      <w:sz w:val="24"/>
      <w:lang w:eastAsia="en-US"/>
    </w:rPr>
  </w:style>
  <w:style w:type="paragraph" w:styleId="ListParagraph">
    <w:name w:val="List Paragraph"/>
    <w:basedOn w:val="Normal"/>
    <w:uiPriority w:val="99"/>
    <w:unhideWhenUsed/>
    <w:qFormat/>
    <w:pPr>
      <w:ind w:firstLineChars="200" w:firstLine="420"/>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styleId="Revision">
    <w:name w:val="Revision"/>
    <w:hidden/>
    <w:uiPriority w:val="99"/>
    <w:unhideWhenUsed/>
    <w:rsid w:val="00E62507"/>
    <w:rPr>
      <w:rFonts w:ascii="Calibri" w:eastAsiaTheme="minorEastAsia" w:hAnsi="Calibri"/>
      <w:sz w:val="24"/>
      <w:lang w:eastAsia="en-US"/>
    </w:rPr>
  </w:style>
  <w:style w:type="paragraph" w:customStyle="1" w:styleId="Reasons">
    <w:name w:val="Reasons"/>
    <w:basedOn w:val="Normal"/>
    <w:qFormat/>
    <w:rsid w:val="00D02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u.int/md/S25-CWGSFP2-C-0002/en" TargetMode="External"/><Relationship Id="rId13" Type="http://schemas.openxmlformats.org/officeDocument/2006/relationships/hyperlink" Target="https://www.itu.int/md/S25-CWGSFP2-C-000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049/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ncil.itu.int/2024/wp-content/uploads/sites/4/2024/11/Summary-Tables-Signficant-Financial-Risks-Oct-2024-plus-previous-Summary.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4-CWGSFP1-C-0007/en" TargetMode="External"/><Relationship Id="rId4" Type="http://schemas.openxmlformats.org/officeDocument/2006/relationships/settings" Target="settings.xml"/><Relationship Id="rId9" Type="http://schemas.openxmlformats.org/officeDocument/2006/relationships/hyperlink" Target="https://www.itu.int/md/S24-CL-C-0049/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4789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Suggestions on the development of strategic and financial plans of ITU for 2028-2031</vt:lpstr>
    </vt:vector>
  </TitlesOfParts>
  <Company>ITU</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on the development of strategic and financial plans of ITU for 2028-2031</dc:title>
  <dc:subject>ITU Council Working Group for strategic and financial plans 2028-2031</dc:subject>
  <dc:creator>QIU Chenxi</dc:creator>
  <cp:keywords>CWG-SFP</cp:keywords>
  <cp:lastModifiedBy>GBS</cp:lastModifiedBy>
  <cp:revision>2</cp:revision>
  <cp:lastPrinted>2025-01-27T00:27:00Z</cp:lastPrinted>
  <dcterms:created xsi:type="dcterms:W3CDTF">2025-02-10T08:39:00Z</dcterms:created>
  <dcterms:modified xsi:type="dcterms:W3CDTF">2025-02-10T08:39:00Z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0x010100B862E360EB612A45AC10C33F275DB288</vt:lpwstr>
  </property>
  <property fmtid="{D5CDD505-2E9C-101B-9397-08002B2CF9AE}" pid="3" name="KSOTemplateDocerSaveRecord">
    <vt:lpwstr>eyJoZGlkIjoiOTJhZDQ1ZDdjYzRkMmY4ZTAyNDhkMzQ5YTc0YjNiNzQiLCJ1c2VySWQiOiIzNjA1OTAwMjIifQ==</vt:lpwstr>
  </property>
  <property fmtid="{D5CDD505-2E9C-101B-9397-08002B2CF9AE}" pid="4" name="KSOProductBuildVer">
    <vt:lpwstr>2052-12.1.0.19770</vt:lpwstr>
  </property>
  <property fmtid="{D5CDD505-2E9C-101B-9397-08002B2CF9AE}" pid="5" name="ICV">
    <vt:lpwstr>83ADFAB4348641E1BD239DE1AB04A51F_13</vt:lpwstr>
  </property>
  <property fmtid="{D5CDD505-2E9C-101B-9397-08002B2CF9AE}" pid="6" name="GrammarlyDocumentId">
    <vt:lpwstr>7e1fc2c4f75960409dd81aee4cb318916976dc0b04a489701d09931af65af8f4</vt:lpwstr>
  </property>
</Properties>
</file>