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542A596D" w14:textId="77777777" w:rsidTr="00AD3606">
        <w:trPr>
          <w:cantSplit/>
          <w:trHeight w:val="23"/>
        </w:trPr>
        <w:tc>
          <w:tcPr>
            <w:tcW w:w="3969" w:type="dxa"/>
            <w:vMerge w:val="restart"/>
            <w:tcMar>
              <w:left w:w="0" w:type="dxa"/>
            </w:tcMar>
          </w:tcPr>
          <w:p w14:paraId="4C7E837C"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C870DD4" w14:textId="21CB1427"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612123">
              <w:rPr>
                <w:b/>
                <w:lang w:val="fr-CH"/>
              </w:rPr>
              <w:t>2</w:t>
            </w:r>
            <w:r w:rsidR="00F66A26">
              <w:rPr>
                <w:b/>
                <w:lang w:val="fr-FR"/>
              </w:rPr>
              <w:t>/</w:t>
            </w:r>
            <w:r w:rsidR="004D19E1">
              <w:rPr>
                <w:b/>
                <w:lang w:val="fr-FR"/>
              </w:rPr>
              <w:t>8</w:t>
            </w:r>
          </w:p>
        </w:tc>
      </w:tr>
      <w:tr w:rsidR="00AD3606" w:rsidRPr="00147C54" w14:paraId="02679F4A" w14:textId="77777777" w:rsidTr="00AD3606">
        <w:trPr>
          <w:cantSplit/>
        </w:trPr>
        <w:tc>
          <w:tcPr>
            <w:tcW w:w="3969" w:type="dxa"/>
            <w:vMerge/>
          </w:tcPr>
          <w:p w14:paraId="77B59B83"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D1BE688" w14:textId="15DCE60B" w:rsidR="00AD3606" w:rsidRPr="00147C54" w:rsidRDefault="004D19E1" w:rsidP="00AD3606">
            <w:pPr>
              <w:tabs>
                <w:tab w:val="left" w:pos="851"/>
              </w:tabs>
              <w:spacing w:before="0"/>
              <w:jc w:val="right"/>
              <w:rPr>
                <w:b/>
              </w:rPr>
            </w:pPr>
            <w:r>
              <w:rPr>
                <w:b/>
              </w:rPr>
              <w:t>4</w:t>
            </w:r>
            <w:r w:rsidR="008E4D6F">
              <w:rPr>
                <w:b/>
              </w:rPr>
              <w:t xml:space="preserve"> February 2025</w:t>
            </w:r>
          </w:p>
        </w:tc>
      </w:tr>
      <w:tr w:rsidR="00AD3606" w:rsidRPr="00147C54" w14:paraId="136B074A" w14:textId="77777777" w:rsidTr="00AD3606">
        <w:trPr>
          <w:cantSplit/>
          <w:trHeight w:val="23"/>
        </w:trPr>
        <w:tc>
          <w:tcPr>
            <w:tcW w:w="3969" w:type="dxa"/>
            <w:vMerge/>
          </w:tcPr>
          <w:p w14:paraId="5C568FFB"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FDE6F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29A210B" w14:textId="77777777" w:rsidTr="00AD3606">
        <w:trPr>
          <w:cantSplit/>
          <w:trHeight w:val="23"/>
        </w:trPr>
        <w:tc>
          <w:tcPr>
            <w:tcW w:w="3969" w:type="dxa"/>
          </w:tcPr>
          <w:p w14:paraId="0C034DDF" w14:textId="77777777" w:rsidR="00472BAD" w:rsidRPr="00147C54" w:rsidRDefault="00472BAD" w:rsidP="00AD3606">
            <w:pPr>
              <w:tabs>
                <w:tab w:val="left" w:pos="851"/>
              </w:tabs>
              <w:spacing w:line="240" w:lineRule="atLeast"/>
              <w:rPr>
                <w:b/>
              </w:rPr>
            </w:pPr>
          </w:p>
        </w:tc>
        <w:tc>
          <w:tcPr>
            <w:tcW w:w="5245" w:type="dxa"/>
          </w:tcPr>
          <w:p w14:paraId="75CF0906" w14:textId="77777777" w:rsidR="00472BAD" w:rsidRPr="00147C54" w:rsidRDefault="00472BAD" w:rsidP="00AD3606">
            <w:pPr>
              <w:tabs>
                <w:tab w:val="left" w:pos="851"/>
              </w:tabs>
              <w:spacing w:before="0" w:line="240" w:lineRule="atLeast"/>
              <w:jc w:val="right"/>
              <w:rPr>
                <w:b/>
              </w:rPr>
            </w:pPr>
          </w:p>
        </w:tc>
      </w:tr>
      <w:tr w:rsidR="00AD3606" w:rsidRPr="00147C54" w14:paraId="2913C1C8" w14:textId="77777777" w:rsidTr="00AD3606">
        <w:trPr>
          <w:cantSplit/>
        </w:trPr>
        <w:tc>
          <w:tcPr>
            <w:tcW w:w="9214" w:type="dxa"/>
            <w:gridSpan w:val="2"/>
            <w:tcMar>
              <w:left w:w="0" w:type="dxa"/>
            </w:tcMar>
          </w:tcPr>
          <w:p w14:paraId="0DF27233" w14:textId="2C66514A" w:rsidR="00AD3606" w:rsidRPr="00147C54" w:rsidRDefault="00524E9C" w:rsidP="00E4728B">
            <w:pPr>
              <w:pStyle w:val="Source"/>
              <w:framePr w:hSpace="0" w:wrap="auto" w:vAnchor="margin" w:hAnchor="text" w:xAlign="left" w:yAlign="inline"/>
            </w:pPr>
            <w:bookmarkStart w:id="8" w:name="dsource" w:colFirst="0" w:colLast="0"/>
            <w:bookmarkEnd w:id="7"/>
            <w:r>
              <w:t>Report</w:t>
            </w:r>
            <w:r w:rsidR="004B51C8" w:rsidRPr="009D024E">
              <w:t xml:space="preserve"> </w:t>
            </w:r>
            <w:r w:rsidR="004B51C8">
              <w:t>by</w:t>
            </w:r>
            <w:r w:rsidR="004B51C8" w:rsidRPr="00842B11">
              <w:t xml:space="preserve"> </w:t>
            </w:r>
            <w:r w:rsidR="004B51C8">
              <w:t xml:space="preserve">the </w:t>
            </w:r>
            <w:r w:rsidR="007F21FC">
              <w:t>Secretary-General</w:t>
            </w:r>
          </w:p>
        </w:tc>
      </w:tr>
      <w:tr w:rsidR="00AD3606" w:rsidRPr="00147C54" w14:paraId="257E5EFD" w14:textId="77777777" w:rsidTr="00AD3606">
        <w:trPr>
          <w:cantSplit/>
        </w:trPr>
        <w:tc>
          <w:tcPr>
            <w:tcW w:w="9214" w:type="dxa"/>
            <w:gridSpan w:val="2"/>
            <w:tcMar>
              <w:left w:w="0" w:type="dxa"/>
            </w:tcMar>
          </w:tcPr>
          <w:p w14:paraId="75FDD26C" w14:textId="4EF58D02" w:rsidR="00AD3606" w:rsidRPr="00147C54" w:rsidRDefault="00795938" w:rsidP="008F505C">
            <w:pPr>
              <w:pStyle w:val="Subtitle"/>
              <w:framePr w:hSpace="0" w:wrap="auto" w:xAlign="left" w:yAlign="inline"/>
            </w:pPr>
            <w:bookmarkStart w:id="9" w:name="dtitle1" w:colFirst="0" w:colLast="0"/>
            <w:bookmarkEnd w:id="8"/>
            <w:r>
              <w:t>LIAISON STATEMENT ON THE SECOND SUBMISSION OF TSAG TO THE COUNCIL WORKING GROUP FOR STRATEGIC AND FINANCIAL PLANS</w:t>
            </w:r>
          </w:p>
        </w:tc>
      </w:tr>
      <w:tr w:rsidR="00AD3606" w:rsidRPr="004D19E1" w14:paraId="0FCEA4E4" w14:textId="77777777" w:rsidTr="00AD3606">
        <w:trPr>
          <w:cantSplit/>
        </w:trPr>
        <w:tc>
          <w:tcPr>
            <w:tcW w:w="9214" w:type="dxa"/>
            <w:gridSpan w:val="2"/>
            <w:tcBorders>
              <w:top w:val="single" w:sz="4" w:space="0" w:color="auto"/>
              <w:bottom w:val="single" w:sz="4" w:space="0" w:color="auto"/>
            </w:tcBorders>
            <w:tcMar>
              <w:left w:w="0" w:type="dxa"/>
            </w:tcMar>
          </w:tcPr>
          <w:p w14:paraId="7C0EDD28" w14:textId="77777777" w:rsidR="00AD3606" w:rsidRPr="00147C54" w:rsidRDefault="00F16BAB" w:rsidP="00F16BAB">
            <w:pPr>
              <w:spacing w:before="160"/>
              <w:rPr>
                <w:b/>
                <w:bCs/>
                <w:sz w:val="26"/>
                <w:szCs w:val="26"/>
              </w:rPr>
            </w:pPr>
            <w:r w:rsidRPr="00147C54">
              <w:rPr>
                <w:b/>
                <w:bCs/>
                <w:sz w:val="26"/>
                <w:szCs w:val="26"/>
              </w:rPr>
              <w:t>Purpose</w:t>
            </w:r>
          </w:p>
          <w:p w14:paraId="61475226" w14:textId="673C42FA" w:rsidR="00AD3606" w:rsidRPr="00147C54" w:rsidRDefault="000B10ED" w:rsidP="00F16BAB">
            <w:r>
              <w:t xml:space="preserve">This </w:t>
            </w:r>
            <w:r w:rsidR="004D19E1">
              <w:t xml:space="preserve">liaison statement </w:t>
            </w:r>
            <w:r>
              <w:t>provides</w:t>
            </w:r>
            <w:r w:rsidR="002376DC">
              <w:t xml:space="preserve"> </w:t>
            </w:r>
            <w:r w:rsidR="002376DC" w:rsidRPr="002376DC">
              <w:t>pertinent updates to the work of TSAG on strategic planning based on the decisions of WTSA-24</w:t>
            </w:r>
            <w:r w:rsidR="002376DC">
              <w:t xml:space="preserve">, </w:t>
            </w:r>
            <w:r w:rsidR="00781602">
              <w:t xml:space="preserve">as well as </w:t>
            </w:r>
            <w:r w:rsidR="002376DC" w:rsidRPr="002376DC">
              <w:t xml:space="preserve">further analysis of the points raised in the first </w:t>
            </w:r>
            <w:r w:rsidR="001B6B92">
              <w:t>liaison statement</w:t>
            </w:r>
            <w:r w:rsidR="002376DC" w:rsidRPr="002376DC">
              <w:t xml:space="preserve"> from TSAG </w:t>
            </w:r>
            <w:r w:rsidR="00781602">
              <w:t xml:space="preserve">to the </w:t>
            </w:r>
            <w:r w:rsidR="002376DC" w:rsidRPr="002376DC">
              <w:t xml:space="preserve">CWG-SFP </w:t>
            </w:r>
            <w:r w:rsidR="00781602">
              <w:t xml:space="preserve">meeting </w:t>
            </w:r>
            <w:r w:rsidR="002376DC" w:rsidRPr="002376DC">
              <w:t>held in October 2024</w:t>
            </w:r>
            <w:r w:rsidR="00781602">
              <w:t>.</w:t>
            </w:r>
          </w:p>
          <w:p w14:paraId="08275725" w14:textId="77777777" w:rsidR="00AD3606" w:rsidRPr="00147C54" w:rsidRDefault="00AD3606" w:rsidP="00F16BAB">
            <w:pPr>
              <w:spacing w:before="160"/>
              <w:rPr>
                <w:b/>
                <w:bCs/>
                <w:sz w:val="26"/>
                <w:szCs w:val="26"/>
              </w:rPr>
            </w:pPr>
            <w:r w:rsidRPr="00147C54">
              <w:rPr>
                <w:b/>
                <w:bCs/>
                <w:sz w:val="26"/>
                <w:szCs w:val="26"/>
              </w:rPr>
              <w:t>Action required</w:t>
            </w:r>
          </w:p>
          <w:p w14:paraId="6846EA06" w14:textId="4B51632D" w:rsidR="00B82C1B" w:rsidRDefault="00B82C1B" w:rsidP="00B82C1B">
            <w:pPr>
              <w:spacing w:before="160"/>
            </w:pPr>
            <w:r w:rsidRPr="00FD7016">
              <w:t xml:space="preserve">The </w:t>
            </w:r>
            <w:r>
              <w:t>Council Working Group for strategic and financial plans</w:t>
            </w:r>
            <w:r w:rsidRPr="00FD7016">
              <w:t xml:space="preserve"> </w:t>
            </w:r>
            <w:r>
              <w:t xml:space="preserve">2028-2031 </w:t>
            </w:r>
            <w:r w:rsidRPr="00FD7016">
              <w:t>is invited to</w:t>
            </w:r>
            <w:r>
              <w:t xml:space="preserve"> </w:t>
            </w:r>
            <w:r w:rsidR="001C7795">
              <w:rPr>
                <w:b/>
                <w:bCs/>
              </w:rPr>
              <w:t xml:space="preserve">consider </w:t>
            </w:r>
            <w:r w:rsidR="006662B4">
              <w:t>this document</w:t>
            </w:r>
            <w:r>
              <w:t>.</w:t>
            </w:r>
          </w:p>
          <w:p w14:paraId="038CE23E" w14:textId="77777777" w:rsidR="00AD3606" w:rsidRPr="004D19E1" w:rsidRDefault="00CD3C91" w:rsidP="00CD3C91">
            <w:r w:rsidRPr="004D19E1">
              <w:t>_______________</w:t>
            </w:r>
          </w:p>
          <w:p w14:paraId="4ED013E1" w14:textId="77777777" w:rsidR="00AD3606" w:rsidRPr="004D19E1" w:rsidRDefault="00AD3606" w:rsidP="00663050">
            <w:pPr>
              <w:spacing w:before="160"/>
              <w:rPr>
                <w:b/>
                <w:bCs/>
                <w:sz w:val="26"/>
                <w:szCs w:val="26"/>
              </w:rPr>
            </w:pPr>
            <w:r w:rsidRPr="004D19E1">
              <w:rPr>
                <w:b/>
                <w:bCs/>
                <w:sz w:val="26"/>
                <w:szCs w:val="26"/>
              </w:rPr>
              <w:t>References</w:t>
            </w:r>
            <w:r w:rsidR="00301AEE" w:rsidRPr="004D19E1">
              <w:rPr>
                <w:b/>
                <w:bCs/>
                <w:sz w:val="26"/>
                <w:szCs w:val="26"/>
              </w:rPr>
              <w:t xml:space="preserve"> </w:t>
            </w:r>
          </w:p>
          <w:p w14:paraId="1F9770C9" w14:textId="191C8EF8" w:rsidR="00AD3606" w:rsidRPr="004D19E1" w:rsidRDefault="00B82C1B" w:rsidP="00F16BAB">
            <w:pPr>
              <w:spacing w:after="160"/>
              <w:rPr>
                <w:i/>
                <w:iCs/>
                <w:sz w:val="22"/>
                <w:szCs w:val="22"/>
                <w:lang w:val="fr-FR"/>
              </w:rPr>
            </w:pPr>
            <w:hyperlink r:id="rId11" w:history="1">
              <w:r w:rsidRPr="004D19E1">
                <w:rPr>
                  <w:rStyle w:val="Hyperlink"/>
                  <w:i/>
                  <w:iCs/>
                  <w:sz w:val="22"/>
                  <w:szCs w:val="22"/>
                  <w:lang w:val="fr-FR"/>
                </w:rPr>
                <w:t>CWG-SFP website</w:t>
              </w:r>
            </w:hyperlink>
            <w:r w:rsidRPr="004D19E1">
              <w:rPr>
                <w:i/>
                <w:iCs/>
                <w:sz w:val="22"/>
                <w:szCs w:val="22"/>
                <w:lang w:val="fr-FR"/>
              </w:rPr>
              <w:t>;</w:t>
            </w:r>
            <w:r w:rsidR="004D19E1" w:rsidRPr="004D19E1">
              <w:rPr>
                <w:lang w:val="fr-FR"/>
              </w:rPr>
              <w:t xml:space="preserve"> </w:t>
            </w:r>
            <w:r w:rsidR="004D19E1" w:rsidRPr="004D19E1">
              <w:rPr>
                <w:i/>
                <w:iCs/>
                <w:sz w:val="22"/>
                <w:szCs w:val="22"/>
                <w:lang w:val="fr-FR"/>
              </w:rPr>
              <w:t xml:space="preserve">Document </w:t>
            </w:r>
            <w:hyperlink r:id="rId12" w:history="1">
              <w:r w:rsidR="00640C64" w:rsidRPr="004D19E1">
                <w:rPr>
                  <w:rStyle w:val="Hyperlink"/>
                  <w:i/>
                  <w:iCs/>
                  <w:sz w:val="22"/>
                  <w:szCs w:val="22"/>
                  <w:lang w:val="fr-FR"/>
                </w:rPr>
                <w:t>CWG-SFP-1/</w:t>
              </w:r>
              <w:r w:rsidR="002E7093" w:rsidRPr="004D19E1">
                <w:rPr>
                  <w:rStyle w:val="Hyperlink"/>
                  <w:i/>
                  <w:iCs/>
                  <w:sz w:val="22"/>
                  <w:szCs w:val="22"/>
                  <w:lang w:val="fr-FR"/>
                </w:rPr>
                <w:t>7</w:t>
              </w:r>
            </w:hyperlink>
          </w:p>
        </w:tc>
      </w:tr>
    </w:tbl>
    <w:p w14:paraId="05987874" w14:textId="77777777" w:rsidR="00E227F3" w:rsidRPr="004D19E1" w:rsidRDefault="00E227F3">
      <w:pPr>
        <w:tabs>
          <w:tab w:val="clear" w:pos="567"/>
          <w:tab w:val="clear" w:pos="1134"/>
          <w:tab w:val="clear" w:pos="1701"/>
          <w:tab w:val="clear" w:pos="2268"/>
          <w:tab w:val="clear" w:pos="2835"/>
        </w:tabs>
        <w:overflowPunct/>
        <w:autoSpaceDE/>
        <w:autoSpaceDN/>
        <w:adjustRightInd/>
        <w:spacing w:before="0"/>
        <w:textAlignment w:val="auto"/>
        <w:rPr>
          <w:lang w:val="fr-FR"/>
        </w:rPr>
      </w:pPr>
      <w:bookmarkStart w:id="10" w:name="_Hlk133421428"/>
      <w:bookmarkEnd w:id="2"/>
      <w:bookmarkEnd w:id="9"/>
    </w:p>
    <w:bookmarkEnd w:id="3"/>
    <w:bookmarkEnd w:id="4"/>
    <w:p w14:paraId="57984419" w14:textId="77777777" w:rsidR="008C7458" w:rsidRPr="004D19E1" w:rsidRDefault="0090147A">
      <w:pPr>
        <w:tabs>
          <w:tab w:val="clear" w:pos="567"/>
          <w:tab w:val="clear" w:pos="1134"/>
          <w:tab w:val="clear" w:pos="1701"/>
          <w:tab w:val="clear" w:pos="2268"/>
          <w:tab w:val="clear" w:pos="2835"/>
        </w:tabs>
        <w:overflowPunct/>
        <w:autoSpaceDE/>
        <w:autoSpaceDN/>
        <w:adjustRightInd/>
        <w:spacing w:before="0"/>
        <w:textAlignment w:val="auto"/>
        <w:rPr>
          <w:b/>
          <w:lang w:val="fr-FR"/>
        </w:rPr>
      </w:pPr>
      <w:r w:rsidRPr="004D19E1">
        <w:rPr>
          <w:lang w:val="fr-FR"/>
        </w:rPr>
        <w:br w:type="page"/>
      </w:r>
    </w:p>
    <w:tbl>
      <w:tblPr>
        <w:tblW w:w="9639" w:type="dxa"/>
        <w:tblLayout w:type="fixed"/>
        <w:tblCellMar>
          <w:left w:w="57" w:type="dxa"/>
          <w:right w:w="57" w:type="dxa"/>
        </w:tblCellMar>
        <w:tblLook w:val="0000" w:firstRow="0" w:lastRow="0" w:firstColumn="0" w:lastColumn="0" w:noHBand="0" w:noVBand="0"/>
      </w:tblPr>
      <w:tblGrid>
        <w:gridCol w:w="1134"/>
        <w:gridCol w:w="441"/>
        <w:gridCol w:w="660"/>
        <w:gridCol w:w="2868"/>
        <w:gridCol w:w="368"/>
        <w:gridCol w:w="4168"/>
      </w:tblGrid>
      <w:tr w:rsidR="008C7458" w:rsidRPr="00D04902" w14:paraId="248DA923" w14:textId="77777777" w:rsidTr="008C7458">
        <w:trPr>
          <w:cantSplit/>
        </w:trPr>
        <w:tc>
          <w:tcPr>
            <w:tcW w:w="1134" w:type="dxa"/>
            <w:vMerge w:val="restart"/>
            <w:vAlign w:val="center"/>
          </w:tcPr>
          <w:p w14:paraId="07796880" w14:textId="77777777" w:rsidR="008C7458" w:rsidRPr="00D04902" w:rsidRDefault="008C7458" w:rsidP="00A73248">
            <w:pPr>
              <w:spacing w:before="0"/>
              <w:jc w:val="center"/>
              <w:rPr>
                <w:rFonts w:asciiTheme="minorHAnsi" w:hAnsiTheme="minorHAnsi" w:cstheme="minorHAnsi"/>
                <w:sz w:val="22"/>
                <w:szCs w:val="22"/>
              </w:rPr>
            </w:pPr>
            <w:bookmarkStart w:id="11" w:name="dsg" w:colFirst="1" w:colLast="1"/>
            <w:bookmarkStart w:id="12" w:name="dtableau"/>
            <w:r w:rsidRPr="00D04902">
              <w:rPr>
                <w:rFonts w:asciiTheme="minorHAnsi" w:hAnsiTheme="minorHAnsi" w:cstheme="minorHAnsi"/>
                <w:noProof/>
                <w:sz w:val="22"/>
                <w:szCs w:val="22"/>
              </w:rPr>
              <w:lastRenderedPageBreak/>
              <w:drawing>
                <wp:inline distT="0" distB="0" distL="0" distR="0" wp14:anchorId="0304F655" wp14:editId="298CC1AB">
                  <wp:extent cx="647700" cy="704850"/>
                  <wp:effectExtent l="0" t="0" r="0" b="0"/>
                  <wp:docPr id="3"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37" w:type="dxa"/>
            <w:gridSpan w:val="4"/>
            <w:vMerge w:val="restart"/>
          </w:tcPr>
          <w:p w14:paraId="57AA9BD0" w14:textId="77777777" w:rsidR="008C7458" w:rsidRPr="00D04902" w:rsidRDefault="008C7458" w:rsidP="00A73248">
            <w:pPr>
              <w:rPr>
                <w:rFonts w:asciiTheme="minorHAnsi" w:hAnsiTheme="minorHAnsi" w:cstheme="minorHAnsi"/>
                <w:sz w:val="22"/>
                <w:szCs w:val="22"/>
              </w:rPr>
            </w:pPr>
            <w:r w:rsidRPr="00D04902">
              <w:rPr>
                <w:rFonts w:asciiTheme="minorHAnsi" w:hAnsiTheme="minorHAnsi" w:cstheme="minorHAnsi"/>
                <w:sz w:val="22"/>
                <w:szCs w:val="22"/>
              </w:rPr>
              <w:t>INTERNATIONAL TELECOMMUNICATION UNION</w:t>
            </w:r>
          </w:p>
          <w:p w14:paraId="472865EF" w14:textId="77777777" w:rsidR="008C7458" w:rsidRPr="00D04902" w:rsidRDefault="008C7458" w:rsidP="00A73248">
            <w:pPr>
              <w:rPr>
                <w:rFonts w:asciiTheme="minorHAnsi" w:hAnsiTheme="minorHAnsi" w:cstheme="minorHAnsi"/>
                <w:b/>
                <w:bCs/>
                <w:sz w:val="22"/>
                <w:szCs w:val="22"/>
              </w:rPr>
            </w:pPr>
            <w:r w:rsidRPr="00D04902">
              <w:rPr>
                <w:rFonts w:asciiTheme="minorHAnsi" w:hAnsiTheme="minorHAnsi" w:cstheme="minorHAnsi"/>
                <w:b/>
                <w:bCs/>
                <w:sz w:val="22"/>
                <w:szCs w:val="22"/>
              </w:rPr>
              <w:t>TELECOMMUNICATION</w:t>
            </w:r>
            <w:r w:rsidRPr="00D04902">
              <w:rPr>
                <w:rFonts w:asciiTheme="minorHAnsi" w:hAnsiTheme="minorHAnsi" w:cstheme="minorHAnsi"/>
                <w:b/>
                <w:bCs/>
                <w:sz w:val="22"/>
                <w:szCs w:val="22"/>
              </w:rPr>
              <w:br/>
              <w:t>STANDARDIZATION SECTOR</w:t>
            </w:r>
          </w:p>
          <w:p w14:paraId="73DB66D3" w14:textId="77777777" w:rsidR="008C7458" w:rsidRPr="00D04902" w:rsidRDefault="008C7458" w:rsidP="00A73248">
            <w:pPr>
              <w:rPr>
                <w:rFonts w:asciiTheme="minorHAnsi" w:hAnsiTheme="minorHAnsi" w:cstheme="minorHAnsi"/>
                <w:sz w:val="22"/>
                <w:szCs w:val="22"/>
              </w:rPr>
            </w:pPr>
            <w:r w:rsidRPr="00D04902">
              <w:rPr>
                <w:rFonts w:asciiTheme="minorHAnsi" w:hAnsiTheme="minorHAnsi" w:cstheme="minorHAnsi"/>
                <w:sz w:val="22"/>
                <w:szCs w:val="22"/>
              </w:rPr>
              <w:t xml:space="preserve">STUDY PERIOD </w:t>
            </w:r>
            <w:bookmarkStart w:id="13" w:name="dstudyperiod"/>
            <w:r w:rsidRPr="00D04902">
              <w:rPr>
                <w:rFonts w:asciiTheme="minorHAnsi" w:hAnsiTheme="minorHAnsi" w:cstheme="minorHAnsi"/>
                <w:sz w:val="22"/>
                <w:szCs w:val="22"/>
              </w:rPr>
              <w:t>2025-202</w:t>
            </w:r>
            <w:bookmarkEnd w:id="13"/>
            <w:r w:rsidRPr="00D04902">
              <w:rPr>
                <w:rFonts w:asciiTheme="minorHAnsi" w:hAnsiTheme="minorHAnsi" w:cstheme="minorHAnsi"/>
                <w:sz w:val="22"/>
                <w:szCs w:val="22"/>
              </w:rPr>
              <w:t>8</w:t>
            </w:r>
          </w:p>
        </w:tc>
        <w:tc>
          <w:tcPr>
            <w:tcW w:w="4168" w:type="dxa"/>
            <w:vAlign w:val="center"/>
          </w:tcPr>
          <w:p w14:paraId="4304A729" w14:textId="77777777" w:rsidR="008C7458" w:rsidRPr="00D04902" w:rsidRDefault="008C7458" w:rsidP="00A73248">
            <w:pPr>
              <w:pStyle w:val="Docnumber"/>
              <w:rPr>
                <w:rFonts w:asciiTheme="minorHAnsi" w:hAnsiTheme="minorHAnsi" w:cstheme="minorHAnsi"/>
                <w:sz w:val="22"/>
                <w:szCs w:val="22"/>
              </w:rPr>
            </w:pPr>
            <w:r w:rsidRPr="00D04902">
              <w:rPr>
                <w:rFonts w:asciiTheme="minorHAnsi" w:hAnsiTheme="minorHAnsi" w:cstheme="minorHAnsi"/>
                <w:sz w:val="22"/>
                <w:szCs w:val="22"/>
              </w:rPr>
              <w:t>TSAG-LS1</w:t>
            </w:r>
          </w:p>
        </w:tc>
      </w:tr>
      <w:tr w:rsidR="008C7458" w:rsidRPr="00D04902" w14:paraId="77BFCA3A" w14:textId="77777777" w:rsidTr="008C7458">
        <w:trPr>
          <w:cantSplit/>
        </w:trPr>
        <w:tc>
          <w:tcPr>
            <w:tcW w:w="1134" w:type="dxa"/>
            <w:vMerge/>
          </w:tcPr>
          <w:p w14:paraId="699E6400" w14:textId="77777777" w:rsidR="008C7458" w:rsidRPr="00D04902" w:rsidRDefault="008C7458" w:rsidP="00A73248">
            <w:pPr>
              <w:rPr>
                <w:rFonts w:asciiTheme="minorHAnsi" w:hAnsiTheme="minorHAnsi" w:cstheme="minorHAnsi"/>
                <w:smallCaps/>
                <w:sz w:val="22"/>
                <w:szCs w:val="22"/>
              </w:rPr>
            </w:pPr>
          </w:p>
        </w:tc>
        <w:tc>
          <w:tcPr>
            <w:tcW w:w="4337" w:type="dxa"/>
            <w:gridSpan w:val="4"/>
            <w:vMerge/>
          </w:tcPr>
          <w:p w14:paraId="7C6F4E5B" w14:textId="77777777" w:rsidR="008C7458" w:rsidRPr="00D04902" w:rsidRDefault="008C7458" w:rsidP="00A73248">
            <w:pPr>
              <w:rPr>
                <w:rFonts w:asciiTheme="minorHAnsi" w:hAnsiTheme="minorHAnsi" w:cstheme="minorHAnsi"/>
                <w:smallCaps/>
                <w:sz w:val="22"/>
                <w:szCs w:val="22"/>
              </w:rPr>
            </w:pPr>
          </w:p>
        </w:tc>
        <w:tc>
          <w:tcPr>
            <w:tcW w:w="4168" w:type="dxa"/>
          </w:tcPr>
          <w:p w14:paraId="551DEAA6" w14:textId="77777777" w:rsidR="008C7458" w:rsidRPr="00D04902" w:rsidRDefault="008C7458" w:rsidP="00A73248">
            <w:pPr>
              <w:pStyle w:val="TSBHeaderRight14"/>
              <w:rPr>
                <w:rFonts w:asciiTheme="minorHAnsi" w:hAnsiTheme="minorHAnsi" w:cstheme="minorHAnsi"/>
                <w:sz w:val="22"/>
                <w:szCs w:val="22"/>
              </w:rPr>
            </w:pPr>
            <w:r w:rsidRPr="00D04902">
              <w:rPr>
                <w:rFonts w:asciiTheme="minorHAnsi" w:hAnsiTheme="minorHAnsi" w:cstheme="minorHAnsi"/>
                <w:sz w:val="22"/>
                <w:szCs w:val="22"/>
              </w:rPr>
              <w:t>TSAG</w:t>
            </w:r>
          </w:p>
        </w:tc>
      </w:tr>
      <w:tr w:rsidR="008C7458" w:rsidRPr="00D04902" w14:paraId="525AC935" w14:textId="77777777" w:rsidTr="008C7458">
        <w:trPr>
          <w:cantSplit/>
        </w:trPr>
        <w:tc>
          <w:tcPr>
            <w:tcW w:w="1134" w:type="dxa"/>
            <w:vMerge/>
            <w:tcBorders>
              <w:bottom w:val="single" w:sz="12" w:space="0" w:color="auto"/>
            </w:tcBorders>
          </w:tcPr>
          <w:p w14:paraId="13BE10CE" w14:textId="77777777" w:rsidR="008C7458" w:rsidRPr="00D04902" w:rsidRDefault="008C7458" w:rsidP="00A73248">
            <w:pPr>
              <w:rPr>
                <w:rFonts w:asciiTheme="minorHAnsi" w:hAnsiTheme="minorHAnsi" w:cstheme="minorHAnsi"/>
                <w:b/>
                <w:bCs/>
                <w:sz w:val="22"/>
                <w:szCs w:val="22"/>
              </w:rPr>
            </w:pPr>
          </w:p>
        </w:tc>
        <w:tc>
          <w:tcPr>
            <w:tcW w:w="4337" w:type="dxa"/>
            <w:gridSpan w:val="4"/>
            <w:vMerge/>
            <w:tcBorders>
              <w:bottom w:val="single" w:sz="12" w:space="0" w:color="auto"/>
            </w:tcBorders>
          </w:tcPr>
          <w:p w14:paraId="7D975A84" w14:textId="77777777" w:rsidR="008C7458" w:rsidRPr="00D04902" w:rsidRDefault="008C7458" w:rsidP="00A73248">
            <w:pPr>
              <w:rPr>
                <w:rFonts w:asciiTheme="minorHAnsi" w:hAnsiTheme="minorHAnsi" w:cstheme="minorHAnsi"/>
                <w:b/>
                <w:bCs/>
                <w:sz w:val="22"/>
                <w:szCs w:val="22"/>
              </w:rPr>
            </w:pPr>
          </w:p>
        </w:tc>
        <w:tc>
          <w:tcPr>
            <w:tcW w:w="4168" w:type="dxa"/>
            <w:tcBorders>
              <w:bottom w:val="single" w:sz="12" w:space="0" w:color="auto"/>
            </w:tcBorders>
            <w:vAlign w:val="center"/>
          </w:tcPr>
          <w:p w14:paraId="3278762F" w14:textId="77777777" w:rsidR="008C7458" w:rsidRPr="00D04902" w:rsidRDefault="008C7458" w:rsidP="00A73248">
            <w:pPr>
              <w:pStyle w:val="TSBHeaderRight14"/>
              <w:rPr>
                <w:rFonts w:asciiTheme="minorHAnsi" w:hAnsiTheme="minorHAnsi" w:cstheme="minorHAnsi"/>
                <w:sz w:val="22"/>
                <w:szCs w:val="22"/>
              </w:rPr>
            </w:pPr>
            <w:r w:rsidRPr="00D04902">
              <w:rPr>
                <w:rFonts w:asciiTheme="minorHAnsi" w:hAnsiTheme="minorHAnsi" w:cstheme="minorHAnsi"/>
                <w:sz w:val="22"/>
                <w:szCs w:val="22"/>
              </w:rPr>
              <w:t>Original: English</w:t>
            </w:r>
          </w:p>
        </w:tc>
      </w:tr>
      <w:tr w:rsidR="008C7458" w:rsidRPr="00D04902" w14:paraId="4FE3209A" w14:textId="77777777" w:rsidTr="008C7458">
        <w:trPr>
          <w:cantSplit/>
        </w:trPr>
        <w:tc>
          <w:tcPr>
            <w:tcW w:w="1575" w:type="dxa"/>
            <w:gridSpan w:val="2"/>
          </w:tcPr>
          <w:p w14:paraId="7FE5D1D0" w14:textId="77777777" w:rsidR="008C7458" w:rsidRPr="00D04902" w:rsidRDefault="008C7458" w:rsidP="00A73248">
            <w:pPr>
              <w:rPr>
                <w:rFonts w:asciiTheme="minorHAnsi" w:hAnsiTheme="minorHAnsi" w:cstheme="minorHAnsi"/>
                <w:b/>
                <w:bCs/>
                <w:sz w:val="22"/>
                <w:szCs w:val="22"/>
              </w:rPr>
            </w:pPr>
            <w:bookmarkStart w:id="14" w:name="dbluepink" w:colFirst="1" w:colLast="1"/>
            <w:bookmarkEnd w:id="11"/>
            <w:r w:rsidRPr="00D04902">
              <w:rPr>
                <w:rFonts w:asciiTheme="minorHAnsi" w:hAnsiTheme="minorHAnsi" w:cstheme="minorHAnsi"/>
                <w:b/>
                <w:bCs/>
                <w:sz w:val="22"/>
                <w:szCs w:val="22"/>
              </w:rPr>
              <w:t>Question(s):</w:t>
            </w:r>
          </w:p>
        </w:tc>
        <w:tc>
          <w:tcPr>
            <w:tcW w:w="3896" w:type="dxa"/>
            <w:gridSpan w:val="3"/>
          </w:tcPr>
          <w:p w14:paraId="2EAF176B" w14:textId="77777777" w:rsidR="008C7458" w:rsidRPr="00D04902" w:rsidRDefault="008C7458" w:rsidP="00A73248">
            <w:pPr>
              <w:pStyle w:val="TSBHeaderQuestion"/>
              <w:rPr>
                <w:rFonts w:asciiTheme="minorHAnsi" w:hAnsiTheme="minorHAnsi" w:cstheme="minorHAnsi"/>
                <w:sz w:val="22"/>
                <w:szCs w:val="22"/>
              </w:rPr>
            </w:pPr>
            <w:r w:rsidRPr="00D04902">
              <w:rPr>
                <w:rFonts w:asciiTheme="minorHAnsi" w:hAnsiTheme="minorHAnsi" w:cstheme="minorHAnsi"/>
                <w:sz w:val="22"/>
                <w:szCs w:val="22"/>
              </w:rPr>
              <w:t>RG-SOP</w:t>
            </w:r>
          </w:p>
        </w:tc>
        <w:tc>
          <w:tcPr>
            <w:tcW w:w="4168" w:type="dxa"/>
          </w:tcPr>
          <w:p w14:paraId="0E222B48" w14:textId="77777777" w:rsidR="008C7458" w:rsidRPr="00D04902" w:rsidRDefault="008C7458" w:rsidP="00A73248">
            <w:pPr>
              <w:pStyle w:val="VenueDate"/>
              <w:rPr>
                <w:rFonts w:asciiTheme="minorHAnsi" w:hAnsiTheme="minorHAnsi" w:cstheme="minorHAnsi"/>
                <w:sz w:val="22"/>
                <w:szCs w:val="22"/>
              </w:rPr>
            </w:pPr>
            <w:r w:rsidRPr="00D04902">
              <w:rPr>
                <w:rFonts w:asciiTheme="minorHAnsi" w:hAnsiTheme="minorHAnsi" w:cstheme="minorHAnsi"/>
                <w:sz w:val="22"/>
                <w:szCs w:val="22"/>
              </w:rPr>
              <w:t xml:space="preserve">E-meeting, </w:t>
            </w:r>
            <w:r w:rsidRPr="00D04902">
              <w:rPr>
                <w:rFonts w:asciiTheme="minorHAnsi" w:eastAsia="MS Mincho" w:hAnsiTheme="minorHAnsi" w:cstheme="minorHAnsi"/>
                <w:sz w:val="22"/>
                <w:szCs w:val="22"/>
              </w:rPr>
              <w:t>11</w:t>
            </w:r>
            <w:r w:rsidRPr="00D04902">
              <w:rPr>
                <w:rFonts w:asciiTheme="minorHAnsi" w:hAnsiTheme="minorHAnsi" w:cstheme="minorHAnsi"/>
                <w:sz w:val="22"/>
                <w:szCs w:val="22"/>
              </w:rPr>
              <w:t xml:space="preserve"> </w:t>
            </w:r>
            <w:r w:rsidRPr="00D04902">
              <w:rPr>
                <w:rFonts w:asciiTheme="minorHAnsi" w:eastAsia="MS Mincho" w:hAnsiTheme="minorHAnsi" w:cstheme="minorHAnsi"/>
                <w:sz w:val="22"/>
                <w:szCs w:val="22"/>
              </w:rPr>
              <w:t>December</w:t>
            </w:r>
            <w:r w:rsidRPr="00D04902">
              <w:rPr>
                <w:rFonts w:asciiTheme="minorHAnsi" w:hAnsiTheme="minorHAnsi" w:cstheme="minorHAnsi"/>
                <w:sz w:val="22"/>
                <w:szCs w:val="22"/>
              </w:rPr>
              <w:t xml:space="preserve"> 2024</w:t>
            </w:r>
          </w:p>
        </w:tc>
      </w:tr>
      <w:tr w:rsidR="008C7458" w:rsidRPr="00D04902" w14:paraId="16BB8E47" w14:textId="77777777" w:rsidTr="008C7458">
        <w:trPr>
          <w:cantSplit/>
        </w:trPr>
        <w:tc>
          <w:tcPr>
            <w:tcW w:w="9639" w:type="dxa"/>
            <w:gridSpan w:val="6"/>
          </w:tcPr>
          <w:p w14:paraId="57669DAB" w14:textId="77777777" w:rsidR="008C7458" w:rsidRPr="00D04902" w:rsidRDefault="008C7458" w:rsidP="00A73248">
            <w:pPr>
              <w:jc w:val="center"/>
              <w:rPr>
                <w:rFonts w:asciiTheme="minorHAnsi" w:hAnsiTheme="minorHAnsi" w:cstheme="minorHAnsi"/>
                <w:b/>
                <w:bCs/>
                <w:sz w:val="22"/>
                <w:szCs w:val="22"/>
              </w:rPr>
            </w:pPr>
            <w:bookmarkStart w:id="15" w:name="ddoctype"/>
            <w:bookmarkStart w:id="16" w:name="dtitle" w:colFirst="0" w:colLast="0"/>
            <w:bookmarkEnd w:id="14"/>
            <w:r w:rsidRPr="00D04902">
              <w:rPr>
                <w:rFonts w:asciiTheme="minorHAnsi" w:hAnsiTheme="minorHAnsi" w:cstheme="minorHAnsi"/>
                <w:b/>
                <w:bCs/>
                <w:sz w:val="22"/>
                <w:szCs w:val="22"/>
              </w:rPr>
              <w:t>LS</w:t>
            </w:r>
          </w:p>
        </w:tc>
      </w:tr>
      <w:bookmarkEnd w:id="15"/>
      <w:bookmarkEnd w:id="16"/>
      <w:tr w:rsidR="008C7458" w:rsidRPr="00D04902" w14:paraId="30EC4906" w14:textId="77777777" w:rsidTr="008C7458">
        <w:trPr>
          <w:cantSplit/>
        </w:trPr>
        <w:tc>
          <w:tcPr>
            <w:tcW w:w="1575" w:type="dxa"/>
            <w:gridSpan w:val="2"/>
          </w:tcPr>
          <w:p w14:paraId="344DF583" w14:textId="77777777" w:rsidR="008C7458" w:rsidRPr="00D04902" w:rsidRDefault="008C7458" w:rsidP="00A73248">
            <w:pPr>
              <w:rPr>
                <w:rFonts w:asciiTheme="minorHAnsi" w:hAnsiTheme="minorHAnsi" w:cstheme="minorHAnsi"/>
                <w:b/>
                <w:bCs/>
                <w:sz w:val="22"/>
                <w:szCs w:val="22"/>
              </w:rPr>
            </w:pPr>
            <w:r w:rsidRPr="00D04902">
              <w:rPr>
                <w:rFonts w:asciiTheme="minorHAnsi" w:hAnsiTheme="minorHAnsi" w:cstheme="minorHAnsi"/>
                <w:b/>
                <w:bCs/>
                <w:sz w:val="22"/>
                <w:szCs w:val="22"/>
              </w:rPr>
              <w:t>Source:</w:t>
            </w:r>
          </w:p>
        </w:tc>
        <w:tc>
          <w:tcPr>
            <w:tcW w:w="8064" w:type="dxa"/>
            <w:gridSpan w:val="4"/>
          </w:tcPr>
          <w:p w14:paraId="2DD07384" w14:textId="77777777" w:rsidR="008C7458" w:rsidRPr="00D04902" w:rsidRDefault="008C7458" w:rsidP="00A73248">
            <w:pPr>
              <w:pStyle w:val="LSSource"/>
              <w:rPr>
                <w:rFonts w:asciiTheme="minorHAnsi" w:hAnsiTheme="minorHAnsi" w:cstheme="minorHAnsi"/>
                <w:sz w:val="22"/>
                <w:szCs w:val="22"/>
              </w:rPr>
            </w:pPr>
            <w:r w:rsidRPr="00D04902">
              <w:rPr>
                <w:rFonts w:asciiTheme="minorHAnsi" w:hAnsiTheme="minorHAnsi" w:cstheme="minorHAnsi"/>
                <w:sz w:val="22"/>
                <w:szCs w:val="22"/>
              </w:rPr>
              <w:t>Telecommunication Standardization Advisory Group (TSAG)</w:t>
            </w:r>
          </w:p>
        </w:tc>
      </w:tr>
      <w:tr w:rsidR="008C7458" w:rsidRPr="00D04902" w14:paraId="699609AA" w14:textId="77777777" w:rsidTr="008C7458">
        <w:trPr>
          <w:cantSplit/>
        </w:trPr>
        <w:tc>
          <w:tcPr>
            <w:tcW w:w="1575" w:type="dxa"/>
            <w:gridSpan w:val="2"/>
            <w:tcBorders>
              <w:bottom w:val="single" w:sz="8" w:space="0" w:color="auto"/>
            </w:tcBorders>
          </w:tcPr>
          <w:p w14:paraId="73BA3C40" w14:textId="77777777" w:rsidR="008C7458" w:rsidRPr="00D04902" w:rsidRDefault="008C7458" w:rsidP="00A73248">
            <w:pPr>
              <w:rPr>
                <w:rFonts w:asciiTheme="minorHAnsi" w:hAnsiTheme="minorHAnsi" w:cstheme="minorHAnsi"/>
                <w:b/>
                <w:bCs/>
                <w:sz w:val="22"/>
                <w:szCs w:val="22"/>
              </w:rPr>
            </w:pPr>
            <w:r w:rsidRPr="00D04902">
              <w:rPr>
                <w:rFonts w:asciiTheme="minorHAnsi" w:hAnsiTheme="minorHAnsi" w:cstheme="minorHAnsi"/>
                <w:b/>
                <w:bCs/>
                <w:sz w:val="22"/>
                <w:szCs w:val="22"/>
              </w:rPr>
              <w:t>Title:</w:t>
            </w:r>
          </w:p>
        </w:tc>
        <w:tc>
          <w:tcPr>
            <w:tcW w:w="8064" w:type="dxa"/>
            <w:gridSpan w:val="4"/>
            <w:tcBorders>
              <w:bottom w:val="single" w:sz="8" w:space="0" w:color="auto"/>
            </w:tcBorders>
          </w:tcPr>
          <w:p w14:paraId="4AA6519E" w14:textId="77777777" w:rsidR="008C7458" w:rsidRPr="00D04902" w:rsidRDefault="008C7458" w:rsidP="00A73248">
            <w:pPr>
              <w:pStyle w:val="LSTitle"/>
              <w:rPr>
                <w:rFonts w:asciiTheme="minorHAnsi" w:hAnsiTheme="minorHAnsi" w:cstheme="minorHAnsi"/>
                <w:sz w:val="22"/>
                <w:szCs w:val="22"/>
              </w:rPr>
            </w:pPr>
            <w:bookmarkStart w:id="17" w:name="_Hlk157014379"/>
            <w:r w:rsidRPr="00D04902">
              <w:rPr>
                <w:rFonts w:asciiTheme="minorHAnsi" w:hAnsiTheme="minorHAnsi" w:cstheme="minorHAnsi"/>
                <w:sz w:val="22"/>
                <w:szCs w:val="22"/>
              </w:rPr>
              <w:t xml:space="preserve">LS on the </w:t>
            </w:r>
            <w:r w:rsidRPr="00D04902">
              <w:rPr>
                <w:rFonts w:asciiTheme="minorHAnsi" w:eastAsia="MS Mincho" w:hAnsiTheme="minorHAnsi" w:cstheme="minorHAnsi"/>
                <w:sz w:val="22"/>
                <w:szCs w:val="22"/>
              </w:rPr>
              <w:t>Second</w:t>
            </w:r>
            <w:r w:rsidRPr="00D04902">
              <w:rPr>
                <w:rFonts w:asciiTheme="minorHAnsi" w:hAnsiTheme="minorHAnsi" w:cstheme="minorHAnsi"/>
                <w:sz w:val="22"/>
                <w:szCs w:val="22"/>
              </w:rPr>
              <w:t xml:space="preserve"> Submission of TSAG to the Council Working Group for strategic and financial plans 2028-2031</w:t>
            </w:r>
            <w:bookmarkEnd w:id="17"/>
          </w:p>
        </w:tc>
      </w:tr>
      <w:bookmarkEnd w:id="12"/>
      <w:tr w:rsidR="008C7458" w:rsidRPr="00D04902" w14:paraId="0F0FA680" w14:textId="77777777" w:rsidTr="008C7458">
        <w:trPr>
          <w:cantSplit/>
        </w:trPr>
        <w:tc>
          <w:tcPr>
            <w:tcW w:w="9639" w:type="dxa"/>
            <w:gridSpan w:val="6"/>
            <w:tcBorders>
              <w:top w:val="single" w:sz="12" w:space="0" w:color="auto"/>
            </w:tcBorders>
          </w:tcPr>
          <w:p w14:paraId="3BFDB4D8" w14:textId="77777777" w:rsidR="008C7458" w:rsidRPr="00D04902" w:rsidRDefault="008C7458" w:rsidP="00A73248">
            <w:pPr>
              <w:jc w:val="center"/>
              <w:rPr>
                <w:rFonts w:asciiTheme="minorHAnsi" w:hAnsiTheme="minorHAnsi" w:cstheme="minorHAnsi"/>
                <w:b/>
                <w:sz w:val="22"/>
                <w:szCs w:val="22"/>
              </w:rPr>
            </w:pPr>
            <w:r w:rsidRPr="00D04902">
              <w:rPr>
                <w:rFonts w:asciiTheme="minorHAnsi" w:hAnsiTheme="minorHAnsi" w:cstheme="minorHAnsi"/>
                <w:b/>
                <w:sz w:val="22"/>
                <w:szCs w:val="22"/>
              </w:rPr>
              <w:t>LIAISON STATEMENT</w:t>
            </w:r>
          </w:p>
        </w:tc>
      </w:tr>
      <w:tr w:rsidR="008C7458" w:rsidRPr="00D04902" w14:paraId="1D409CB9" w14:textId="77777777" w:rsidTr="008C7458">
        <w:trPr>
          <w:cantSplit/>
        </w:trPr>
        <w:tc>
          <w:tcPr>
            <w:tcW w:w="2235" w:type="dxa"/>
            <w:gridSpan w:val="3"/>
          </w:tcPr>
          <w:p w14:paraId="667342C8" w14:textId="77777777" w:rsidR="008C7458" w:rsidRPr="00D04902" w:rsidRDefault="008C7458" w:rsidP="00A73248">
            <w:pPr>
              <w:rPr>
                <w:rFonts w:asciiTheme="minorHAnsi" w:hAnsiTheme="minorHAnsi" w:cstheme="minorHAnsi"/>
                <w:b/>
                <w:bCs/>
                <w:sz w:val="22"/>
                <w:szCs w:val="22"/>
              </w:rPr>
            </w:pPr>
            <w:r w:rsidRPr="00D04902">
              <w:rPr>
                <w:rFonts w:asciiTheme="minorHAnsi" w:hAnsiTheme="minorHAnsi" w:cstheme="minorHAnsi"/>
                <w:b/>
                <w:bCs/>
                <w:sz w:val="22"/>
                <w:szCs w:val="22"/>
              </w:rPr>
              <w:t>For action to:</w:t>
            </w:r>
          </w:p>
        </w:tc>
        <w:tc>
          <w:tcPr>
            <w:tcW w:w="7404" w:type="dxa"/>
            <w:gridSpan w:val="3"/>
          </w:tcPr>
          <w:p w14:paraId="6ED5DB07" w14:textId="77777777" w:rsidR="008C7458" w:rsidRPr="00D04902" w:rsidRDefault="008C7458" w:rsidP="00A73248">
            <w:pPr>
              <w:pStyle w:val="LSForAction"/>
              <w:rPr>
                <w:rFonts w:asciiTheme="minorHAnsi" w:hAnsiTheme="minorHAnsi" w:cstheme="minorHAnsi"/>
                <w:sz w:val="22"/>
                <w:szCs w:val="22"/>
              </w:rPr>
            </w:pPr>
            <w:r w:rsidRPr="00D04902">
              <w:rPr>
                <w:rFonts w:asciiTheme="minorHAnsi" w:hAnsiTheme="minorHAnsi" w:cstheme="minorHAnsi"/>
                <w:sz w:val="22"/>
                <w:szCs w:val="22"/>
              </w:rPr>
              <w:t>CWG-SFP</w:t>
            </w:r>
          </w:p>
        </w:tc>
      </w:tr>
      <w:tr w:rsidR="008C7458" w:rsidRPr="00D04902" w14:paraId="5F6A90F7" w14:textId="77777777" w:rsidTr="008C7458">
        <w:trPr>
          <w:cantSplit/>
        </w:trPr>
        <w:tc>
          <w:tcPr>
            <w:tcW w:w="2235" w:type="dxa"/>
            <w:gridSpan w:val="3"/>
          </w:tcPr>
          <w:p w14:paraId="52C91E60" w14:textId="77777777" w:rsidR="008C7458" w:rsidRPr="00D04902" w:rsidRDefault="008C7458" w:rsidP="00A73248">
            <w:pPr>
              <w:rPr>
                <w:rFonts w:asciiTheme="minorHAnsi" w:hAnsiTheme="minorHAnsi" w:cstheme="minorHAnsi"/>
                <w:b/>
                <w:bCs/>
                <w:sz w:val="22"/>
                <w:szCs w:val="22"/>
              </w:rPr>
            </w:pPr>
            <w:r w:rsidRPr="00D04902">
              <w:rPr>
                <w:rFonts w:asciiTheme="minorHAnsi" w:hAnsiTheme="minorHAnsi" w:cstheme="minorHAnsi"/>
                <w:b/>
                <w:bCs/>
                <w:sz w:val="22"/>
                <w:szCs w:val="22"/>
              </w:rPr>
              <w:t>For information to:</w:t>
            </w:r>
          </w:p>
        </w:tc>
        <w:tc>
          <w:tcPr>
            <w:tcW w:w="7404" w:type="dxa"/>
            <w:gridSpan w:val="3"/>
          </w:tcPr>
          <w:p w14:paraId="089F396C" w14:textId="77777777" w:rsidR="008C7458" w:rsidRPr="00D04902" w:rsidRDefault="008C7458" w:rsidP="00A73248">
            <w:pPr>
              <w:pStyle w:val="LSForInfo"/>
              <w:rPr>
                <w:rFonts w:asciiTheme="minorHAnsi" w:hAnsiTheme="minorHAnsi" w:cstheme="minorHAnsi"/>
                <w:sz w:val="22"/>
                <w:szCs w:val="22"/>
              </w:rPr>
            </w:pPr>
            <w:r w:rsidRPr="00D04902">
              <w:rPr>
                <w:rFonts w:asciiTheme="minorHAnsi" w:hAnsiTheme="minorHAnsi" w:cstheme="minorHAnsi"/>
                <w:sz w:val="22"/>
                <w:szCs w:val="22"/>
              </w:rPr>
              <w:t>ITU-T Study Groups, ISCG, TDAG, RAG</w:t>
            </w:r>
          </w:p>
        </w:tc>
      </w:tr>
      <w:tr w:rsidR="008C7458" w:rsidRPr="00D04902" w14:paraId="63F62FE7" w14:textId="77777777" w:rsidTr="008C7458">
        <w:trPr>
          <w:cantSplit/>
        </w:trPr>
        <w:tc>
          <w:tcPr>
            <w:tcW w:w="2235" w:type="dxa"/>
            <w:gridSpan w:val="3"/>
          </w:tcPr>
          <w:p w14:paraId="16483E6E" w14:textId="77777777" w:rsidR="008C7458" w:rsidRPr="00D04902" w:rsidRDefault="008C7458" w:rsidP="00A73248">
            <w:pPr>
              <w:rPr>
                <w:rFonts w:asciiTheme="minorHAnsi" w:hAnsiTheme="minorHAnsi" w:cstheme="minorHAnsi"/>
                <w:b/>
                <w:bCs/>
                <w:sz w:val="22"/>
                <w:szCs w:val="22"/>
              </w:rPr>
            </w:pPr>
            <w:r w:rsidRPr="00D04902">
              <w:rPr>
                <w:rFonts w:asciiTheme="minorHAnsi" w:hAnsiTheme="minorHAnsi" w:cstheme="minorHAnsi"/>
                <w:b/>
                <w:bCs/>
                <w:sz w:val="22"/>
                <w:szCs w:val="22"/>
              </w:rPr>
              <w:t>Approval:</w:t>
            </w:r>
          </w:p>
        </w:tc>
        <w:tc>
          <w:tcPr>
            <w:tcW w:w="7404" w:type="dxa"/>
            <w:gridSpan w:val="3"/>
          </w:tcPr>
          <w:p w14:paraId="6C8FCE9C" w14:textId="77777777" w:rsidR="008C7458" w:rsidRPr="00D04902" w:rsidRDefault="008C7458" w:rsidP="00A73248">
            <w:pPr>
              <w:pStyle w:val="LSApproval"/>
              <w:rPr>
                <w:rFonts w:asciiTheme="minorHAnsi" w:hAnsiTheme="minorHAnsi" w:cstheme="minorHAnsi"/>
                <w:b/>
                <w:bCs/>
                <w:sz w:val="22"/>
                <w:szCs w:val="22"/>
              </w:rPr>
            </w:pPr>
            <w:r w:rsidRPr="00D04902">
              <w:rPr>
                <w:rFonts w:asciiTheme="minorHAnsi" w:hAnsiTheme="minorHAnsi" w:cstheme="minorHAnsi"/>
                <w:sz w:val="22"/>
                <w:szCs w:val="22"/>
              </w:rPr>
              <w:t>TSAG Rapporteur Group on Strategic and Operational Planning (RG-SOP) e-meeting (</w:t>
            </w:r>
            <w:r w:rsidRPr="00D04902">
              <w:rPr>
                <w:rFonts w:asciiTheme="minorHAnsi" w:eastAsia="MS Mincho" w:hAnsiTheme="minorHAnsi" w:cstheme="minorHAnsi"/>
                <w:sz w:val="22"/>
                <w:szCs w:val="22"/>
              </w:rPr>
              <w:t>11</w:t>
            </w:r>
            <w:r w:rsidRPr="00D04902">
              <w:rPr>
                <w:rFonts w:asciiTheme="minorHAnsi" w:hAnsiTheme="minorHAnsi" w:cstheme="minorHAnsi"/>
                <w:sz w:val="22"/>
                <w:szCs w:val="22"/>
              </w:rPr>
              <w:t xml:space="preserve"> </w:t>
            </w:r>
            <w:r w:rsidRPr="00D04902">
              <w:rPr>
                <w:rFonts w:asciiTheme="minorHAnsi" w:eastAsia="MS Mincho" w:hAnsiTheme="minorHAnsi" w:cstheme="minorHAnsi"/>
                <w:sz w:val="22"/>
                <w:szCs w:val="22"/>
              </w:rPr>
              <w:t>December</w:t>
            </w:r>
            <w:r w:rsidRPr="00D04902">
              <w:rPr>
                <w:rFonts w:asciiTheme="minorHAnsi" w:hAnsiTheme="minorHAnsi" w:cstheme="minorHAnsi"/>
                <w:sz w:val="22"/>
                <w:szCs w:val="22"/>
              </w:rPr>
              <w:t xml:space="preserve"> 2024)</w:t>
            </w:r>
          </w:p>
        </w:tc>
      </w:tr>
      <w:tr w:rsidR="008C7458" w:rsidRPr="00D04902" w14:paraId="094EFF0D" w14:textId="77777777" w:rsidTr="008C7458">
        <w:trPr>
          <w:cantSplit/>
        </w:trPr>
        <w:tc>
          <w:tcPr>
            <w:tcW w:w="2235" w:type="dxa"/>
            <w:gridSpan w:val="3"/>
            <w:tcBorders>
              <w:bottom w:val="single" w:sz="12" w:space="0" w:color="auto"/>
            </w:tcBorders>
          </w:tcPr>
          <w:p w14:paraId="7698AD39" w14:textId="77777777" w:rsidR="008C7458" w:rsidRPr="00D04902" w:rsidRDefault="008C7458" w:rsidP="00A73248">
            <w:pPr>
              <w:rPr>
                <w:rFonts w:asciiTheme="minorHAnsi" w:hAnsiTheme="minorHAnsi" w:cstheme="minorHAnsi"/>
                <w:b/>
                <w:bCs/>
                <w:sz w:val="22"/>
                <w:szCs w:val="22"/>
              </w:rPr>
            </w:pPr>
            <w:r w:rsidRPr="00D04902">
              <w:rPr>
                <w:rFonts w:asciiTheme="minorHAnsi" w:hAnsiTheme="minorHAnsi" w:cstheme="minorHAnsi"/>
                <w:b/>
                <w:bCs/>
                <w:sz w:val="22"/>
                <w:szCs w:val="22"/>
              </w:rPr>
              <w:t>Deadline:</w:t>
            </w:r>
          </w:p>
        </w:tc>
        <w:tc>
          <w:tcPr>
            <w:tcW w:w="7404" w:type="dxa"/>
            <w:gridSpan w:val="3"/>
            <w:tcBorders>
              <w:bottom w:val="single" w:sz="12" w:space="0" w:color="auto"/>
            </w:tcBorders>
          </w:tcPr>
          <w:p w14:paraId="5A3A4AA8" w14:textId="77777777" w:rsidR="008C7458" w:rsidRPr="00D04902" w:rsidRDefault="008C7458" w:rsidP="00A73248">
            <w:pPr>
              <w:pStyle w:val="LSDeadline"/>
              <w:rPr>
                <w:rFonts w:asciiTheme="minorHAnsi" w:hAnsiTheme="minorHAnsi" w:cstheme="minorHAnsi"/>
                <w:sz w:val="22"/>
                <w:szCs w:val="22"/>
              </w:rPr>
            </w:pPr>
            <w:r w:rsidRPr="00D04902">
              <w:rPr>
                <w:rFonts w:asciiTheme="minorHAnsi" w:hAnsiTheme="minorHAnsi" w:cstheme="minorHAnsi"/>
                <w:sz w:val="22"/>
                <w:szCs w:val="22"/>
              </w:rPr>
              <w:t>1 May 2025</w:t>
            </w:r>
          </w:p>
        </w:tc>
      </w:tr>
      <w:tr w:rsidR="008C7458" w:rsidRPr="00D04902" w14:paraId="16CB2AFC" w14:textId="77777777" w:rsidTr="008C7458">
        <w:trPr>
          <w:cantSplit/>
        </w:trPr>
        <w:tc>
          <w:tcPr>
            <w:tcW w:w="1575" w:type="dxa"/>
            <w:gridSpan w:val="2"/>
            <w:tcBorders>
              <w:top w:val="single" w:sz="8" w:space="0" w:color="auto"/>
              <w:bottom w:val="single" w:sz="8" w:space="0" w:color="auto"/>
            </w:tcBorders>
          </w:tcPr>
          <w:p w14:paraId="369B5E67" w14:textId="77777777" w:rsidR="008C7458" w:rsidRPr="00D04902" w:rsidRDefault="008C7458" w:rsidP="00D04902">
            <w:pPr>
              <w:spacing w:before="80"/>
              <w:rPr>
                <w:rFonts w:asciiTheme="minorHAnsi" w:hAnsiTheme="minorHAnsi" w:cstheme="minorHAnsi"/>
                <w:b/>
                <w:bCs/>
                <w:sz w:val="22"/>
                <w:szCs w:val="22"/>
              </w:rPr>
            </w:pPr>
            <w:r w:rsidRPr="00D04902">
              <w:rPr>
                <w:rFonts w:asciiTheme="minorHAnsi" w:hAnsiTheme="minorHAnsi" w:cstheme="minorHAnsi"/>
                <w:b/>
                <w:bCs/>
                <w:sz w:val="22"/>
                <w:szCs w:val="22"/>
              </w:rPr>
              <w:t>Contact:</w:t>
            </w:r>
          </w:p>
        </w:tc>
        <w:tc>
          <w:tcPr>
            <w:tcW w:w="3528" w:type="dxa"/>
            <w:gridSpan w:val="2"/>
            <w:tcBorders>
              <w:top w:val="single" w:sz="8" w:space="0" w:color="auto"/>
              <w:left w:val="nil"/>
              <w:bottom w:val="single" w:sz="8" w:space="0" w:color="auto"/>
              <w:right w:val="nil"/>
            </w:tcBorders>
          </w:tcPr>
          <w:p w14:paraId="0181769B" w14:textId="77777777" w:rsidR="008C7458" w:rsidRPr="00D04902" w:rsidRDefault="008C7458" w:rsidP="00D04902">
            <w:pPr>
              <w:spacing w:before="80" w:line="0" w:lineRule="atLeast"/>
              <w:rPr>
                <w:rFonts w:asciiTheme="minorHAnsi" w:hAnsiTheme="minorHAnsi" w:cstheme="minorHAnsi"/>
                <w:sz w:val="22"/>
                <w:szCs w:val="22"/>
                <w:lang w:val="es-AR"/>
              </w:rPr>
            </w:pPr>
            <w:r w:rsidRPr="00D04902">
              <w:rPr>
                <w:rFonts w:asciiTheme="minorHAnsi" w:hAnsiTheme="minorHAnsi" w:cstheme="minorHAnsi"/>
                <w:bCs/>
                <w:sz w:val="22"/>
                <w:szCs w:val="22"/>
                <w:lang w:val="es-AR"/>
              </w:rPr>
              <w:t>Víctor Manuel Martínez Vanegas</w:t>
            </w:r>
            <w:r w:rsidRPr="00D04902">
              <w:rPr>
                <w:rFonts w:asciiTheme="minorHAnsi" w:hAnsiTheme="minorHAnsi" w:cstheme="minorHAnsi"/>
                <w:bCs/>
                <w:sz w:val="22"/>
                <w:szCs w:val="22"/>
                <w:lang w:val="es-AR"/>
              </w:rPr>
              <w:br/>
              <w:t>Rapporteur, RG-SOP</w:t>
            </w:r>
            <w:r w:rsidRPr="00D04902">
              <w:rPr>
                <w:rFonts w:asciiTheme="minorHAnsi" w:hAnsiTheme="minorHAnsi" w:cstheme="minorHAnsi"/>
                <w:bCs/>
                <w:sz w:val="22"/>
                <w:szCs w:val="22"/>
                <w:lang w:val="es-AR"/>
              </w:rPr>
              <w:br/>
              <w:t>Mexico</w:t>
            </w:r>
          </w:p>
        </w:tc>
        <w:tc>
          <w:tcPr>
            <w:tcW w:w="4536" w:type="dxa"/>
            <w:gridSpan w:val="2"/>
            <w:tcBorders>
              <w:top w:val="single" w:sz="8" w:space="0" w:color="auto"/>
              <w:left w:val="nil"/>
              <w:bottom w:val="single" w:sz="8" w:space="0" w:color="auto"/>
              <w:right w:val="nil"/>
            </w:tcBorders>
          </w:tcPr>
          <w:p w14:paraId="5EAFBBF9" w14:textId="77777777" w:rsidR="008C7458" w:rsidRPr="00D04902" w:rsidRDefault="008C7458" w:rsidP="00D04902">
            <w:pPr>
              <w:tabs>
                <w:tab w:val="left" w:pos="794"/>
              </w:tabs>
              <w:spacing w:before="80"/>
              <w:rPr>
                <w:rFonts w:asciiTheme="minorHAnsi" w:hAnsiTheme="minorHAnsi" w:cstheme="minorHAnsi"/>
                <w:sz w:val="22"/>
                <w:szCs w:val="22"/>
                <w:lang w:val="es-AR"/>
              </w:rPr>
            </w:pPr>
            <w:r w:rsidRPr="00D04902">
              <w:rPr>
                <w:rFonts w:asciiTheme="minorHAnsi" w:hAnsiTheme="minorHAnsi" w:cstheme="minorHAnsi"/>
                <w:sz w:val="22"/>
                <w:szCs w:val="22"/>
                <w:lang w:val="es-AR"/>
              </w:rPr>
              <w:t>E-mail:</w:t>
            </w:r>
            <w:r w:rsidRPr="00D04902">
              <w:rPr>
                <w:rFonts w:asciiTheme="minorHAnsi" w:hAnsiTheme="minorHAnsi" w:cstheme="minorHAnsi"/>
                <w:sz w:val="22"/>
                <w:szCs w:val="22"/>
                <w:lang w:val="es-AR"/>
              </w:rPr>
              <w:tab/>
            </w:r>
            <w:hyperlink r:id="rId14" w:history="1">
              <w:r w:rsidRPr="00D04902">
                <w:rPr>
                  <w:rStyle w:val="Hyperlink"/>
                  <w:rFonts w:asciiTheme="minorHAnsi" w:hAnsiTheme="minorHAnsi" w:cstheme="minorHAnsi"/>
                  <w:sz w:val="22"/>
                  <w:szCs w:val="22"/>
                  <w:lang w:val="es-AR"/>
                </w:rPr>
                <w:t>victor.martinezv@ift.org.mx</w:t>
              </w:r>
            </w:hyperlink>
            <w:r w:rsidRPr="00D04902">
              <w:rPr>
                <w:rFonts w:asciiTheme="minorHAnsi" w:hAnsiTheme="minorHAnsi" w:cstheme="minorHAnsi"/>
                <w:sz w:val="22"/>
                <w:szCs w:val="22"/>
                <w:lang w:val="es-AR"/>
              </w:rPr>
              <w:t xml:space="preserve"> </w:t>
            </w:r>
          </w:p>
        </w:tc>
      </w:tr>
      <w:tr w:rsidR="008C7458" w:rsidRPr="00D04902" w14:paraId="77B403D9" w14:textId="77777777" w:rsidTr="008C7458">
        <w:trPr>
          <w:cantSplit/>
        </w:trPr>
        <w:tc>
          <w:tcPr>
            <w:tcW w:w="1575" w:type="dxa"/>
            <w:gridSpan w:val="2"/>
            <w:tcBorders>
              <w:top w:val="single" w:sz="8" w:space="0" w:color="auto"/>
              <w:bottom w:val="single" w:sz="8" w:space="0" w:color="auto"/>
            </w:tcBorders>
          </w:tcPr>
          <w:p w14:paraId="0B3CB73A" w14:textId="77777777" w:rsidR="008C7458" w:rsidRPr="00D04902" w:rsidRDefault="008C7458" w:rsidP="00D04902">
            <w:pPr>
              <w:spacing w:before="80"/>
              <w:rPr>
                <w:rFonts w:asciiTheme="minorHAnsi" w:hAnsiTheme="minorHAnsi" w:cstheme="minorHAnsi"/>
                <w:b/>
                <w:bCs/>
                <w:sz w:val="22"/>
                <w:szCs w:val="22"/>
              </w:rPr>
            </w:pPr>
            <w:r w:rsidRPr="00D04902">
              <w:rPr>
                <w:rFonts w:asciiTheme="minorHAnsi" w:hAnsiTheme="minorHAnsi" w:cstheme="minorHAnsi"/>
                <w:b/>
                <w:bCs/>
                <w:sz w:val="22"/>
                <w:szCs w:val="22"/>
              </w:rPr>
              <w:t>Contact:</w:t>
            </w:r>
          </w:p>
        </w:tc>
        <w:tc>
          <w:tcPr>
            <w:tcW w:w="3528" w:type="dxa"/>
            <w:gridSpan w:val="2"/>
            <w:tcBorders>
              <w:top w:val="single" w:sz="8" w:space="0" w:color="auto"/>
              <w:left w:val="nil"/>
              <w:bottom w:val="single" w:sz="8" w:space="0" w:color="auto"/>
              <w:right w:val="nil"/>
            </w:tcBorders>
          </w:tcPr>
          <w:p w14:paraId="334DEFF5" w14:textId="77777777" w:rsidR="008C7458" w:rsidRPr="00D04902" w:rsidRDefault="008C7458" w:rsidP="00D04902">
            <w:pPr>
              <w:spacing w:before="80" w:line="0" w:lineRule="atLeast"/>
              <w:rPr>
                <w:rFonts w:asciiTheme="minorHAnsi" w:hAnsiTheme="minorHAnsi" w:cstheme="minorHAnsi"/>
                <w:sz w:val="22"/>
                <w:szCs w:val="22"/>
                <w:lang w:val="fr-FR"/>
              </w:rPr>
            </w:pPr>
            <w:r w:rsidRPr="00D04902">
              <w:rPr>
                <w:rFonts w:asciiTheme="minorHAnsi" w:hAnsiTheme="minorHAnsi" w:cstheme="minorHAnsi"/>
                <w:bCs/>
                <w:sz w:val="22"/>
                <w:szCs w:val="22"/>
                <w:lang w:val="fr-FR"/>
              </w:rPr>
              <w:t>Bruce Gracie</w:t>
            </w:r>
            <w:r w:rsidRPr="00D04902">
              <w:rPr>
                <w:rFonts w:asciiTheme="minorHAnsi" w:hAnsiTheme="minorHAnsi" w:cstheme="minorHAnsi"/>
                <w:bCs/>
                <w:sz w:val="22"/>
                <w:szCs w:val="22"/>
                <w:lang w:val="fr-FR"/>
              </w:rPr>
              <w:br/>
              <w:t>Associate rapporteur, RG-SOP</w:t>
            </w:r>
            <w:r w:rsidRPr="00D04902">
              <w:rPr>
                <w:rFonts w:asciiTheme="minorHAnsi" w:hAnsiTheme="minorHAnsi" w:cstheme="minorHAnsi"/>
                <w:bCs/>
                <w:sz w:val="22"/>
                <w:szCs w:val="22"/>
                <w:lang w:val="fr-FR"/>
              </w:rPr>
              <w:br/>
              <w:t>Canada</w:t>
            </w:r>
          </w:p>
        </w:tc>
        <w:tc>
          <w:tcPr>
            <w:tcW w:w="4536" w:type="dxa"/>
            <w:gridSpan w:val="2"/>
            <w:tcBorders>
              <w:top w:val="single" w:sz="8" w:space="0" w:color="auto"/>
              <w:left w:val="nil"/>
              <w:bottom w:val="single" w:sz="8" w:space="0" w:color="auto"/>
              <w:right w:val="nil"/>
            </w:tcBorders>
          </w:tcPr>
          <w:p w14:paraId="4FFB5335" w14:textId="77777777" w:rsidR="008C7458" w:rsidRPr="00D04902" w:rsidRDefault="008C7458" w:rsidP="00D04902">
            <w:pPr>
              <w:tabs>
                <w:tab w:val="left" w:pos="794"/>
              </w:tabs>
              <w:spacing w:before="80"/>
              <w:rPr>
                <w:rFonts w:asciiTheme="minorHAnsi" w:hAnsiTheme="minorHAnsi" w:cstheme="minorHAnsi"/>
                <w:sz w:val="22"/>
                <w:szCs w:val="22"/>
                <w:lang w:val="fr-FR"/>
              </w:rPr>
            </w:pPr>
            <w:r w:rsidRPr="00D04902">
              <w:rPr>
                <w:rFonts w:asciiTheme="minorHAnsi" w:hAnsiTheme="minorHAnsi" w:cstheme="minorHAnsi"/>
                <w:sz w:val="22"/>
                <w:szCs w:val="22"/>
                <w:lang w:val="fr-FR"/>
              </w:rPr>
              <w:t>E-mail:</w:t>
            </w:r>
            <w:r w:rsidRPr="00D04902">
              <w:rPr>
                <w:rFonts w:asciiTheme="minorHAnsi" w:hAnsiTheme="minorHAnsi" w:cstheme="minorHAnsi"/>
                <w:sz w:val="22"/>
                <w:szCs w:val="22"/>
                <w:lang w:val="fr-FR"/>
              </w:rPr>
              <w:tab/>
            </w:r>
            <w:hyperlink r:id="rId15" w:history="1">
              <w:r w:rsidRPr="00D04902">
                <w:rPr>
                  <w:rStyle w:val="Hyperlink"/>
                  <w:rFonts w:asciiTheme="minorHAnsi" w:hAnsiTheme="minorHAnsi" w:cstheme="minorHAnsi"/>
                  <w:sz w:val="22"/>
                  <w:szCs w:val="22"/>
                  <w:lang w:val="fr-FR"/>
                </w:rPr>
                <w:t>bruce.gracie13@rogers.com</w:t>
              </w:r>
            </w:hyperlink>
            <w:r w:rsidRPr="00D04902">
              <w:rPr>
                <w:rFonts w:asciiTheme="minorHAnsi" w:eastAsia="MS Mincho" w:hAnsiTheme="minorHAnsi" w:cstheme="minorHAnsi"/>
                <w:sz w:val="22"/>
                <w:szCs w:val="22"/>
                <w:lang w:val="fr-FR"/>
              </w:rPr>
              <w:t xml:space="preserve"> </w:t>
            </w:r>
            <w:r w:rsidRPr="00D04902">
              <w:rPr>
                <w:rFonts w:asciiTheme="minorHAnsi" w:hAnsiTheme="minorHAnsi" w:cstheme="minorHAnsi"/>
                <w:sz w:val="22"/>
                <w:szCs w:val="22"/>
                <w:lang w:val="fr-FR"/>
              </w:rPr>
              <w:t xml:space="preserve"> </w:t>
            </w:r>
            <w:r w:rsidRPr="00D04902">
              <w:rPr>
                <w:rStyle w:val="Hyperlink"/>
                <w:rFonts w:asciiTheme="minorHAnsi" w:hAnsiTheme="minorHAnsi" w:cstheme="minorHAnsi"/>
                <w:bCs/>
                <w:sz w:val="22"/>
                <w:szCs w:val="22"/>
                <w:lang w:val="fr-FR"/>
              </w:rPr>
              <w:t xml:space="preserve"> </w:t>
            </w:r>
          </w:p>
        </w:tc>
      </w:tr>
      <w:tr w:rsidR="008C7458" w:rsidRPr="00D04902" w14:paraId="60D268A2" w14:textId="77777777" w:rsidTr="008C7458">
        <w:trPr>
          <w:cantSplit/>
        </w:trPr>
        <w:tc>
          <w:tcPr>
            <w:tcW w:w="1575" w:type="dxa"/>
            <w:gridSpan w:val="2"/>
            <w:tcBorders>
              <w:top w:val="single" w:sz="8" w:space="0" w:color="auto"/>
              <w:bottom w:val="single" w:sz="8" w:space="0" w:color="auto"/>
            </w:tcBorders>
          </w:tcPr>
          <w:p w14:paraId="500495BD" w14:textId="77777777" w:rsidR="008C7458" w:rsidRPr="00D04902" w:rsidRDefault="008C7458" w:rsidP="00D04902">
            <w:pPr>
              <w:spacing w:before="80"/>
              <w:rPr>
                <w:rFonts w:asciiTheme="minorHAnsi" w:hAnsiTheme="minorHAnsi" w:cstheme="minorHAnsi"/>
                <w:b/>
                <w:bCs/>
                <w:sz w:val="22"/>
                <w:szCs w:val="22"/>
              </w:rPr>
            </w:pPr>
            <w:r w:rsidRPr="00D04902">
              <w:rPr>
                <w:rFonts w:asciiTheme="minorHAnsi" w:hAnsiTheme="minorHAnsi" w:cstheme="minorHAnsi"/>
                <w:b/>
                <w:bCs/>
                <w:sz w:val="22"/>
                <w:szCs w:val="22"/>
              </w:rPr>
              <w:t>Contact:</w:t>
            </w:r>
          </w:p>
        </w:tc>
        <w:tc>
          <w:tcPr>
            <w:tcW w:w="3528" w:type="dxa"/>
            <w:gridSpan w:val="2"/>
            <w:tcBorders>
              <w:top w:val="single" w:sz="8" w:space="0" w:color="auto"/>
              <w:left w:val="nil"/>
              <w:bottom w:val="single" w:sz="8" w:space="0" w:color="auto"/>
              <w:right w:val="nil"/>
            </w:tcBorders>
          </w:tcPr>
          <w:p w14:paraId="5AF161E1" w14:textId="77777777" w:rsidR="008C7458" w:rsidRPr="00D04902" w:rsidRDefault="008C7458" w:rsidP="00D04902">
            <w:pPr>
              <w:spacing w:before="80" w:line="0" w:lineRule="atLeast"/>
              <w:rPr>
                <w:rFonts w:asciiTheme="minorHAnsi" w:hAnsiTheme="minorHAnsi" w:cstheme="minorHAnsi"/>
                <w:bCs/>
                <w:sz w:val="22"/>
                <w:szCs w:val="22"/>
                <w:lang w:val="fr-FR"/>
              </w:rPr>
            </w:pPr>
            <w:r w:rsidRPr="00D04902">
              <w:rPr>
                <w:rFonts w:asciiTheme="minorHAnsi" w:hAnsiTheme="minorHAnsi" w:cstheme="minorHAnsi"/>
                <w:bCs/>
                <w:sz w:val="22"/>
                <w:szCs w:val="22"/>
                <w:lang w:val="fr-FR"/>
              </w:rPr>
              <w:t>Dao Tian</w:t>
            </w:r>
            <w:r w:rsidRPr="00D04902">
              <w:rPr>
                <w:rFonts w:asciiTheme="minorHAnsi" w:hAnsiTheme="minorHAnsi" w:cstheme="minorHAnsi"/>
                <w:bCs/>
                <w:sz w:val="22"/>
                <w:szCs w:val="22"/>
                <w:lang w:val="fr-FR"/>
              </w:rPr>
              <w:br/>
              <w:t>Associate rapporteur, RG-SOP</w:t>
            </w:r>
            <w:r w:rsidRPr="00D04902">
              <w:rPr>
                <w:rFonts w:asciiTheme="minorHAnsi" w:hAnsiTheme="minorHAnsi" w:cstheme="minorHAnsi"/>
                <w:bCs/>
                <w:sz w:val="22"/>
                <w:szCs w:val="22"/>
                <w:lang w:val="fr-FR"/>
              </w:rPr>
              <w:br/>
              <w:t>China</w:t>
            </w:r>
          </w:p>
        </w:tc>
        <w:tc>
          <w:tcPr>
            <w:tcW w:w="4536" w:type="dxa"/>
            <w:gridSpan w:val="2"/>
            <w:tcBorders>
              <w:top w:val="single" w:sz="8" w:space="0" w:color="auto"/>
              <w:left w:val="nil"/>
              <w:bottom w:val="single" w:sz="8" w:space="0" w:color="auto"/>
              <w:right w:val="nil"/>
            </w:tcBorders>
          </w:tcPr>
          <w:p w14:paraId="7944D5FE" w14:textId="77777777" w:rsidR="008C7458" w:rsidRPr="00D04902" w:rsidRDefault="008C7458" w:rsidP="00D04902">
            <w:pPr>
              <w:tabs>
                <w:tab w:val="left" w:pos="794"/>
              </w:tabs>
              <w:spacing w:before="80"/>
              <w:rPr>
                <w:rFonts w:asciiTheme="minorHAnsi" w:hAnsiTheme="minorHAnsi" w:cstheme="minorHAnsi"/>
                <w:bCs/>
                <w:sz w:val="22"/>
                <w:szCs w:val="22"/>
                <w:lang w:val="fr-FR"/>
              </w:rPr>
            </w:pPr>
            <w:r w:rsidRPr="00D04902">
              <w:rPr>
                <w:rFonts w:asciiTheme="minorHAnsi" w:hAnsiTheme="minorHAnsi" w:cstheme="minorHAnsi"/>
                <w:sz w:val="22"/>
                <w:szCs w:val="22"/>
                <w:lang w:val="fr-FR"/>
              </w:rPr>
              <w:t>E-mail:</w:t>
            </w:r>
            <w:r w:rsidRPr="00D04902">
              <w:rPr>
                <w:rFonts w:asciiTheme="minorHAnsi" w:hAnsiTheme="minorHAnsi" w:cstheme="minorHAnsi"/>
                <w:sz w:val="22"/>
                <w:szCs w:val="22"/>
                <w:lang w:val="fr-FR"/>
              </w:rPr>
              <w:tab/>
            </w:r>
            <w:hyperlink r:id="rId16" w:history="1">
              <w:r w:rsidRPr="00D04902">
                <w:rPr>
                  <w:rStyle w:val="Hyperlink"/>
                  <w:rFonts w:asciiTheme="minorHAnsi" w:hAnsiTheme="minorHAnsi" w:cstheme="minorHAnsi"/>
                  <w:sz w:val="22"/>
                  <w:szCs w:val="22"/>
                  <w:lang w:val="fr-FR"/>
                </w:rPr>
                <w:t>tian.dao@zte.com.cn</w:t>
              </w:r>
            </w:hyperlink>
          </w:p>
        </w:tc>
      </w:tr>
    </w:tbl>
    <w:p w14:paraId="4551A167" w14:textId="7825A783" w:rsidR="0090147A" w:rsidRPr="00D04902" w:rsidRDefault="0090147A">
      <w:pPr>
        <w:tabs>
          <w:tab w:val="clear" w:pos="567"/>
          <w:tab w:val="clear" w:pos="1134"/>
          <w:tab w:val="clear" w:pos="1701"/>
          <w:tab w:val="clear" w:pos="2268"/>
          <w:tab w:val="clear" w:pos="2835"/>
        </w:tabs>
        <w:overflowPunct/>
        <w:autoSpaceDE/>
        <w:autoSpaceDN/>
        <w:adjustRightInd/>
        <w:spacing w:before="0"/>
        <w:textAlignment w:val="auto"/>
        <w:rPr>
          <w:b/>
          <w:sz w:val="22"/>
          <w:szCs w:val="22"/>
          <w:lang w:val="fr-FR"/>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2E4EB2" w:rsidRPr="00D04902" w14:paraId="13B0A6F7" w14:textId="77777777" w:rsidTr="00A73248">
        <w:trPr>
          <w:cantSplit/>
        </w:trPr>
        <w:tc>
          <w:tcPr>
            <w:tcW w:w="1613" w:type="dxa"/>
          </w:tcPr>
          <w:p w14:paraId="44CF1655" w14:textId="77777777" w:rsidR="002E4EB2" w:rsidRPr="00D04902" w:rsidRDefault="002E4EB2" w:rsidP="00A73248">
            <w:pPr>
              <w:spacing w:after="60"/>
              <w:rPr>
                <w:rFonts w:asciiTheme="minorHAnsi" w:hAnsiTheme="minorHAnsi" w:cstheme="minorHAnsi"/>
                <w:b/>
                <w:sz w:val="22"/>
                <w:szCs w:val="22"/>
              </w:rPr>
            </w:pPr>
            <w:r w:rsidRPr="00D04902">
              <w:rPr>
                <w:rFonts w:asciiTheme="minorHAnsi" w:hAnsiTheme="minorHAnsi" w:cstheme="minorHAnsi"/>
                <w:b/>
                <w:sz w:val="22"/>
                <w:szCs w:val="22"/>
              </w:rPr>
              <w:t>Abstract:</w:t>
            </w:r>
          </w:p>
        </w:tc>
        <w:tc>
          <w:tcPr>
            <w:tcW w:w="8026" w:type="dxa"/>
          </w:tcPr>
          <w:p w14:paraId="5798959E" w14:textId="77777777" w:rsidR="002E4EB2" w:rsidRPr="00D04902" w:rsidRDefault="002E4EB2" w:rsidP="00A73248">
            <w:pPr>
              <w:pStyle w:val="TSBHeaderSummary"/>
              <w:rPr>
                <w:rFonts w:asciiTheme="minorHAnsi" w:eastAsia="MS Mincho" w:hAnsiTheme="minorHAnsi" w:cstheme="minorHAnsi"/>
                <w:sz w:val="22"/>
                <w:szCs w:val="22"/>
              </w:rPr>
            </w:pPr>
            <w:r w:rsidRPr="00D04902">
              <w:rPr>
                <w:rFonts w:asciiTheme="minorHAnsi" w:eastAsia="MS Mincho" w:hAnsiTheme="minorHAnsi" w:cstheme="minorHAnsi"/>
                <w:sz w:val="22"/>
                <w:szCs w:val="22"/>
              </w:rPr>
              <w:t>The purpose of the second Liaison Statement (LS) of TSAG to the Council Working Group for strategic and financial plans 2028-2031 (CWG-SFP) is two-fold. One is to provide pertinent updates to the work of TSAG on strategic planning based on the decisions of WTSA-24. The second is to provide a further analysis of the points raised in the first LS from TSAG for the meeting of CWG-SFP held in October 2024.</w:t>
            </w:r>
          </w:p>
        </w:tc>
      </w:tr>
    </w:tbl>
    <w:p w14:paraId="1B93A5A1" w14:textId="77777777" w:rsidR="002E4EB2" w:rsidRPr="00795938" w:rsidRDefault="002E4EB2" w:rsidP="00233000">
      <w:pPr>
        <w:pStyle w:val="Headingb"/>
        <w:rPr>
          <w:rFonts w:asciiTheme="minorHAnsi" w:hAnsiTheme="minorHAnsi" w:cstheme="minorHAnsi"/>
        </w:rPr>
      </w:pPr>
      <w:r w:rsidRPr="00795938">
        <w:rPr>
          <w:rFonts w:asciiTheme="minorHAnsi" w:hAnsiTheme="minorHAnsi" w:cstheme="minorHAnsi"/>
        </w:rPr>
        <w:t>Decisions of WTSA-24</w:t>
      </w:r>
    </w:p>
    <w:p w14:paraId="0A45D959" w14:textId="77777777" w:rsidR="002E4EB2" w:rsidRPr="00795938" w:rsidRDefault="002E4EB2" w:rsidP="00795938">
      <w:pPr>
        <w:jc w:val="both"/>
        <w:rPr>
          <w:rFonts w:asciiTheme="minorHAnsi" w:hAnsiTheme="minorHAnsi" w:cstheme="minorHAnsi"/>
          <w:lang w:val="en-US"/>
        </w:rPr>
      </w:pPr>
      <w:r w:rsidRPr="00795938">
        <w:rPr>
          <w:rFonts w:asciiTheme="minorHAnsi" w:hAnsiTheme="minorHAnsi" w:cstheme="minorHAnsi"/>
          <w:lang w:val="en-US"/>
        </w:rPr>
        <w:t>One of the key decisions taken by the Assembly held from 15 to 25 October 2024 was the adoption of new Resolution 108, Strategic planning in ITU-T. Pertinent actions highlighted in the Resolution include the following:</w:t>
      </w:r>
    </w:p>
    <w:p w14:paraId="34AFE63A" w14:textId="5804E327" w:rsidR="002E4EB2" w:rsidRPr="00795938" w:rsidRDefault="00795938" w:rsidP="00795938">
      <w:pPr>
        <w:pStyle w:val="enumlev1"/>
        <w:jc w:val="both"/>
        <w:rPr>
          <w:rFonts w:asciiTheme="minorHAnsi" w:hAnsiTheme="minorHAnsi" w:cstheme="minorHAnsi"/>
        </w:rPr>
      </w:pPr>
      <w:r>
        <w:rPr>
          <w:rFonts w:asciiTheme="minorHAnsi" w:eastAsiaTheme="minorEastAsia" w:hAnsiTheme="minorHAnsi" w:cstheme="minorHAnsi"/>
          <w:szCs w:val="24"/>
          <w:lang w:eastAsia="ja-JP"/>
        </w:rPr>
        <w:t>–</w:t>
      </w:r>
      <w:r>
        <w:rPr>
          <w:rFonts w:asciiTheme="minorHAnsi" w:eastAsiaTheme="minorEastAsia" w:hAnsiTheme="minorHAnsi" w:cstheme="minorHAnsi"/>
          <w:szCs w:val="24"/>
          <w:lang w:eastAsia="ja-JP"/>
        </w:rPr>
        <w:tab/>
      </w:r>
      <w:r w:rsidR="002E4EB2" w:rsidRPr="00795938">
        <w:rPr>
          <w:rFonts w:asciiTheme="minorHAnsi" w:hAnsiTheme="minorHAnsi" w:cstheme="minorHAnsi"/>
        </w:rPr>
        <w:t>to continue improving the alignment between ITU-T operational plan and the strategic plan of the Union</w:t>
      </w:r>
      <w:r w:rsidR="002E4EB2" w:rsidRPr="00795938">
        <w:rPr>
          <w:rFonts w:asciiTheme="minorHAnsi" w:hAnsiTheme="minorHAnsi" w:cstheme="minorHAnsi"/>
          <w:lang w:eastAsia="zh-CN"/>
        </w:rPr>
        <w:t>, in order to enhance and position the standardization sector in the overall ITU strategy</w:t>
      </w:r>
      <w:r w:rsidR="002E4EB2" w:rsidRPr="00795938">
        <w:rPr>
          <w:rFonts w:asciiTheme="minorHAnsi" w:hAnsiTheme="minorHAnsi" w:cstheme="minorHAnsi"/>
        </w:rPr>
        <w:t>;</w:t>
      </w:r>
    </w:p>
    <w:p w14:paraId="5B201011" w14:textId="6F788EFA" w:rsidR="002E4EB2" w:rsidRPr="00795938" w:rsidRDefault="00795938" w:rsidP="00795938">
      <w:pPr>
        <w:pStyle w:val="enumlev1"/>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2E4EB2" w:rsidRPr="00795938">
        <w:rPr>
          <w:rFonts w:asciiTheme="minorHAnsi" w:hAnsiTheme="minorHAnsi" w:cstheme="minorHAnsi"/>
        </w:rPr>
        <w:t>to develop a vision, strategic priorities and action plan, including an ITU-T value proposition, to reflect a strategic approach for ITU-T continuous evolution and improvement, in collaboration with all the ITU-T stakeholders including the Telecommunication Standardization Bureau (TSB)</w:t>
      </w:r>
      <w:r w:rsidR="005E19B6" w:rsidRPr="00795938">
        <w:rPr>
          <w:rFonts w:asciiTheme="minorHAnsi" w:hAnsiTheme="minorHAnsi" w:cstheme="minorHAnsi"/>
        </w:rPr>
        <w:t>;</w:t>
      </w:r>
    </w:p>
    <w:p w14:paraId="78154393" w14:textId="12B479CD" w:rsidR="002E4EB2" w:rsidRPr="00795938" w:rsidRDefault="00795938" w:rsidP="00795938">
      <w:pPr>
        <w:pStyle w:val="enumlev1"/>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rPr>
        <w:tab/>
      </w:r>
      <w:r w:rsidR="002E4EB2" w:rsidRPr="00795938">
        <w:rPr>
          <w:rFonts w:asciiTheme="minorHAnsi" w:hAnsiTheme="minorHAnsi" w:cstheme="minorHAnsi"/>
        </w:rPr>
        <w:t>to include in the operational plan consideration of key enablers of success in the ITU-T results framework, including industry engagement, a fit-for-purpose ITU-T study groups structure and work programmes, effective promotion and coordination, reinvigorated high-level, private sector executive meetings, TSB secretariat support, ITU-T website, effective and up to date ITU-T electronic meeting platforms and related governance and management, business continuity, among others;</w:t>
      </w:r>
    </w:p>
    <w:p w14:paraId="62CE51B7" w14:textId="4EE89AC8" w:rsidR="002E4EB2" w:rsidRPr="00795938" w:rsidRDefault="00795938" w:rsidP="00795938">
      <w:pPr>
        <w:pStyle w:val="enumlev1"/>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2E4EB2" w:rsidRPr="00795938">
        <w:rPr>
          <w:rFonts w:asciiTheme="minorHAnsi" w:hAnsiTheme="minorHAnsi" w:cstheme="minorHAnsi"/>
        </w:rPr>
        <w:t>to mainstream RBM in ITU-T, including through a results-based operational plan aligned with ITU strategy, while considering TSB support for the regional presence, and providing regular reporting to TSAG, CWG-SFP and to the Council, on actions planned and undertaken in that regard;</w:t>
      </w:r>
    </w:p>
    <w:p w14:paraId="2021C84D" w14:textId="37AA5B17" w:rsidR="002E4EB2" w:rsidRPr="00795938" w:rsidRDefault="00795938" w:rsidP="00795938">
      <w:pPr>
        <w:pStyle w:val="enumlev1"/>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2E4EB2" w:rsidRPr="00795938">
        <w:rPr>
          <w:rFonts w:asciiTheme="minorHAnsi" w:hAnsiTheme="minorHAnsi" w:cstheme="minorHAnsi"/>
        </w:rPr>
        <w:t>to support strategic planning of ITU-T by developing an ITU-T risk management approach that considers strategic and operational risks and associated mitigation measures.</w:t>
      </w:r>
    </w:p>
    <w:p w14:paraId="72DFB3A4" w14:textId="77777777" w:rsidR="002E4EB2" w:rsidRPr="00795938" w:rsidRDefault="002E4EB2" w:rsidP="00795938">
      <w:pPr>
        <w:pStyle w:val="Headingb"/>
        <w:jc w:val="both"/>
        <w:rPr>
          <w:rFonts w:asciiTheme="minorHAnsi" w:hAnsiTheme="minorHAnsi" w:cstheme="minorHAnsi"/>
        </w:rPr>
      </w:pPr>
      <w:r w:rsidRPr="00795938">
        <w:rPr>
          <w:rFonts w:asciiTheme="minorHAnsi" w:hAnsiTheme="minorHAnsi" w:cstheme="minorHAnsi"/>
        </w:rPr>
        <w:t>The importance of linking strategic and operational planning, as well as financial planning, in ITU</w:t>
      </w:r>
    </w:p>
    <w:p w14:paraId="0AFB84FB" w14:textId="77777777" w:rsidR="002E4EB2" w:rsidRPr="00795938" w:rsidRDefault="002E4EB2" w:rsidP="00795938">
      <w:pPr>
        <w:jc w:val="both"/>
        <w:rPr>
          <w:rFonts w:asciiTheme="minorHAnsi" w:hAnsiTheme="minorHAnsi" w:cstheme="minorHAnsi"/>
          <w:lang w:val="en-US"/>
        </w:rPr>
      </w:pPr>
      <w:r w:rsidRPr="00795938">
        <w:rPr>
          <w:rFonts w:asciiTheme="minorHAnsi" w:hAnsiTheme="minorHAnsi" w:cstheme="minorHAnsi"/>
          <w:lang w:val="en-US"/>
        </w:rPr>
        <w:t>With reference to the Strategic Plan for the Union, 2024-2027, as was highlighted in the first submission to the CWG by means of the TSAG LS, was the need to elaborate in the next Strategic Plan for the Union, 2028-2031 the linkage of the various planning elements. This is clearly emphasized in Resolution 151 (Rev. Dubai, 2018), Improvement of results-based management in ITU).  The strategic plan for the Union should link the strategic goals to the achievement of the ITU’s overall mission by undertaking priority actions and by the delivery of outputs (associated with the operational plans). The process of bottom-up budgeting, integrating resources, activities and outputs within the context of RBM requires that strategic and operational planning be linked with financial planning and budgeting.</w:t>
      </w:r>
    </w:p>
    <w:p w14:paraId="6E2941F6" w14:textId="77777777" w:rsidR="002E4EB2" w:rsidRPr="00795938" w:rsidRDefault="002E4EB2" w:rsidP="00795938">
      <w:pPr>
        <w:jc w:val="both"/>
        <w:rPr>
          <w:rFonts w:asciiTheme="minorHAnsi" w:hAnsiTheme="minorHAnsi" w:cstheme="minorHAnsi"/>
          <w:lang w:val="en-US"/>
        </w:rPr>
      </w:pPr>
      <w:r w:rsidRPr="00795938">
        <w:rPr>
          <w:rFonts w:asciiTheme="minorHAnsi" w:hAnsiTheme="minorHAnsi" w:cstheme="minorHAnsi"/>
          <w:lang w:val="en-US"/>
        </w:rPr>
        <w:t>It is recommended that narrative text be developed which clearly and comprehensively links the pertinent planning elements.</w:t>
      </w:r>
    </w:p>
    <w:p w14:paraId="3FD45DB9" w14:textId="77777777" w:rsidR="002E4EB2" w:rsidRPr="00795938" w:rsidRDefault="002E4EB2" w:rsidP="00795938">
      <w:pPr>
        <w:pStyle w:val="Headingb"/>
        <w:jc w:val="both"/>
        <w:rPr>
          <w:rFonts w:asciiTheme="minorHAnsi" w:hAnsiTheme="minorHAnsi" w:cstheme="minorHAnsi"/>
        </w:rPr>
      </w:pPr>
      <w:r w:rsidRPr="00795938">
        <w:rPr>
          <w:rFonts w:asciiTheme="minorHAnsi" w:hAnsiTheme="minorHAnsi" w:cstheme="minorHAnsi"/>
        </w:rPr>
        <w:t>Structure of the current Strategic Plan</w:t>
      </w:r>
    </w:p>
    <w:p w14:paraId="511C56A7" w14:textId="34E964AA" w:rsidR="002E4EB2" w:rsidRPr="00795938" w:rsidRDefault="002E4EB2" w:rsidP="00795938">
      <w:pPr>
        <w:pStyle w:val="Headingb"/>
        <w:jc w:val="both"/>
        <w:rPr>
          <w:rFonts w:asciiTheme="minorHAnsi" w:hAnsiTheme="minorHAnsi" w:cstheme="minorHAnsi"/>
        </w:rPr>
      </w:pPr>
      <w:r w:rsidRPr="00795938">
        <w:rPr>
          <w:rFonts w:asciiTheme="minorHAnsi" w:hAnsiTheme="minorHAnsi" w:cstheme="minorHAnsi"/>
        </w:rPr>
        <w:t xml:space="preserve">Linkage between </w:t>
      </w:r>
      <w:r w:rsidR="00233000" w:rsidRPr="00795938">
        <w:rPr>
          <w:rFonts w:asciiTheme="minorHAnsi" w:hAnsiTheme="minorHAnsi" w:cstheme="minorHAnsi"/>
        </w:rPr>
        <w:t>goals, thematic priorities, products and services, enablers and strategic goals and targets/thematic priorities and outcomes</w:t>
      </w:r>
    </w:p>
    <w:p w14:paraId="47351358" w14:textId="77777777" w:rsidR="002E4EB2" w:rsidRPr="00795938" w:rsidRDefault="002E4EB2" w:rsidP="00795938">
      <w:pPr>
        <w:jc w:val="both"/>
        <w:rPr>
          <w:rFonts w:asciiTheme="minorHAnsi" w:hAnsiTheme="minorHAnsi" w:cstheme="minorHAnsi"/>
          <w:lang w:val="en-US"/>
        </w:rPr>
      </w:pPr>
      <w:r w:rsidRPr="00795938">
        <w:rPr>
          <w:rFonts w:asciiTheme="minorHAnsi" w:hAnsiTheme="minorHAnsi" w:cstheme="minorHAnsi"/>
          <w:lang w:val="en-US"/>
        </w:rPr>
        <w:t xml:space="preserve">While there are no substantive comments conceptually as far as the overall structure is concerned, i.e. the presentation of Goals, Thematic Priorities, Products and Services, Enablers and Strategic Goals and Targets/Thematic Priorities and Outcomes in the current Strategic Plan, as indicated above a comprehensive explanation of how these concepts are linked would enhance the overall understanding of how overall planning is implemented in ITU. </w:t>
      </w:r>
    </w:p>
    <w:p w14:paraId="5A33E62B" w14:textId="20AFFE0A" w:rsidR="002E4EB2" w:rsidRPr="00795938" w:rsidRDefault="002E4EB2" w:rsidP="00795938">
      <w:pPr>
        <w:pStyle w:val="Headingi"/>
        <w:jc w:val="both"/>
        <w:rPr>
          <w:rFonts w:cstheme="minorHAnsi"/>
          <w:lang w:val="en-US"/>
        </w:rPr>
      </w:pPr>
      <w:r w:rsidRPr="00795938">
        <w:rPr>
          <w:rFonts w:cstheme="minorHAnsi"/>
          <w:lang w:val="en-US"/>
        </w:rPr>
        <w:t xml:space="preserve">Products and </w:t>
      </w:r>
      <w:r w:rsidR="004D7065" w:rsidRPr="00795938">
        <w:rPr>
          <w:rFonts w:cstheme="minorHAnsi"/>
          <w:lang w:val="en-US"/>
        </w:rPr>
        <w:t xml:space="preserve">services </w:t>
      </w:r>
    </w:p>
    <w:p w14:paraId="1411D93D" w14:textId="77777777" w:rsidR="002E4EB2" w:rsidRPr="00795938" w:rsidRDefault="002E4EB2" w:rsidP="00795938">
      <w:pPr>
        <w:jc w:val="both"/>
        <w:rPr>
          <w:rFonts w:asciiTheme="minorHAnsi" w:hAnsiTheme="minorHAnsi" w:cstheme="minorHAnsi"/>
          <w:lang w:val="en-US"/>
        </w:rPr>
      </w:pPr>
      <w:r w:rsidRPr="00795938">
        <w:rPr>
          <w:rFonts w:asciiTheme="minorHAnsi" w:hAnsiTheme="minorHAnsi" w:cstheme="minorHAnsi"/>
          <w:lang w:val="en-US"/>
        </w:rPr>
        <w:t xml:space="preserve">As far as the identification of Products and Services is concerned, it is suggested that these be identified as “Outputs”, thereby clarifying the linkage with operational planning. While there is no objection to using the term “Outcomes” as part of the RBM process, the distinction between Outputs and Outcomes needs to be made to ensure that the process is fully understood. </w:t>
      </w:r>
    </w:p>
    <w:p w14:paraId="0BC7B5EE" w14:textId="7E8FA258" w:rsidR="002E4EB2" w:rsidRPr="00795938" w:rsidRDefault="002E4EB2" w:rsidP="00795938">
      <w:pPr>
        <w:pStyle w:val="Headingi"/>
        <w:jc w:val="both"/>
        <w:rPr>
          <w:rFonts w:cstheme="minorHAnsi"/>
          <w:lang w:val="en-US"/>
        </w:rPr>
      </w:pPr>
      <w:r w:rsidRPr="00795938">
        <w:rPr>
          <w:rFonts w:cstheme="minorHAnsi"/>
          <w:lang w:val="en-US"/>
        </w:rPr>
        <w:t xml:space="preserve">Formulation of </w:t>
      </w:r>
      <w:r w:rsidR="004D7065" w:rsidRPr="00795938">
        <w:rPr>
          <w:rFonts w:cstheme="minorHAnsi"/>
          <w:lang w:val="en-US"/>
        </w:rPr>
        <w:t xml:space="preserve">thematic priority </w:t>
      </w:r>
      <w:r w:rsidRPr="00795938">
        <w:rPr>
          <w:rFonts w:cstheme="minorHAnsi"/>
          <w:lang w:val="en-US"/>
        </w:rPr>
        <w:t>#2 (International Numbering Resources)</w:t>
      </w:r>
    </w:p>
    <w:p w14:paraId="079B2ADB" w14:textId="77777777" w:rsidR="002E4EB2" w:rsidRPr="00795938" w:rsidRDefault="002E4EB2" w:rsidP="00795938">
      <w:pPr>
        <w:jc w:val="both"/>
        <w:rPr>
          <w:rFonts w:asciiTheme="minorHAnsi" w:hAnsiTheme="minorHAnsi" w:cstheme="minorHAnsi"/>
          <w:lang w:val="en-US"/>
        </w:rPr>
      </w:pPr>
      <w:r w:rsidRPr="00795938">
        <w:rPr>
          <w:rFonts w:asciiTheme="minorHAnsi" w:hAnsiTheme="minorHAnsi" w:cstheme="minorHAnsi"/>
          <w:lang w:val="en-US"/>
        </w:rPr>
        <w:t xml:space="preserve">No conclusion has been reached yet on an alternative formulation for TP#2 but suffice it to say at this point that a direct repetition between the Thematic Priorities and the Outputs of </w:t>
      </w:r>
      <w:r w:rsidRPr="00795938">
        <w:rPr>
          <w:rFonts w:asciiTheme="minorHAnsi" w:hAnsiTheme="minorHAnsi" w:cstheme="minorHAnsi"/>
          <w:lang w:val="en-US"/>
        </w:rPr>
        <w:lastRenderedPageBreak/>
        <w:t>the Operational Plans can result in confusion in understanding the relationship between these elements.  As far as International Numbering Resources is concerned, however, its importance is recognized and reflected as an Ouput in the ITU-T Operational Plan. An alternative formulation is under discussion in TSAG.</w:t>
      </w:r>
    </w:p>
    <w:p w14:paraId="66C7BA4B" w14:textId="456334F9" w:rsidR="002E4EB2" w:rsidRPr="00795938" w:rsidRDefault="002E4EB2" w:rsidP="00795938">
      <w:pPr>
        <w:pStyle w:val="Headingi"/>
        <w:jc w:val="both"/>
        <w:rPr>
          <w:rFonts w:cstheme="minorHAnsi"/>
          <w:lang w:val="en-US"/>
        </w:rPr>
      </w:pPr>
      <w:r w:rsidRPr="00795938">
        <w:rPr>
          <w:rFonts w:cstheme="minorHAnsi"/>
          <w:lang w:val="en-US"/>
        </w:rPr>
        <w:t xml:space="preserve">Thematic </w:t>
      </w:r>
      <w:r w:rsidR="004D7065" w:rsidRPr="00795938">
        <w:rPr>
          <w:rFonts w:cstheme="minorHAnsi"/>
          <w:lang w:val="en-US"/>
        </w:rPr>
        <w:t>priorities/outcomes</w:t>
      </w:r>
    </w:p>
    <w:p w14:paraId="1742CBEE" w14:textId="77777777" w:rsidR="002E4EB2" w:rsidRPr="00795938" w:rsidRDefault="002E4EB2" w:rsidP="00795938">
      <w:pPr>
        <w:jc w:val="both"/>
        <w:rPr>
          <w:rFonts w:asciiTheme="minorHAnsi" w:hAnsiTheme="minorHAnsi" w:cstheme="minorHAnsi"/>
        </w:rPr>
      </w:pPr>
      <w:r w:rsidRPr="00795938">
        <w:rPr>
          <w:rFonts w:asciiTheme="minorHAnsi" w:hAnsiTheme="minorHAnsi" w:cstheme="minorHAnsi"/>
        </w:rPr>
        <w:t>As defined in the current Strategic Plan, Outcomes are defined as “Key results the Union aims to achieve under its thematic priorities”. This compares to the definition of “Outputs” (defined in Annex 3 (Glossary of Terms) in the Strategic Plan) as “Outputs are the final tangible results, deliverables, products and services achieved by the Union in the implementation of the operational plans. Outputs are cost objects and are represented in the applicable cost-accounting system by internal orders. Outputs will be defined and measured in operational plans for each Sector and the General Secretariat”.</w:t>
      </w:r>
    </w:p>
    <w:p w14:paraId="78962686" w14:textId="11E363F2" w:rsidR="002E4EB2" w:rsidRPr="00795938" w:rsidRDefault="002E4EB2" w:rsidP="00795938">
      <w:pPr>
        <w:pStyle w:val="Headingi"/>
        <w:jc w:val="both"/>
        <w:rPr>
          <w:rFonts w:cstheme="minorHAnsi"/>
        </w:rPr>
      </w:pPr>
      <w:r w:rsidRPr="00795938">
        <w:rPr>
          <w:rFonts w:cstheme="minorHAnsi"/>
        </w:rPr>
        <w:t xml:space="preserve">Thematic </w:t>
      </w:r>
      <w:r w:rsidR="004D7065" w:rsidRPr="00795938">
        <w:rPr>
          <w:rFonts w:cstheme="minorHAnsi"/>
        </w:rPr>
        <w:t>priority “enabling environment”</w:t>
      </w:r>
    </w:p>
    <w:p w14:paraId="3350E44F" w14:textId="77777777" w:rsidR="002E4EB2" w:rsidRPr="00795938" w:rsidRDefault="002E4EB2" w:rsidP="00795938">
      <w:pPr>
        <w:jc w:val="both"/>
        <w:rPr>
          <w:rFonts w:asciiTheme="minorHAnsi" w:hAnsiTheme="minorHAnsi" w:cstheme="minorHAnsi"/>
        </w:rPr>
      </w:pPr>
      <w:r w:rsidRPr="00795938">
        <w:rPr>
          <w:rFonts w:asciiTheme="minorHAnsi" w:hAnsiTheme="minorHAnsi" w:cstheme="minorHAnsi"/>
        </w:rPr>
        <w:t xml:space="preserve">In relation to Thematic Priority “Enabling Environment”, an “Outcome” is listed as: </w:t>
      </w:r>
    </w:p>
    <w:p w14:paraId="41536777" w14:textId="79EC6390" w:rsidR="002E4EB2" w:rsidRPr="00795938" w:rsidRDefault="00795938" w:rsidP="00795938">
      <w:pPr>
        <w:pStyle w:val="enumlev1"/>
        <w:jc w:val="both"/>
      </w:pPr>
      <w:r>
        <w:tab/>
      </w:r>
      <w:r w:rsidR="002E4EB2" w:rsidRPr="00795938">
        <w:t>“Enhanced ability of all countries, in particular developing countries, to develop and implement strategies, policies and practices for digital inclusion, access and use telecommunications/ICTs, implement, and participate in the development of, ITU's international standards, recommendations, best practices and regulations”. It is further broken down as “Bridging the standardization gap – enhanced ability of all countries, in particular developing countries, to develop, access, implement and influence ITU-T recommendations”.</w:t>
      </w:r>
    </w:p>
    <w:p w14:paraId="37B525FC" w14:textId="49E53EF7" w:rsidR="002E4EB2" w:rsidRPr="00795938" w:rsidRDefault="002E4EB2" w:rsidP="00795938">
      <w:pPr>
        <w:jc w:val="both"/>
        <w:rPr>
          <w:rFonts w:asciiTheme="minorHAnsi" w:hAnsiTheme="minorHAnsi" w:cstheme="minorHAnsi"/>
        </w:rPr>
      </w:pPr>
      <w:r w:rsidRPr="00795938">
        <w:rPr>
          <w:rFonts w:asciiTheme="minorHAnsi" w:hAnsiTheme="minorHAnsi" w:cstheme="minorHAnsi"/>
        </w:rPr>
        <w:t xml:space="preserve">The </w:t>
      </w:r>
      <w:r w:rsidR="004D7065" w:rsidRPr="00795938">
        <w:rPr>
          <w:rFonts w:asciiTheme="minorHAnsi" w:hAnsiTheme="minorHAnsi" w:cstheme="minorHAnsi"/>
        </w:rPr>
        <w:t xml:space="preserve">outcome </w:t>
      </w:r>
      <w:r w:rsidRPr="00795938">
        <w:rPr>
          <w:rFonts w:asciiTheme="minorHAnsi" w:hAnsiTheme="minorHAnsi" w:cstheme="minorHAnsi"/>
        </w:rPr>
        <w:t xml:space="preserve">indicators include the following: </w:t>
      </w:r>
    </w:p>
    <w:p w14:paraId="3B7F01A6" w14:textId="77777777" w:rsidR="002E4EB2" w:rsidRPr="00795938" w:rsidRDefault="002E4EB2" w:rsidP="00795938">
      <w:pPr>
        <w:jc w:val="both"/>
        <w:rPr>
          <w:rFonts w:asciiTheme="minorHAnsi" w:hAnsiTheme="minorHAnsi" w:cstheme="minorHAnsi"/>
        </w:rPr>
      </w:pPr>
      <w:r w:rsidRPr="00795938">
        <w:rPr>
          <w:rFonts w:asciiTheme="minorHAnsi" w:hAnsiTheme="minorHAnsi" w:cstheme="minorHAnsi"/>
        </w:rPr>
        <w:t>Total number of ITU-T study group leadership positions held (by level of development)</w:t>
      </w:r>
    </w:p>
    <w:p w14:paraId="126F13A0" w14:textId="77777777" w:rsidR="002E4EB2" w:rsidRPr="00795938" w:rsidRDefault="002E4EB2" w:rsidP="00795938">
      <w:pPr>
        <w:jc w:val="both"/>
        <w:rPr>
          <w:rFonts w:asciiTheme="minorHAnsi" w:hAnsiTheme="minorHAnsi" w:cstheme="minorHAnsi"/>
        </w:rPr>
      </w:pPr>
      <w:r w:rsidRPr="00795938">
        <w:rPr>
          <w:rFonts w:asciiTheme="minorHAnsi" w:hAnsiTheme="minorHAnsi" w:cstheme="minorHAnsi"/>
        </w:rPr>
        <w:t>Total number of ITU-T study group meetings/participants – Total number of countries represented in ITU-T study group meetings (by level of development) – Total number of contributions submitted to ITU-T study group meetings (by level of development of the country of the contributing organization) – Total number of ITU-T recommendation downloads – Total number of workshops and other events in support of ITU-T study groups/ participants.</w:t>
      </w:r>
    </w:p>
    <w:p w14:paraId="4A509E31" w14:textId="77777777" w:rsidR="002E4EB2" w:rsidRPr="00795938" w:rsidRDefault="002E4EB2" w:rsidP="00795938">
      <w:pPr>
        <w:jc w:val="both"/>
        <w:rPr>
          <w:rFonts w:asciiTheme="minorHAnsi" w:hAnsiTheme="minorHAnsi" w:cstheme="minorHAnsi"/>
        </w:rPr>
      </w:pPr>
      <w:r w:rsidRPr="00795938">
        <w:rPr>
          <w:rFonts w:asciiTheme="minorHAnsi" w:hAnsiTheme="minorHAnsi" w:cstheme="minorHAnsi"/>
        </w:rPr>
        <w:t xml:space="preserve">In the first instance, a key question is whether the Outcome description, or part thereof, is an Outcome or Output. Secondly, the KPIs seem more appropriate to be included in the evaluations of the operational plans. For ITU-T, there are references to “bridging the standardization gap” and to the ITU-T study groups, both of which are distinct Outputs of the ITU-T operational plan.  </w:t>
      </w:r>
    </w:p>
    <w:p w14:paraId="11D19911" w14:textId="77777777" w:rsidR="002E4EB2" w:rsidRPr="00795938" w:rsidRDefault="002E4EB2" w:rsidP="00795938">
      <w:pPr>
        <w:pStyle w:val="Headingu"/>
        <w:jc w:val="both"/>
        <w:rPr>
          <w:rFonts w:asciiTheme="minorHAnsi" w:hAnsiTheme="minorHAnsi" w:cstheme="minorHAnsi"/>
        </w:rPr>
      </w:pPr>
      <w:r w:rsidRPr="00795938">
        <w:rPr>
          <w:rFonts w:asciiTheme="minorHAnsi" w:hAnsiTheme="minorHAnsi" w:cstheme="minorHAnsi"/>
        </w:rPr>
        <w:t>Value proposition of ITU</w:t>
      </w:r>
    </w:p>
    <w:p w14:paraId="30E9DDCB" w14:textId="77777777" w:rsidR="002E4EB2" w:rsidRPr="00795938" w:rsidRDefault="002E4EB2" w:rsidP="00795938">
      <w:pPr>
        <w:jc w:val="both"/>
        <w:rPr>
          <w:rFonts w:asciiTheme="minorHAnsi" w:hAnsiTheme="minorHAnsi" w:cstheme="minorHAnsi"/>
          <w:lang w:val="en-US"/>
        </w:rPr>
      </w:pPr>
      <w:r w:rsidRPr="00795938">
        <w:rPr>
          <w:rFonts w:asciiTheme="minorHAnsi" w:hAnsiTheme="minorHAnsi" w:cstheme="minorHAnsi"/>
          <w:lang w:val="en-US"/>
        </w:rPr>
        <w:t>As a final observation, Annex 2 to Resolution 71 (Situational analysis), section 2.4 refers to “Assessing ITU’s value proposition and its organizational effectiveness”. The following comments are offered on this section to reflect the ITU-T perspective on this important element.</w:t>
      </w:r>
    </w:p>
    <w:p w14:paraId="16EE8C91" w14:textId="77777777" w:rsidR="002E4EB2" w:rsidRPr="00795938" w:rsidRDefault="002E4EB2" w:rsidP="00795938">
      <w:pPr>
        <w:jc w:val="both"/>
        <w:rPr>
          <w:rFonts w:asciiTheme="minorHAnsi" w:hAnsiTheme="minorHAnsi" w:cstheme="minorHAnsi"/>
          <w:lang w:val="en-US"/>
        </w:rPr>
      </w:pPr>
      <w:r w:rsidRPr="00795938">
        <w:rPr>
          <w:rFonts w:asciiTheme="minorHAnsi" w:hAnsiTheme="minorHAnsi" w:cstheme="minorHAnsi"/>
          <w:lang w:val="en-US"/>
        </w:rPr>
        <w:t xml:space="preserve">In the organization and follow-up to the Industry Engagement Workshop held in April 2024, it was observed that the value proposition of ITU-T should be to safeguard global alignments of the different standards organizations. ITU-T benefits from a world-leading process based on </w:t>
      </w:r>
      <w:r w:rsidRPr="00795938">
        <w:rPr>
          <w:rFonts w:asciiTheme="minorHAnsi" w:hAnsiTheme="minorHAnsi" w:cstheme="minorHAnsi"/>
          <w:lang w:val="en-US"/>
        </w:rPr>
        <w:lastRenderedPageBreak/>
        <w:t>consensus, balanced IPR policy, inclusivity, and its unique industry-government bridge, and should focus on cooperation and coordination.</w:t>
      </w:r>
    </w:p>
    <w:p w14:paraId="589345A8" w14:textId="77777777" w:rsidR="002E4EB2" w:rsidRPr="00795938" w:rsidRDefault="002E4EB2" w:rsidP="00795938">
      <w:pPr>
        <w:jc w:val="both"/>
        <w:rPr>
          <w:rFonts w:asciiTheme="minorHAnsi" w:hAnsiTheme="minorHAnsi" w:cstheme="minorHAnsi"/>
          <w:lang w:val="en-US"/>
        </w:rPr>
      </w:pPr>
      <w:r w:rsidRPr="00795938">
        <w:rPr>
          <w:rFonts w:asciiTheme="minorHAnsi" w:hAnsiTheme="minorHAnsi" w:cstheme="minorHAnsi"/>
          <w:lang w:val="en-US"/>
        </w:rPr>
        <w:t>Moreover, the Industry Engagement Action Plan approved by TSAG in 2024 includes an element to identify value propositions to enhance participation and retention of industry as Sector Members and Associates (including SMEs) in ITU-T. It is noted that a clearer statement of the ITU-T value proposition should be promoted by means of, for example, the ITU-T Homepage and the ITU-T portion of the Strategic Plan.</w:t>
      </w:r>
    </w:p>
    <w:p w14:paraId="24E4139A" w14:textId="77777777" w:rsidR="002E4EB2" w:rsidRPr="00795938" w:rsidRDefault="002E4EB2" w:rsidP="00795938">
      <w:pPr>
        <w:jc w:val="both"/>
        <w:rPr>
          <w:rFonts w:asciiTheme="minorHAnsi" w:hAnsiTheme="minorHAnsi" w:cstheme="minorHAnsi"/>
          <w:lang w:val="en-US"/>
        </w:rPr>
      </w:pPr>
      <w:r w:rsidRPr="00795938">
        <w:rPr>
          <w:rFonts w:asciiTheme="minorHAnsi" w:hAnsiTheme="minorHAnsi" w:cstheme="minorHAnsi"/>
          <w:lang w:val="en-US"/>
        </w:rPr>
        <w:t>With regard to the Homepage on the ITU-T value proposition, the following points are highlighted:</w:t>
      </w:r>
    </w:p>
    <w:p w14:paraId="5CD0BF0E" w14:textId="7F81195D" w:rsidR="002E4EB2" w:rsidRPr="00795938" w:rsidRDefault="00795938" w:rsidP="00795938">
      <w:pPr>
        <w:pStyle w:val="enumlev1"/>
        <w:jc w:val="both"/>
        <w:rPr>
          <w:rFonts w:asciiTheme="minorHAnsi" w:hAnsiTheme="minorHAnsi" w:cstheme="minorHAnsi"/>
          <w:lang w:val="en-US"/>
        </w:rPr>
      </w:pPr>
      <w:r>
        <w:rPr>
          <w:rFonts w:asciiTheme="minorHAnsi" w:hAnsiTheme="minorHAnsi" w:cstheme="minorHAnsi"/>
        </w:rPr>
        <w:t>–</w:t>
      </w:r>
      <w:r>
        <w:rPr>
          <w:rFonts w:asciiTheme="minorHAnsi" w:hAnsiTheme="minorHAnsi" w:cstheme="minorHAnsi"/>
        </w:rPr>
        <w:tab/>
      </w:r>
      <w:r w:rsidR="002E4EB2" w:rsidRPr="00795938">
        <w:rPr>
          <w:rFonts w:asciiTheme="minorHAnsi" w:hAnsiTheme="minorHAnsi" w:cstheme="minorHAnsi"/>
          <w:lang w:val="en-US"/>
        </w:rPr>
        <w:t>a unique ecosystem bringing together governments and regulators, private sector and academia;</w:t>
      </w:r>
    </w:p>
    <w:p w14:paraId="4F3E5A32" w14:textId="7237394D" w:rsidR="002E4EB2" w:rsidRPr="00795938" w:rsidRDefault="00795938" w:rsidP="00795938">
      <w:pPr>
        <w:pStyle w:val="enumlev1"/>
        <w:jc w:val="both"/>
        <w:rPr>
          <w:rFonts w:asciiTheme="minorHAnsi" w:hAnsiTheme="minorHAnsi" w:cstheme="minorHAnsi"/>
          <w:lang w:val="en-US"/>
        </w:rPr>
      </w:pPr>
      <w:r>
        <w:rPr>
          <w:rFonts w:asciiTheme="minorHAnsi" w:hAnsiTheme="minorHAnsi" w:cstheme="minorHAnsi"/>
        </w:rPr>
        <w:t>–</w:t>
      </w:r>
      <w:r>
        <w:rPr>
          <w:rFonts w:asciiTheme="minorHAnsi" w:hAnsiTheme="minorHAnsi" w:cstheme="minorHAnsi"/>
        </w:rPr>
        <w:tab/>
      </w:r>
      <w:r w:rsidR="002E4EB2" w:rsidRPr="00795938">
        <w:rPr>
          <w:rFonts w:asciiTheme="minorHAnsi" w:hAnsiTheme="minorHAnsi" w:cstheme="minorHAnsi"/>
          <w:lang w:val="en-US"/>
        </w:rPr>
        <w:t>impartial, open standards agreed through consensus, respecting clear intellectual property policies;</w:t>
      </w:r>
    </w:p>
    <w:p w14:paraId="26170F66" w14:textId="6A578848" w:rsidR="002E4EB2" w:rsidRPr="00795938" w:rsidRDefault="00795938" w:rsidP="00795938">
      <w:pPr>
        <w:pStyle w:val="enumlev1"/>
        <w:jc w:val="both"/>
        <w:rPr>
          <w:rFonts w:asciiTheme="minorHAnsi" w:hAnsiTheme="minorHAnsi" w:cstheme="minorHAnsi"/>
          <w:lang w:val="en-US"/>
        </w:rPr>
      </w:pPr>
      <w:r>
        <w:rPr>
          <w:rFonts w:asciiTheme="minorHAnsi" w:hAnsiTheme="minorHAnsi" w:cstheme="minorHAnsi"/>
        </w:rPr>
        <w:t>–</w:t>
      </w:r>
      <w:r>
        <w:rPr>
          <w:rFonts w:asciiTheme="minorHAnsi" w:hAnsiTheme="minorHAnsi" w:cstheme="minorHAnsi"/>
        </w:rPr>
        <w:tab/>
      </w:r>
      <w:r w:rsidR="002E4EB2" w:rsidRPr="00795938">
        <w:rPr>
          <w:rFonts w:asciiTheme="minorHAnsi" w:hAnsiTheme="minorHAnsi" w:cstheme="minorHAnsi"/>
          <w:lang w:val="en-US"/>
        </w:rPr>
        <w:t>coordination with other standards development organizations to avoid possible overlaps;</w:t>
      </w:r>
    </w:p>
    <w:p w14:paraId="5DB690B9" w14:textId="0268E72D" w:rsidR="002E4EB2" w:rsidRPr="00795938" w:rsidRDefault="00795938" w:rsidP="00795938">
      <w:pPr>
        <w:pStyle w:val="enumlev1"/>
        <w:jc w:val="both"/>
        <w:rPr>
          <w:rFonts w:asciiTheme="minorHAnsi" w:hAnsiTheme="minorHAnsi" w:cstheme="minorHAnsi"/>
          <w:lang w:val="en-US"/>
        </w:rPr>
      </w:pPr>
      <w:r>
        <w:rPr>
          <w:rFonts w:asciiTheme="minorHAnsi" w:hAnsiTheme="minorHAnsi" w:cstheme="minorHAnsi"/>
        </w:rPr>
        <w:t>–</w:t>
      </w:r>
      <w:r>
        <w:rPr>
          <w:rFonts w:asciiTheme="minorHAnsi" w:hAnsiTheme="minorHAnsi" w:cstheme="minorHAnsi"/>
        </w:rPr>
        <w:tab/>
      </w:r>
      <w:r w:rsidR="002E4EB2" w:rsidRPr="00795938">
        <w:rPr>
          <w:rFonts w:asciiTheme="minorHAnsi" w:hAnsiTheme="minorHAnsi" w:cstheme="minorHAnsi"/>
          <w:lang w:val="en-US"/>
        </w:rPr>
        <w:t>efficient processes designed to meet the needs of industry, with standards approved in as little as five weeks;</w:t>
      </w:r>
    </w:p>
    <w:p w14:paraId="3FDAECC9" w14:textId="28F3A3D0" w:rsidR="002E4EB2" w:rsidRPr="00795938" w:rsidRDefault="00795938" w:rsidP="00795938">
      <w:pPr>
        <w:pStyle w:val="enumlev1"/>
        <w:jc w:val="both"/>
        <w:rPr>
          <w:rFonts w:asciiTheme="minorHAnsi" w:hAnsiTheme="minorHAnsi" w:cstheme="minorHAnsi"/>
          <w:lang w:val="en-US"/>
        </w:rPr>
      </w:pPr>
      <w:r>
        <w:rPr>
          <w:rFonts w:asciiTheme="minorHAnsi" w:hAnsiTheme="minorHAnsi" w:cstheme="minorHAnsi"/>
        </w:rPr>
        <w:t>–</w:t>
      </w:r>
      <w:r>
        <w:rPr>
          <w:rFonts w:asciiTheme="minorHAnsi" w:hAnsiTheme="minorHAnsi" w:cstheme="minorHAnsi"/>
        </w:rPr>
        <w:tab/>
      </w:r>
      <w:r w:rsidR="002E4EB2" w:rsidRPr="00795938">
        <w:rPr>
          <w:rFonts w:asciiTheme="minorHAnsi" w:hAnsiTheme="minorHAnsi" w:cstheme="minorHAnsi"/>
          <w:lang w:val="en-US"/>
        </w:rPr>
        <w:t>advanced remote participation tools to save travel costs and reduce carbon footprint;</w:t>
      </w:r>
    </w:p>
    <w:p w14:paraId="4CBAC438" w14:textId="27CC8F42" w:rsidR="002E4EB2" w:rsidRPr="00795938" w:rsidRDefault="00795938" w:rsidP="00795938">
      <w:pPr>
        <w:pStyle w:val="enumlev1"/>
        <w:jc w:val="both"/>
        <w:rPr>
          <w:rFonts w:asciiTheme="minorHAnsi" w:hAnsiTheme="minorHAnsi" w:cstheme="minorHAnsi"/>
          <w:lang w:val="en-US"/>
        </w:rPr>
      </w:pPr>
      <w:r>
        <w:rPr>
          <w:rFonts w:asciiTheme="minorHAnsi" w:hAnsiTheme="minorHAnsi" w:cstheme="minorHAnsi"/>
        </w:rPr>
        <w:t>–</w:t>
      </w:r>
      <w:r>
        <w:rPr>
          <w:rFonts w:asciiTheme="minorHAnsi" w:hAnsiTheme="minorHAnsi" w:cstheme="minorHAnsi"/>
        </w:rPr>
        <w:tab/>
      </w:r>
      <w:r w:rsidR="002E4EB2" w:rsidRPr="00795938">
        <w:rPr>
          <w:rFonts w:asciiTheme="minorHAnsi" w:hAnsiTheme="minorHAnsi" w:cstheme="minorHAnsi"/>
          <w:lang w:val="en-US"/>
        </w:rPr>
        <w:t>state-of-the-art meeting facilities including premium audiovisual systems and videoconferencing rooms;</w:t>
      </w:r>
    </w:p>
    <w:p w14:paraId="34067315" w14:textId="1B000D7D" w:rsidR="002E4EB2" w:rsidRPr="00795938" w:rsidRDefault="00795938" w:rsidP="00795938">
      <w:pPr>
        <w:pStyle w:val="enumlev1"/>
        <w:jc w:val="both"/>
        <w:rPr>
          <w:rFonts w:asciiTheme="minorHAnsi" w:hAnsiTheme="minorHAnsi" w:cstheme="minorHAnsi"/>
          <w:lang w:val="en-US"/>
        </w:rPr>
      </w:pPr>
      <w:r>
        <w:rPr>
          <w:rFonts w:asciiTheme="minorHAnsi" w:hAnsiTheme="minorHAnsi" w:cstheme="minorHAnsi"/>
        </w:rPr>
        <w:t>–</w:t>
      </w:r>
      <w:r>
        <w:rPr>
          <w:rFonts w:asciiTheme="minorHAnsi" w:hAnsiTheme="minorHAnsi" w:cstheme="minorHAnsi"/>
        </w:rPr>
        <w:tab/>
      </w:r>
      <w:r w:rsidR="002E4EB2" w:rsidRPr="00795938">
        <w:rPr>
          <w:rFonts w:asciiTheme="minorHAnsi" w:hAnsiTheme="minorHAnsi" w:cstheme="minorHAnsi"/>
          <w:lang w:val="en-US"/>
        </w:rPr>
        <w:t>dedicated secretariat with multilingual staff across 12 offices around the globe;</w:t>
      </w:r>
    </w:p>
    <w:p w14:paraId="7679C531" w14:textId="0D0B1DCF" w:rsidR="002E4EB2" w:rsidRPr="00795938" w:rsidRDefault="00795938" w:rsidP="00795938">
      <w:pPr>
        <w:pStyle w:val="enumlev1"/>
        <w:jc w:val="both"/>
        <w:rPr>
          <w:rFonts w:asciiTheme="minorHAnsi" w:hAnsiTheme="minorHAnsi" w:cstheme="minorHAnsi"/>
          <w:lang w:val="en-US"/>
        </w:rPr>
      </w:pPr>
      <w:r>
        <w:rPr>
          <w:rFonts w:asciiTheme="minorHAnsi" w:hAnsiTheme="minorHAnsi" w:cstheme="minorHAnsi"/>
        </w:rPr>
        <w:t>–</w:t>
      </w:r>
      <w:r>
        <w:rPr>
          <w:rFonts w:asciiTheme="minorHAnsi" w:hAnsiTheme="minorHAnsi" w:cstheme="minorHAnsi"/>
        </w:rPr>
        <w:tab/>
      </w:r>
      <w:r w:rsidR="002E4EB2" w:rsidRPr="00795938">
        <w:rPr>
          <w:rFonts w:asciiTheme="minorHAnsi" w:hAnsiTheme="minorHAnsi" w:cstheme="minorHAnsi"/>
          <w:lang w:val="en-US"/>
        </w:rPr>
        <w:t>a badge of quality and trust conferred by ITU’s United Nations status.</w:t>
      </w:r>
    </w:p>
    <w:p w14:paraId="388EDD77" w14:textId="77777777" w:rsidR="002E4EB2" w:rsidRPr="00795938" w:rsidRDefault="002E4EB2" w:rsidP="00795938">
      <w:pPr>
        <w:jc w:val="both"/>
        <w:rPr>
          <w:rFonts w:asciiTheme="minorHAnsi" w:hAnsiTheme="minorHAnsi" w:cstheme="minorHAnsi"/>
        </w:rPr>
      </w:pPr>
      <w:r w:rsidRPr="00795938">
        <w:rPr>
          <w:rFonts w:asciiTheme="minorHAnsi" w:hAnsiTheme="minorHAnsi" w:cstheme="minorHAnsi"/>
          <w:lang w:val="en-US"/>
        </w:rPr>
        <w:t xml:space="preserve">While section 2.4 in Annex 2 of the Strategic Plan addresses several important areas to </w:t>
      </w:r>
      <w:r w:rsidRPr="00795938">
        <w:rPr>
          <w:rFonts w:asciiTheme="minorHAnsi" w:hAnsiTheme="minorHAnsi" w:cstheme="minorHAnsi"/>
        </w:rPr>
        <w:t xml:space="preserve">improve ITU’s value proposition to its membership and advice to ITU management on enhancing organizational effectiveness, such as the review of ITU's regional presence, the ITU Culture and Skills project and informal consultations with members during the strategic planning process. </w:t>
      </w:r>
    </w:p>
    <w:p w14:paraId="5BD2F106" w14:textId="77777777" w:rsidR="002E4EB2" w:rsidRPr="00795938" w:rsidRDefault="002E4EB2" w:rsidP="00795938">
      <w:pPr>
        <w:jc w:val="both"/>
        <w:rPr>
          <w:rFonts w:asciiTheme="minorHAnsi" w:hAnsiTheme="minorHAnsi" w:cstheme="minorHAnsi"/>
          <w:spacing w:val="-2"/>
          <w:lang w:val="en-US"/>
        </w:rPr>
      </w:pPr>
      <w:r w:rsidRPr="00795938">
        <w:rPr>
          <w:rFonts w:asciiTheme="minorHAnsi" w:hAnsiTheme="minorHAnsi" w:cstheme="minorHAnsi"/>
          <w:spacing w:val="-2"/>
        </w:rPr>
        <w:t>While it is mentioned that the feedback from the membership reinforced the need to improve internal management through results-based management and enhance transparency and accountability, there is no mention of the elements underlying the value proposition of ITU to encourage Member States to maintain or perhaps increase their contributory share to the organization, or to predispose industry or academia from either retaining or enhancing their level of financial support to ITU. I</w:t>
      </w:r>
      <w:r w:rsidRPr="00795938">
        <w:rPr>
          <w:rFonts w:asciiTheme="minorHAnsi" w:hAnsiTheme="minorHAnsi" w:cstheme="minorHAnsi"/>
          <w:spacing w:val="-2"/>
          <w:lang w:val="en-US"/>
        </w:rPr>
        <w:t>t is suggested that it could be strengthened with the inclusion of some of the points outlined in the existing literature outlining the value proposition of ITU-T.</w:t>
      </w:r>
    </w:p>
    <w:p w14:paraId="4675685E" w14:textId="53875120" w:rsidR="002E4EB2" w:rsidRPr="00795938" w:rsidRDefault="002E4EB2" w:rsidP="00795938">
      <w:pPr>
        <w:pStyle w:val="Headingu"/>
        <w:jc w:val="both"/>
        <w:rPr>
          <w:rFonts w:asciiTheme="minorHAnsi" w:hAnsiTheme="minorHAnsi" w:cstheme="minorHAnsi"/>
        </w:rPr>
      </w:pPr>
      <w:r w:rsidRPr="00795938">
        <w:rPr>
          <w:rFonts w:asciiTheme="minorHAnsi" w:hAnsiTheme="minorHAnsi" w:cstheme="minorHAnsi"/>
        </w:rPr>
        <w:t xml:space="preserve">Concluding </w:t>
      </w:r>
      <w:r w:rsidR="004D7065" w:rsidRPr="00795938">
        <w:rPr>
          <w:rFonts w:asciiTheme="minorHAnsi" w:hAnsiTheme="minorHAnsi" w:cstheme="minorHAnsi"/>
        </w:rPr>
        <w:t>remarks</w:t>
      </w:r>
    </w:p>
    <w:p w14:paraId="772F20ED" w14:textId="102A26D8" w:rsidR="002E4EB2" w:rsidRPr="00795938" w:rsidRDefault="002E4EB2" w:rsidP="00795938">
      <w:pPr>
        <w:jc w:val="both"/>
        <w:rPr>
          <w:rFonts w:asciiTheme="minorHAnsi" w:hAnsiTheme="minorHAnsi" w:cstheme="minorHAnsi"/>
          <w:lang w:val="en-US"/>
        </w:rPr>
      </w:pPr>
      <w:r w:rsidRPr="00795938">
        <w:rPr>
          <w:rFonts w:asciiTheme="minorHAnsi" w:hAnsiTheme="minorHAnsi" w:cstheme="minorHAnsi"/>
          <w:lang w:val="en-US"/>
        </w:rPr>
        <w:t>This contribution to the CWG-SFP is provided to assist in the formulation of the Strategic Plan for the Union, 2028-2031. It should be noted that the Inter-Sector Coordination Group (ISCG) has been advised of the first TSAG Liaison Statement sent to the CWG meeting in October and at its last meeting on 13 November encouraged RAG and TDAG to take a position on the proposal. Moreover, upon endorsing the LS from TSAG, it was noted that the contribution will be reflected in the ISCG report to Council 2025.</w:t>
      </w:r>
      <w:bookmarkEnd w:id="5"/>
      <w:bookmarkEnd w:id="10"/>
    </w:p>
    <w:p w14:paraId="626322AD" w14:textId="40552D4A" w:rsidR="004D7065" w:rsidRPr="004D7065" w:rsidRDefault="004D7065" w:rsidP="004D7065">
      <w:pPr>
        <w:jc w:val="center"/>
      </w:pPr>
      <w:r>
        <w:t>______________</w:t>
      </w:r>
    </w:p>
    <w:sectPr w:rsidR="004D7065" w:rsidRPr="004D7065"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3F0EB" w14:textId="77777777" w:rsidR="0001448B" w:rsidRDefault="0001448B">
      <w:r>
        <w:separator/>
      </w:r>
    </w:p>
  </w:endnote>
  <w:endnote w:type="continuationSeparator" w:id="0">
    <w:p w14:paraId="50904819" w14:textId="77777777" w:rsidR="0001448B" w:rsidRDefault="0001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232820CC" w14:textId="77777777" w:rsidTr="0042469C">
      <w:trPr>
        <w:jc w:val="center"/>
      </w:trPr>
      <w:tc>
        <w:tcPr>
          <w:tcW w:w="1803" w:type="dxa"/>
          <w:vAlign w:val="center"/>
        </w:tcPr>
        <w:p w14:paraId="55C84B8A" w14:textId="77777777" w:rsidR="00EE49E8" w:rsidRDefault="00EE49E8" w:rsidP="00EE49E8">
          <w:pPr>
            <w:pStyle w:val="Header"/>
            <w:jc w:val="left"/>
            <w:rPr>
              <w:noProof/>
            </w:rPr>
          </w:pPr>
        </w:p>
      </w:tc>
      <w:tc>
        <w:tcPr>
          <w:tcW w:w="8261" w:type="dxa"/>
        </w:tcPr>
        <w:p w14:paraId="0006E266" w14:textId="3C8DE239"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r w:rsidR="00B82C1B">
            <w:rPr>
              <w:bCs/>
              <w:lang w:val="es-ES"/>
            </w:rPr>
            <w:t>CWG-SFP</w:t>
          </w:r>
          <w:r w:rsidR="00B82C1B" w:rsidRPr="00870C17">
            <w:rPr>
              <w:bCs/>
              <w:lang w:val="es-ES"/>
            </w:rPr>
            <w:t>-</w:t>
          </w:r>
          <w:r w:rsidR="00B82C1B">
            <w:rPr>
              <w:bCs/>
              <w:lang w:val="es-ES"/>
            </w:rPr>
            <w:t>2/</w:t>
          </w:r>
          <w:r w:rsidR="004D19E1">
            <w:rPr>
              <w:bCs/>
              <w:lang w:val="es-ES"/>
            </w:rPr>
            <w:t>8</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57EFF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660B5049" w14:textId="77777777" w:rsidTr="00A52C84">
      <w:trPr>
        <w:jc w:val="center"/>
      </w:trPr>
      <w:tc>
        <w:tcPr>
          <w:tcW w:w="3107" w:type="dxa"/>
          <w:vAlign w:val="center"/>
        </w:tcPr>
        <w:p w14:paraId="3ABDA1AA" w14:textId="77777777" w:rsidR="00EE49E8" w:rsidRPr="00233000" w:rsidRDefault="0025570E" w:rsidP="00EE49E8">
          <w:pPr>
            <w:pStyle w:val="Header"/>
            <w:jc w:val="left"/>
            <w:rPr>
              <w:noProof/>
            </w:rPr>
          </w:pPr>
          <w:hyperlink r:id="rId1" w:history="1">
            <w:r w:rsidRPr="00233000">
              <w:rPr>
                <w:rStyle w:val="Hyperlink"/>
                <w:u w:val="none"/>
              </w:rPr>
              <w:t>https://council.itu.int/working-groups</w:t>
            </w:r>
          </w:hyperlink>
        </w:p>
      </w:tc>
      <w:tc>
        <w:tcPr>
          <w:tcW w:w="6957" w:type="dxa"/>
        </w:tcPr>
        <w:p w14:paraId="17EFD000" w14:textId="4835050F"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r w:rsidR="00B82C1B">
            <w:rPr>
              <w:bCs/>
              <w:lang w:val="es-ES"/>
            </w:rPr>
            <w:t>CWG-SFP</w:t>
          </w:r>
          <w:r w:rsidR="00F73B2C" w:rsidRPr="00870C17">
            <w:rPr>
              <w:bCs/>
              <w:lang w:val="es-ES"/>
            </w:rPr>
            <w:t>-</w:t>
          </w:r>
          <w:r w:rsidR="00B82C1B">
            <w:rPr>
              <w:bCs/>
              <w:lang w:val="es-ES"/>
            </w:rPr>
            <w:t>2</w:t>
          </w:r>
          <w:r w:rsidR="00205D4E">
            <w:rPr>
              <w:bCs/>
              <w:lang w:val="es-ES"/>
            </w:rPr>
            <w:t>/</w:t>
          </w:r>
          <w:r w:rsidR="004D19E1">
            <w:rPr>
              <w:bCs/>
              <w:lang w:val="es-ES"/>
            </w:rPr>
            <w:t>8</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B13FAE0"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06055" w14:textId="77777777" w:rsidR="0001448B" w:rsidRDefault="0001448B">
      <w:r>
        <w:t>____________________</w:t>
      </w:r>
    </w:p>
  </w:footnote>
  <w:footnote w:type="continuationSeparator" w:id="0">
    <w:p w14:paraId="3EF35752" w14:textId="77777777" w:rsidR="0001448B" w:rsidRDefault="00014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85C97" w:rsidRPr="00784011" w14:paraId="023C4028" w14:textId="77777777" w:rsidTr="002F314B">
      <w:trPr>
        <w:trHeight w:val="1304"/>
        <w:jc w:val="center"/>
      </w:trPr>
      <w:tc>
        <w:tcPr>
          <w:tcW w:w="6546" w:type="dxa"/>
        </w:tcPr>
        <w:p w14:paraId="0463463C" w14:textId="77777777" w:rsidR="00485C97" w:rsidRPr="009621F8" w:rsidRDefault="00485C97" w:rsidP="00485C97">
          <w:pPr>
            <w:pStyle w:val="Header"/>
            <w:jc w:val="left"/>
            <w:rPr>
              <w:rFonts w:ascii="Arial" w:hAnsi="Arial" w:cs="Arial"/>
              <w:b/>
              <w:bCs/>
              <w:color w:val="009CD6"/>
              <w:sz w:val="36"/>
              <w:szCs w:val="36"/>
            </w:rPr>
          </w:pPr>
          <w:bookmarkStart w:id="18"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3273582E" wp14:editId="0E0AAACA">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5BF3BBB" w14:textId="77777777" w:rsidR="00485C97" w:rsidRDefault="00485C97" w:rsidP="00485C97">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3582E" id="_x0000_t202" coordsize="21600,21600" o:spt="202" path="m,l,21600r21600,l21600,xe">
                    <v:stroke joinstyle="miter"/>
                    <v:path gradientshapeok="t" o:connecttype="rect"/>
                  </v:shapetype>
                  <v:shape id="Text Box 2" o:spid="_x0000_s1026" type="#_x0000_t202" style="position:absolute;margin-left:112.5pt;margin-top:.2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35BF3BBB" w14:textId="77777777" w:rsidR="00485C97" w:rsidRDefault="00485C97" w:rsidP="00485C97">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v:textbox>
                  </v:shape>
                </w:pict>
              </mc:Fallback>
            </mc:AlternateContent>
          </w:r>
          <w:r>
            <w:rPr>
              <w:rFonts w:ascii="Arial" w:hAnsi="Arial" w:cs="Arial"/>
              <w:b/>
              <w:bCs/>
              <w:noProof/>
              <w:color w:val="009CD6"/>
              <w:sz w:val="36"/>
              <w:szCs w:val="36"/>
            </w:rPr>
            <w:drawing>
              <wp:inline distT="0" distB="0" distL="0" distR="0" wp14:anchorId="4A46C533" wp14:editId="180809C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F8A2258" w14:textId="77777777" w:rsidR="00485C97" w:rsidRDefault="00485C97" w:rsidP="00485C97">
          <w:pPr>
            <w:pStyle w:val="Header"/>
            <w:jc w:val="right"/>
            <w:rPr>
              <w:rFonts w:ascii="Arial" w:hAnsi="Arial" w:cs="Arial"/>
              <w:b/>
              <w:bCs/>
              <w:color w:val="009CD6"/>
              <w:szCs w:val="18"/>
            </w:rPr>
          </w:pPr>
        </w:p>
        <w:p w14:paraId="21546CCD" w14:textId="77777777" w:rsidR="00485C97" w:rsidRDefault="00485C97" w:rsidP="00485C97">
          <w:pPr>
            <w:pStyle w:val="Header"/>
            <w:jc w:val="right"/>
            <w:rPr>
              <w:rFonts w:ascii="Arial" w:hAnsi="Arial" w:cs="Arial"/>
              <w:b/>
              <w:bCs/>
              <w:color w:val="009CD6"/>
              <w:szCs w:val="18"/>
            </w:rPr>
          </w:pPr>
        </w:p>
        <w:p w14:paraId="3EDEBE6D" w14:textId="77777777" w:rsidR="00485C97" w:rsidRPr="00784011" w:rsidRDefault="00485C97" w:rsidP="00485C97">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8"/>
  <w:p w14:paraId="5C75E8DD" w14:textId="77777777" w:rsidR="00485C97" w:rsidRDefault="00485C97" w:rsidP="00485C9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76AC486" wp14:editId="2601FDE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06DAD"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20F190F"/>
    <w:multiLevelType w:val="hybridMultilevel"/>
    <w:tmpl w:val="29F40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5126783"/>
    <w:multiLevelType w:val="hybridMultilevel"/>
    <w:tmpl w:val="A232C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647128542">
    <w:abstractNumId w:val="2"/>
  </w:num>
  <w:num w:numId="3" w16cid:durableId="2018920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73"/>
    <w:rsid w:val="00003A6D"/>
    <w:rsid w:val="000041A9"/>
    <w:rsid w:val="00004C8C"/>
    <w:rsid w:val="000120E4"/>
    <w:rsid w:val="0001448B"/>
    <w:rsid w:val="000210D4"/>
    <w:rsid w:val="000525A1"/>
    <w:rsid w:val="00063016"/>
    <w:rsid w:val="00066795"/>
    <w:rsid w:val="00076AF6"/>
    <w:rsid w:val="00085CF2"/>
    <w:rsid w:val="000A1525"/>
    <w:rsid w:val="000B10ED"/>
    <w:rsid w:val="000B1705"/>
    <w:rsid w:val="000D75B2"/>
    <w:rsid w:val="000F6AB8"/>
    <w:rsid w:val="001121F5"/>
    <w:rsid w:val="00130599"/>
    <w:rsid w:val="00131E18"/>
    <w:rsid w:val="00137708"/>
    <w:rsid w:val="001400DC"/>
    <w:rsid w:val="00140CE1"/>
    <w:rsid w:val="00147C54"/>
    <w:rsid w:val="0017539C"/>
    <w:rsid w:val="00175AC2"/>
    <w:rsid w:val="0017609F"/>
    <w:rsid w:val="001A7D1D"/>
    <w:rsid w:val="001B0595"/>
    <w:rsid w:val="001B51DD"/>
    <w:rsid w:val="001B6B92"/>
    <w:rsid w:val="001C628E"/>
    <w:rsid w:val="001C7795"/>
    <w:rsid w:val="001D4C9E"/>
    <w:rsid w:val="001D62DF"/>
    <w:rsid w:val="001E0F7B"/>
    <w:rsid w:val="001E0FBE"/>
    <w:rsid w:val="001E5FE7"/>
    <w:rsid w:val="00205D4E"/>
    <w:rsid w:val="002119FD"/>
    <w:rsid w:val="002130E0"/>
    <w:rsid w:val="00227AAB"/>
    <w:rsid w:val="00233000"/>
    <w:rsid w:val="002376DC"/>
    <w:rsid w:val="00244F7F"/>
    <w:rsid w:val="0025570E"/>
    <w:rsid w:val="002608B7"/>
    <w:rsid w:val="00264425"/>
    <w:rsid w:val="00265875"/>
    <w:rsid w:val="0027303B"/>
    <w:rsid w:val="0028109B"/>
    <w:rsid w:val="002A2188"/>
    <w:rsid w:val="002B1F58"/>
    <w:rsid w:val="002C1C7A"/>
    <w:rsid w:val="002C54E2"/>
    <w:rsid w:val="002E0AC3"/>
    <w:rsid w:val="002E4EB2"/>
    <w:rsid w:val="002E709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35671"/>
    <w:rsid w:val="0045148C"/>
    <w:rsid w:val="004544D9"/>
    <w:rsid w:val="00472BAD"/>
    <w:rsid w:val="00484009"/>
    <w:rsid w:val="00485C97"/>
    <w:rsid w:val="00490E72"/>
    <w:rsid w:val="00491157"/>
    <w:rsid w:val="004921C8"/>
    <w:rsid w:val="00495B0B"/>
    <w:rsid w:val="004A1B8B"/>
    <w:rsid w:val="004B51C8"/>
    <w:rsid w:val="004D1851"/>
    <w:rsid w:val="004D19E1"/>
    <w:rsid w:val="004D599D"/>
    <w:rsid w:val="004D7065"/>
    <w:rsid w:val="004E06D1"/>
    <w:rsid w:val="004E2EA5"/>
    <w:rsid w:val="004E3AEB"/>
    <w:rsid w:val="004E7905"/>
    <w:rsid w:val="00500CA4"/>
    <w:rsid w:val="0050223C"/>
    <w:rsid w:val="005170FD"/>
    <w:rsid w:val="005243FF"/>
    <w:rsid w:val="00524E9C"/>
    <w:rsid w:val="005311D6"/>
    <w:rsid w:val="00536422"/>
    <w:rsid w:val="0054526E"/>
    <w:rsid w:val="005536C2"/>
    <w:rsid w:val="00564FBC"/>
    <w:rsid w:val="005800BC"/>
    <w:rsid w:val="00582442"/>
    <w:rsid w:val="00586F27"/>
    <w:rsid w:val="005A335D"/>
    <w:rsid w:val="005B0869"/>
    <w:rsid w:val="005B3A0E"/>
    <w:rsid w:val="005C13D4"/>
    <w:rsid w:val="005E19B6"/>
    <w:rsid w:val="005E2BD5"/>
    <w:rsid w:val="005E4F47"/>
    <w:rsid w:val="005F3269"/>
    <w:rsid w:val="00612123"/>
    <w:rsid w:val="00615961"/>
    <w:rsid w:val="00623AE3"/>
    <w:rsid w:val="006261F4"/>
    <w:rsid w:val="00640C64"/>
    <w:rsid w:val="0064737F"/>
    <w:rsid w:val="006535F1"/>
    <w:rsid w:val="0065557D"/>
    <w:rsid w:val="00660D50"/>
    <w:rsid w:val="00662984"/>
    <w:rsid w:val="00663050"/>
    <w:rsid w:val="006662B4"/>
    <w:rsid w:val="006716BB"/>
    <w:rsid w:val="006973C8"/>
    <w:rsid w:val="006A4862"/>
    <w:rsid w:val="006B1859"/>
    <w:rsid w:val="006B6680"/>
    <w:rsid w:val="006B6DCC"/>
    <w:rsid w:val="006F239E"/>
    <w:rsid w:val="00701C70"/>
    <w:rsid w:val="00702DEF"/>
    <w:rsid w:val="00706861"/>
    <w:rsid w:val="007247CF"/>
    <w:rsid w:val="00726B8C"/>
    <w:rsid w:val="00727C44"/>
    <w:rsid w:val="0075051B"/>
    <w:rsid w:val="0077110E"/>
    <w:rsid w:val="00775655"/>
    <w:rsid w:val="00781602"/>
    <w:rsid w:val="007849D5"/>
    <w:rsid w:val="00793188"/>
    <w:rsid w:val="00794D34"/>
    <w:rsid w:val="00795938"/>
    <w:rsid w:val="007E7057"/>
    <w:rsid w:val="007F21FC"/>
    <w:rsid w:val="00806E3C"/>
    <w:rsid w:val="00813E5E"/>
    <w:rsid w:val="00816C2C"/>
    <w:rsid w:val="0083581B"/>
    <w:rsid w:val="00860EED"/>
    <w:rsid w:val="00863874"/>
    <w:rsid w:val="00864AFF"/>
    <w:rsid w:val="00865925"/>
    <w:rsid w:val="00870C17"/>
    <w:rsid w:val="00872B5C"/>
    <w:rsid w:val="00877BF2"/>
    <w:rsid w:val="00884F3A"/>
    <w:rsid w:val="00891503"/>
    <w:rsid w:val="008A2F06"/>
    <w:rsid w:val="008B4A6A"/>
    <w:rsid w:val="008C7458"/>
    <w:rsid w:val="008C7E27"/>
    <w:rsid w:val="008E4D6F"/>
    <w:rsid w:val="008F3822"/>
    <w:rsid w:val="008F505C"/>
    <w:rsid w:val="008F7448"/>
    <w:rsid w:val="0090147A"/>
    <w:rsid w:val="0090389B"/>
    <w:rsid w:val="009173EF"/>
    <w:rsid w:val="00932906"/>
    <w:rsid w:val="00961860"/>
    <w:rsid w:val="00961B0B"/>
    <w:rsid w:val="00962D33"/>
    <w:rsid w:val="009B38C3"/>
    <w:rsid w:val="009B44BD"/>
    <w:rsid w:val="009B4E2A"/>
    <w:rsid w:val="009E17BD"/>
    <w:rsid w:val="009E485A"/>
    <w:rsid w:val="00A00C11"/>
    <w:rsid w:val="00A04CEC"/>
    <w:rsid w:val="00A27F92"/>
    <w:rsid w:val="00A32257"/>
    <w:rsid w:val="00A36D20"/>
    <w:rsid w:val="00A43C03"/>
    <w:rsid w:val="00A46CD0"/>
    <w:rsid w:val="00A514A4"/>
    <w:rsid w:val="00A52C84"/>
    <w:rsid w:val="00A55622"/>
    <w:rsid w:val="00A83502"/>
    <w:rsid w:val="00A91EC1"/>
    <w:rsid w:val="00AC1DD4"/>
    <w:rsid w:val="00AC6BFA"/>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2C1B"/>
    <w:rsid w:val="00B849D3"/>
    <w:rsid w:val="00B84B9D"/>
    <w:rsid w:val="00BA3A51"/>
    <w:rsid w:val="00BC251A"/>
    <w:rsid w:val="00BD032B"/>
    <w:rsid w:val="00BD0614"/>
    <w:rsid w:val="00BD094B"/>
    <w:rsid w:val="00BE2640"/>
    <w:rsid w:val="00BF064B"/>
    <w:rsid w:val="00C01189"/>
    <w:rsid w:val="00C374DE"/>
    <w:rsid w:val="00C47AD4"/>
    <w:rsid w:val="00C52D81"/>
    <w:rsid w:val="00C55198"/>
    <w:rsid w:val="00C67C56"/>
    <w:rsid w:val="00C725C6"/>
    <w:rsid w:val="00C922C7"/>
    <w:rsid w:val="00CA6393"/>
    <w:rsid w:val="00CB18FF"/>
    <w:rsid w:val="00CB24AA"/>
    <w:rsid w:val="00CD0C08"/>
    <w:rsid w:val="00CD3C91"/>
    <w:rsid w:val="00CE03FB"/>
    <w:rsid w:val="00CE433C"/>
    <w:rsid w:val="00CF0161"/>
    <w:rsid w:val="00CF33F3"/>
    <w:rsid w:val="00D04902"/>
    <w:rsid w:val="00D06183"/>
    <w:rsid w:val="00D143DF"/>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46673"/>
    <w:rsid w:val="00E4728B"/>
    <w:rsid w:val="00E545C6"/>
    <w:rsid w:val="00E60F04"/>
    <w:rsid w:val="00E63EFF"/>
    <w:rsid w:val="00E65B24"/>
    <w:rsid w:val="00E82386"/>
    <w:rsid w:val="00E854E4"/>
    <w:rsid w:val="00E85B67"/>
    <w:rsid w:val="00E86DBF"/>
    <w:rsid w:val="00EA6A41"/>
    <w:rsid w:val="00EB0D6F"/>
    <w:rsid w:val="00EB2232"/>
    <w:rsid w:val="00EC5337"/>
    <w:rsid w:val="00EC7C07"/>
    <w:rsid w:val="00EE49E8"/>
    <w:rsid w:val="00F10B59"/>
    <w:rsid w:val="00F12E9F"/>
    <w:rsid w:val="00F16BAB"/>
    <w:rsid w:val="00F2150A"/>
    <w:rsid w:val="00F231D8"/>
    <w:rsid w:val="00F44C00"/>
    <w:rsid w:val="00F45D2C"/>
    <w:rsid w:val="00F46C5F"/>
    <w:rsid w:val="00F632C0"/>
    <w:rsid w:val="00F66A26"/>
    <w:rsid w:val="00F73B2C"/>
    <w:rsid w:val="00F74694"/>
    <w:rsid w:val="00F86596"/>
    <w:rsid w:val="00F93FD4"/>
    <w:rsid w:val="00F94A63"/>
    <w:rsid w:val="00FA1C28"/>
    <w:rsid w:val="00FB1279"/>
    <w:rsid w:val="00FB40F0"/>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DFD8E"/>
  <w15:docId w15:val="{10FB0E86-6120-4A4E-B5A4-80D4AFC8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233000"/>
    <w:pPr>
      <w:spacing w:before="160"/>
      <w:ind w:left="0" w:firstLine="0"/>
      <w:outlineLvl w:val="0"/>
    </w:pPr>
    <w:rPr>
      <w:lang w:val="en-US"/>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5148C"/>
    <w:rPr>
      <w:color w:val="666666"/>
    </w:rPr>
  </w:style>
  <w:style w:type="paragraph" w:customStyle="1" w:styleId="Docnumber">
    <w:name w:val="Docnumber"/>
    <w:basedOn w:val="Normal"/>
    <w:link w:val="DocnumberChar"/>
    <w:rsid w:val="008C7458"/>
    <w:pPr>
      <w:tabs>
        <w:tab w:val="clear" w:pos="567"/>
        <w:tab w:val="clear" w:pos="1134"/>
        <w:tab w:val="clear" w:pos="1701"/>
        <w:tab w:val="clear" w:pos="2268"/>
        <w:tab w:val="clear" w:pos="2835"/>
        <w:tab w:val="left" w:pos="794"/>
        <w:tab w:val="left" w:pos="1191"/>
        <w:tab w:val="left" w:pos="1588"/>
        <w:tab w:val="left" w:pos="1985"/>
      </w:tabs>
      <w:jc w:val="right"/>
    </w:pPr>
    <w:rPr>
      <w:rFonts w:ascii="Times New Roman" w:eastAsia="SimSun" w:hAnsi="Times New Roman"/>
      <w:b/>
      <w:sz w:val="32"/>
    </w:rPr>
  </w:style>
  <w:style w:type="character" w:customStyle="1" w:styleId="DocnumberChar">
    <w:name w:val="Docnumber Char"/>
    <w:link w:val="Docnumber"/>
    <w:rsid w:val="008C7458"/>
    <w:rPr>
      <w:rFonts w:ascii="Times New Roman" w:eastAsia="SimSun" w:hAnsi="Times New Roman"/>
      <w:b/>
      <w:sz w:val="32"/>
      <w:lang w:val="en-GB" w:eastAsia="en-US"/>
    </w:rPr>
  </w:style>
  <w:style w:type="paragraph" w:customStyle="1" w:styleId="LSDeadline">
    <w:name w:val="LSDeadline"/>
    <w:basedOn w:val="LSTitle"/>
    <w:next w:val="Normal"/>
    <w:rsid w:val="008C7458"/>
    <w:rPr>
      <w:bCs w:val="0"/>
    </w:rPr>
  </w:style>
  <w:style w:type="paragraph" w:customStyle="1" w:styleId="LSForAction">
    <w:name w:val="LSForAction"/>
    <w:basedOn w:val="LSTitle"/>
    <w:next w:val="Normal"/>
    <w:rsid w:val="008C7458"/>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8C7458"/>
  </w:style>
  <w:style w:type="paragraph" w:customStyle="1" w:styleId="LSSource">
    <w:name w:val="LSSource"/>
    <w:basedOn w:val="LSTitle"/>
    <w:next w:val="Normal"/>
    <w:rsid w:val="008C7458"/>
    <w:rPr>
      <w:bCs w:val="0"/>
    </w:rPr>
  </w:style>
  <w:style w:type="paragraph" w:customStyle="1" w:styleId="LSTitle">
    <w:name w:val="LSTitle"/>
    <w:basedOn w:val="Normal"/>
    <w:next w:val="Normal"/>
    <w:rsid w:val="008C7458"/>
    <w:pPr>
      <w:tabs>
        <w:tab w:val="clear" w:pos="567"/>
        <w:tab w:val="clear" w:pos="1134"/>
        <w:tab w:val="clear" w:pos="1701"/>
        <w:tab w:val="clear" w:pos="2268"/>
        <w:tab w:val="clear" w:pos="2835"/>
      </w:tabs>
      <w:overflowPunct/>
      <w:autoSpaceDE/>
      <w:autoSpaceDN/>
      <w:adjustRightInd/>
      <w:textAlignment w:val="auto"/>
    </w:pPr>
    <w:rPr>
      <w:rFonts w:ascii="Times New Roman" w:eastAsiaTheme="minorHAnsi" w:hAnsi="Times New Roman"/>
      <w:bCs/>
      <w:szCs w:val="24"/>
      <w:lang w:eastAsia="ja-JP"/>
    </w:rPr>
  </w:style>
  <w:style w:type="paragraph" w:customStyle="1" w:styleId="VenueDate">
    <w:name w:val="VenueDate"/>
    <w:basedOn w:val="Normal"/>
    <w:rsid w:val="008C7458"/>
    <w:pPr>
      <w:tabs>
        <w:tab w:val="clear" w:pos="567"/>
        <w:tab w:val="clear" w:pos="1134"/>
        <w:tab w:val="clear" w:pos="1701"/>
        <w:tab w:val="clear" w:pos="2268"/>
        <w:tab w:val="clear" w:pos="2835"/>
      </w:tabs>
      <w:overflowPunct/>
      <w:autoSpaceDE/>
      <w:autoSpaceDN/>
      <w:adjustRightInd/>
      <w:jc w:val="right"/>
      <w:textAlignment w:val="auto"/>
    </w:pPr>
    <w:rPr>
      <w:rFonts w:ascii="Times New Roman" w:eastAsiaTheme="minorEastAsia" w:hAnsi="Times New Roman"/>
      <w:szCs w:val="24"/>
      <w:lang w:eastAsia="ja-JP"/>
    </w:rPr>
  </w:style>
  <w:style w:type="paragraph" w:customStyle="1" w:styleId="TSBHeaderQuestion">
    <w:name w:val="TSBHeaderQuestion"/>
    <w:basedOn w:val="Normal"/>
    <w:rsid w:val="008C7458"/>
    <w:pPr>
      <w:tabs>
        <w:tab w:val="clear" w:pos="567"/>
        <w:tab w:val="clear" w:pos="1134"/>
        <w:tab w:val="clear" w:pos="1701"/>
        <w:tab w:val="clear" w:pos="2268"/>
        <w:tab w:val="clear" w:pos="2835"/>
      </w:tabs>
      <w:overflowPunct/>
      <w:autoSpaceDE/>
      <w:autoSpaceDN/>
      <w:adjustRightInd/>
      <w:textAlignment w:val="auto"/>
    </w:pPr>
    <w:rPr>
      <w:rFonts w:ascii="Times New Roman" w:eastAsiaTheme="minorEastAsia" w:hAnsi="Times New Roman"/>
      <w:szCs w:val="24"/>
      <w:lang w:eastAsia="ja-JP"/>
    </w:rPr>
  </w:style>
  <w:style w:type="paragraph" w:customStyle="1" w:styleId="LSApproval">
    <w:name w:val="LSApproval"/>
    <w:basedOn w:val="LSTitle"/>
    <w:next w:val="Normal"/>
    <w:rsid w:val="008C7458"/>
    <w:rPr>
      <w:bCs w:val="0"/>
    </w:rPr>
  </w:style>
  <w:style w:type="paragraph" w:customStyle="1" w:styleId="TSBHeaderRight14">
    <w:name w:val="TSBHeaderRight14"/>
    <w:basedOn w:val="Normal"/>
    <w:rsid w:val="008C7458"/>
    <w:pPr>
      <w:tabs>
        <w:tab w:val="clear" w:pos="567"/>
        <w:tab w:val="clear" w:pos="1134"/>
        <w:tab w:val="clear" w:pos="1701"/>
        <w:tab w:val="clear" w:pos="2268"/>
        <w:tab w:val="clear" w:pos="2835"/>
      </w:tabs>
      <w:overflowPunct/>
      <w:autoSpaceDE/>
      <w:autoSpaceDN/>
      <w:adjustRightInd/>
      <w:jc w:val="right"/>
      <w:textAlignment w:val="auto"/>
    </w:pPr>
    <w:rPr>
      <w:rFonts w:ascii="Times New Roman" w:eastAsiaTheme="minorEastAsia" w:hAnsi="Times New Roman"/>
      <w:b/>
      <w:bCs/>
      <w:sz w:val="28"/>
      <w:szCs w:val="28"/>
      <w:lang w:eastAsia="ja-JP"/>
    </w:rPr>
  </w:style>
  <w:style w:type="paragraph" w:styleId="ListParagraph">
    <w:name w:val="List Paragraph"/>
    <w:basedOn w:val="Normal"/>
    <w:link w:val="ListParagraphChar"/>
    <w:uiPriority w:val="34"/>
    <w:qFormat/>
    <w:rsid w:val="002E4EB2"/>
    <w:pPr>
      <w:tabs>
        <w:tab w:val="clear" w:pos="567"/>
        <w:tab w:val="clear" w:pos="1134"/>
        <w:tab w:val="clear" w:pos="1701"/>
        <w:tab w:val="clear" w:pos="2268"/>
        <w:tab w:val="clear" w:pos="2835"/>
      </w:tabs>
      <w:overflowPunct/>
      <w:autoSpaceDE/>
      <w:autoSpaceDN/>
      <w:adjustRightInd/>
      <w:ind w:left="720"/>
      <w:contextualSpacing/>
      <w:textAlignment w:val="auto"/>
    </w:pPr>
    <w:rPr>
      <w:rFonts w:ascii="Times New Roman" w:eastAsiaTheme="minorEastAsia" w:hAnsi="Times New Roman"/>
      <w:szCs w:val="24"/>
      <w:lang w:eastAsia="ja-JP"/>
    </w:rPr>
  </w:style>
  <w:style w:type="paragraph" w:customStyle="1" w:styleId="TSBHeaderSummary">
    <w:name w:val="TSBHeaderSummary"/>
    <w:basedOn w:val="Normal"/>
    <w:rsid w:val="002E4EB2"/>
    <w:pPr>
      <w:tabs>
        <w:tab w:val="clear" w:pos="567"/>
        <w:tab w:val="clear" w:pos="1134"/>
        <w:tab w:val="clear" w:pos="1701"/>
        <w:tab w:val="clear" w:pos="2268"/>
        <w:tab w:val="clear" w:pos="2835"/>
      </w:tabs>
      <w:overflowPunct/>
      <w:autoSpaceDE/>
      <w:autoSpaceDN/>
      <w:adjustRightInd/>
      <w:textAlignment w:val="auto"/>
    </w:pPr>
    <w:rPr>
      <w:rFonts w:ascii="Times New Roman" w:eastAsiaTheme="minorEastAsia" w:hAnsi="Times New Roman"/>
      <w:szCs w:val="24"/>
      <w:lang w:eastAsia="ja-JP"/>
    </w:rPr>
  </w:style>
  <w:style w:type="character" w:customStyle="1" w:styleId="ListParagraphChar">
    <w:name w:val="List Paragraph Char"/>
    <w:link w:val="ListParagraph"/>
    <w:uiPriority w:val="34"/>
    <w:rsid w:val="002E4EB2"/>
    <w:rPr>
      <w:rFonts w:ascii="Times New Roman" w:eastAsiaTheme="minorEastAsia" w:hAnsi="Times New Roman"/>
      <w:sz w:val="24"/>
      <w:szCs w:val="24"/>
      <w:lang w:val="en-GB" w:eastAsia="ja-JP"/>
    </w:rPr>
  </w:style>
  <w:style w:type="paragraph" w:customStyle="1" w:styleId="Headingu">
    <w:name w:val="Heading_u"/>
    <w:basedOn w:val="Headingb"/>
    <w:rsid w:val="00233000"/>
    <w:rPr>
      <w:b w:val="0"/>
      <w:bCs/>
      <w:u w:val="single"/>
    </w:rPr>
  </w:style>
  <w:style w:type="paragraph" w:customStyle="1" w:styleId="Reasons">
    <w:name w:val="Reasons"/>
    <w:basedOn w:val="Normal"/>
    <w:qFormat/>
    <w:rsid w:val="004D7065"/>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4-CWGSFP1-C-0007/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ian.dao@zte.com.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5" Type="http://schemas.openxmlformats.org/officeDocument/2006/relationships/numbering" Target="numbering.xml"/><Relationship Id="rId15" Type="http://schemas.openxmlformats.org/officeDocument/2006/relationships/hyperlink" Target="mailto:bruce.gracie13@roger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tor.martinezv@ift.org.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146B739B54F40B714F2E60E92A517" ma:contentTypeVersion="18" ma:contentTypeDescription="Create a new document." ma:contentTypeScope="" ma:versionID="89caf9f3544211a1e0ae2b53f75f293b">
  <xsd:schema xmlns:xsd="http://www.w3.org/2001/XMLSchema" xmlns:xs="http://www.w3.org/2001/XMLSchema" xmlns:p="http://schemas.microsoft.com/office/2006/metadata/properties" xmlns:ns2="6524ed65-50c7-4fb3-9954-e6cb51bee540" xmlns:ns3="cb5c4e96-d2fa-4fb5-b842-8bb7a9e662f3" targetNamespace="http://schemas.microsoft.com/office/2006/metadata/properties" ma:root="true" ma:fieldsID="41f4299d14b5a7007d49cdd83713117d" ns2:_="" ns3:_="">
    <xsd:import namespace="6524ed65-50c7-4fb3-9954-e6cb51bee540"/>
    <xsd:import namespace="cb5c4e96-d2fa-4fb5-b842-8bb7a9e662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ed65-50c7-4fb3-9954-e6cb51bee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c4e96-d2fa-4fb5-b842-8bb7a9e662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873559-c6c3-47ee-b04e-0ebdf642dd30}" ma:internalName="TaxCatchAll" ma:showField="CatchAllData" ma:web="cb5c4e96-d2fa-4fb5-b842-8bb7a9e66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24ed65-50c7-4fb3-9954-e6cb51bee540">
      <Terms xmlns="http://schemas.microsoft.com/office/infopath/2007/PartnerControls"/>
    </lcf76f155ced4ddcb4097134ff3c332f>
    <TaxCatchAll xmlns="cb5c4e96-d2fa-4fb5-b842-8bb7a9e662f3" xsi:nil="true"/>
  </documentManagement>
</p:properties>
</file>

<file path=customXml/itemProps1.xml><?xml version="1.0" encoding="utf-8"?>
<ds:datastoreItem xmlns:ds="http://schemas.openxmlformats.org/officeDocument/2006/customXml" ds:itemID="{2A5F6C4E-46D9-4A3A-8262-4CB0771EF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ed65-50c7-4fb3-9954-e6cb51bee540"/>
    <ds:schemaRef ds:uri="cb5c4e96-d2fa-4fb5-b842-8bb7a9e6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3A61F-2212-4D5D-8994-9D9C4E1B8145}">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1B3EC589-7792-404C-819F-8DB3AEF7230E}">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6524ed65-50c7-4fb3-9954-e6cb51bee540"/>
    <ds:schemaRef ds:uri="cb5c4e96-d2fa-4fb5-b842-8bb7a9e662f3"/>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1747</Words>
  <Characters>10603</Characters>
  <Application>Microsoft Office Word</Application>
  <DocSecurity>0</DocSecurity>
  <Lines>225</Lines>
  <Paragraphs>108</Paragraphs>
  <ScaleCrop>false</ScaleCrop>
  <HeadingPairs>
    <vt:vector size="2" baseType="variant">
      <vt:variant>
        <vt:lpstr>Title</vt:lpstr>
      </vt:variant>
      <vt:variant>
        <vt:i4>1</vt:i4>
      </vt:variant>
    </vt:vector>
  </HeadingPairs>
  <TitlesOfParts>
    <vt:vector size="1" baseType="lpstr">
      <vt:lpstr>Liaison statement on the second submission of TSAG to the Council Working Group for strategic and financial plans</vt:lpstr>
    </vt:vector>
  </TitlesOfParts>
  <Manager/>
  <Company/>
  <LinksUpToDate>false</LinksUpToDate>
  <CharactersWithSpaces>12242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 on the second submission of TSAG to the Council Working Group for strategic and financial plans</dc:title>
  <dc:subject>ITU Council Working Group for strategic and financial plans 2028-2031</dc:subject>
  <dc:creator>LRT</dc:creator>
  <cp:keywords>CWG-SFP</cp:keywords>
  <dc:description/>
  <cp:lastModifiedBy>LRT</cp:lastModifiedBy>
  <cp:revision>4</cp:revision>
  <dcterms:created xsi:type="dcterms:W3CDTF">2025-02-04T15:46:00Z</dcterms:created>
  <dcterms:modified xsi:type="dcterms:W3CDTF">2025-02-04T16:00:00Z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0x0101005F2146B739B54F40B714F2E60E92A517</vt:lpwstr>
  </property>
  <property fmtid="{D5CDD505-2E9C-101B-9397-08002B2CF9AE}" pid="3" name="GrammarlyDocumentId">
    <vt:lpwstr>b5b1562bdeb2174167d1cb27026d22df57f1580bcb8a6bf7d9eef259c216ae3d</vt:lpwstr>
  </property>
</Properties>
</file>