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63EFB" w14:paraId="542A596D" w14:textId="77777777" w:rsidTr="00AD3606">
        <w:trPr>
          <w:cantSplit/>
          <w:trHeight w:val="23"/>
        </w:trPr>
        <w:tc>
          <w:tcPr>
            <w:tcW w:w="3969" w:type="dxa"/>
            <w:vMerge w:val="restart"/>
            <w:tcMar>
              <w:left w:w="0" w:type="dxa"/>
            </w:tcMar>
          </w:tcPr>
          <w:p w14:paraId="4C7E837C"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C870DD4" w14:textId="02429A2B" w:rsidR="00AD3606" w:rsidRPr="00301AEE" w:rsidRDefault="00663EFB" w:rsidP="00472BAD">
            <w:pPr>
              <w:tabs>
                <w:tab w:val="left" w:pos="851"/>
              </w:tabs>
              <w:spacing w:before="0" w:line="240" w:lineRule="atLeast"/>
              <w:jc w:val="right"/>
              <w:rPr>
                <w:b/>
                <w:lang w:val="fr-FR"/>
              </w:rPr>
            </w:pPr>
            <w:proofErr w:type="spellStart"/>
            <w:r>
              <w:rPr>
                <w:b/>
                <w:lang w:val="fr-CH"/>
              </w:rPr>
              <w:t>Revision</w:t>
            </w:r>
            <w:proofErr w:type="spellEnd"/>
            <w:r>
              <w:rPr>
                <w:b/>
                <w:lang w:val="fr-CH"/>
              </w:rPr>
              <w:t xml:space="preserve"> 1 to</w:t>
            </w:r>
            <w:r>
              <w:rPr>
                <w:b/>
                <w:lang w:val="fr-CH"/>
              </w:rPr>
              <w:br/>
            </w:r>
            <w:r w:rsidR="00E85B67" w:rsidRPr="00A52C84">
              <w:rPr>
                <w:b/>
                <w:lang w:val="fr-CH"/>
              </w:rPr>
              <w:t xml:space="preserve">Document </w:t>
            </w:r>
            <w:proofErr w:type="spellStart"/>
            <w:r w:rsidR="00612123">
              <w:rPr>
                <w:b/>
                <w:lang w:val="fr-CH"/>
              </w:rPr>
              <w:t>CWG</w:t>
            </w:r>
            <w:proofErr w:type="spellEnd"/>
            <w:r w:rsidR="00612123">
              <w:rPr>
                <w:b/>
                <w:lang w:val="fr-CH"/>
              </w:rPr>
              <w:t>-</w:t>
            </w:r>
            <w:proofErr w:type="spellStart"/>
            <w:r w:rsidR="00612123">
              <w:rPr>
                <w:b/>
                <w:lang w:val="fr-CH"/>
              </w:rPr>
              <w:t>SFP</w:t>
            </w:r>
            <w:r w:rsidR="00524E9C">
              <w:rPr>
                <w:b/>
                <w:lang w:val="fr-CH"/>
              </w:rPr>
              <w:t>-</w:t>
            </w:r>
            <w:r w:rsidR="00612123">
              <w:rPr>
                <w:b/>
                <w:lang w:val="fr-CH"/>
              </w:rPr>
              <w:t>2</w:t>
            </w:r>
            <w:proofErr w:type="spellEnd"/>
            <w:r w:rsidR="00F66A26">
              <w:rPr>
                <w:b/>
                <w:lang w:val="fr-FR"/>
              </w:rPr>
              <w:t>/</w:t>
            </w:r>
            <w:r w:rsidR="00250B42">
              <w:rPr>
                <w:b/>
                <w:lang w:val="fr-FR"/>
              </w:rPr>
              <w:t>6</w:t>
            </w:r>
          </w:p>
        </w:tc>
      </w:tr>
      <w:tr w:rsidR="00AD3606" w:rsidRPr="00147C54" w14:paraId="02679F4A" w14:textId="77777777" w:rsidTr="00AD3606">
        <w:trPr>
          <w:cantSplit/>
        </w:trPr>
        <w:tc>
          <w:tcPr>
            <w:tcW w:w="3969" w:type="dxa"/>
            <w:vMerge/>
          </w:tcPr>
          <w:p w14:paraId="77B59B83"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D1BE688" w14:textId="6ACE4884" w:rsidR="00AD3606" w:rsidRPr="00147C54" w:rsidRDefault="00663EFB" w:rsidP="00AD3606">
            <w:pPr>
              <w:tabs>
                <w:tab w:val="left" w:pos="851"/>
              </w:tabs>
              <w:spacing w:before="0"/>
              <w:jc w:val="right"/>
              <w:rPr>
                <w:b/>
              </w:rPr>
            </w:pPr>
            <w:r>
              <w:rPr>
                <w:b/>
              </w:rPr>
              <w:t xml:space="preserve">20 February </w:t>
            </w:r>
            <w:r w:rsidR="00F56BDD">
              <w:rPr>
                <w:b/>
              </w:rPr>
              <w:t>2025</w:t>
            </w:r>
          </w:p>
        </w:tc>
      </w:tr>
      <w:tr w:rsidR="00AD3606" w:rsidRPr="00147C54" w14:paraId="136B074A" w14:textId="77777777" w:rsidTr="00AD3606">
        <w:trPr>
          <w:cantSplit/>
          <w:trHeight w:val="23"/>
        </w:trPr>
        <w:tc>
          <w:tcPr>
            <w:tcW w:w="3969" w:type="dxa"/>
            <w:vMerge/>
          </w:tcPr>
          <w:p w14:paraId="5C568FF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FDE6F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9A210B" w14:textId="77777777" w:rsidTr="00AD3606">
        <w:trPr>
          <w:cantSplit/>
          <w:trHeight w:val="23"/>
        </w:trPr>
        <w:tc>
          <w:tcPr>
            <w:tcW w:w="3969" w:type="dxa"/>
          </w:tcPr>
          <w:p w14:paraId="0C034DDF" w14:textId="77777777" w:rsidR="00472BAD" w:rsidRPr="00147C54" w:rsidRDefault="00472BAD" w:rsidP="00AD3606">
            <w:pPr>
              <w:tabs>
                <w:tab w:val="left" w:pos="851"/>
              </w:tabs>
              <w:spacing w:line="240" w:lineRule="atLeast"/>
              <w:rPr>
                <w:b/>
              </w:rPr>
            </w:pPr>
          </w:p>
        </w:tc>
        <w:tc>
          <w:tcPr>
            <w:tcW w:w="5245" w:type="dxa"/>
          </w:tcPr>
          <w:p w14:paraId="75CF0906" w14:textId="77777777" w:rsidR="00472BAD" w:rsidRPr="00147C54" w:rsidRDefault="00472BAD" w:rsidP="00AD3606">
            <w:pPr>
              <w:tabs>
                <w:tab w:val="left" w:pos="851"/>
              </w:tabs>
              <w:spacing w:before="0" w:line="240" w:lineRule="atLeast"/>
              <w:jc w:val="right"/>
              <w:rPr>
                <w:b/>
              </w:rPr>
            </w:pPr>
          </w:p>
        </w:tc>
      </w:tr>
      <w:tr w:rsidR="00AD3606" w:rsidRPr="00147C54" w14:paraId="2913C1C8" w14:textId="77777777" w:rsidTr="00AD3606">
        <w:trPr>
          <w:cantSplit/>
        </w:trPr>
        <w:tc>
          <w:tcPr>
            <w:tcW w:w="9214" w:type="dxa"/>
            <w:gridSpan w:val="2"/>
            <w:tcMar>
              <w:left w:w="0" w:type="dxa"/>
            </w:tcMar>
          </w:tcPr>
          <w:p w14:paraId="0DF27233" w14:textId="1B6395E2" w:rsidR="00AD3606" w:rsidRPr="00147C54" w:rsidRDefault="00250B42" w:rsidP="00E4728B">
            <w:pPr>
              <w:pStyle w:val="Source"/>
              <w:framePr w:hSpace="0" w:wrap="auto" w:vAnchor="margin" w:hAnchor="text" w:xAlign="left" w:yAlign="inline"/>
            </w:pPr>
            <w:bookmarkStart w:id="8" w:name="dsource" w:colFirst="0" w:colLast="0"/>
            <w:bookmarkEnd w:id="7"/>
            <w:r>
              <w:t>Report by the Chair of the Expert Group on Decision 482</w:t>
            </w:r>
          </w:p>
        </w:tc>
      </w:tr>
      <w:tr w:rsidR="00AD3606" w:rsidRPr="00147C54" w14:paraId="257E5EFD" w14:textId="77777777" w:rsidTr="00AD3606">
        <w:trPr>
          <w:cantSplit/>
        </w:trPr>
        <w:tc>
          <w:tcPr>
            <w:tcW w:w="9214" w:type="dxa"/>
            <w:gridSpan w:val="2"/>
            <w:tcMar>
              <w:left w:w="0" w:type="dxa"/>
            </w:tcMar>
          </w:tcPr>
          <w:p w14:paraId="75FDD26C" w14:textId="41B713FD" w:rsidR="00AD3606" w:rsidRPr="00147C54" w:rsidRDefault="00F56BDD" w:rsidP="00F56BDD">
            <w:pPr>
              <w:pStyle w:val="Subtitle"/>
              <w:framePr w:hSpace="0" w:wrap="auto" w:xAlign="left" w:yAlign="inline"/>
            </w:pPr>
            <w:bookmarkStart w:id="9" w:name="_Hlk187051444"/>
            <w:bookmarkStart w:id="10" w:name="dtitle1" w:colFirst="0" w:colLast="0"/>
            <w:bookmarkEnd w:id="8"/>
            <w:r w:rsidRPr="00F56BDD">
              <w:t>INTERIM REPORT FROM EXPERT GROUP ON DECISION 482</w:t>
            </w:r>
            <w:bookmarkEnd w:id="9"/>
          </w:p>
        </w:tc>
      </w:tr>
      <w:tr w:rsidR="00AD3606" w:rsidRPr="00147C54" w14:paraId="0FCEA4E4" w14:textId="77777777" w:rsidTr="00AD3606">
        <w:trPr>
          <w:cantSplit/>
        </w:trPr>
        <w:tc>
          <w:tcPr>
            <w:tcW w:w="9214" w:type="dxa"/>
            <w:gridSpan w:val="2"/>
            <w:tcBorders>
              <w:top w:val="single" w:sz="4" w:space="0" w:color="auto"/>
              <w:bottom w:val="single" w:sz="4" w:space="0" w:color="auto"/>
            </w:tcBorders>
            <w:tcMar>
              <w:left w:w="0" w:type="dxa"/>
            </w:tcMar>
          </w:tcPr>
          <w:p w14:paraId="7C0EDD28" w14:textId="77777777" w:rsidR="00AD3606" w:rsidRPr="00147C54" w:rsidRDefault="00F16BAB" w:rsidP="00F16BAB">
            <w:pPr>
              <w:spacing w:before="160"/>
              <w:rPr>
                <w:b/>
                <w:bCs/>
                <w:sz w:val="26"/>
                <w:szCs w:val="26"/>
              </w:rPr>
            </w:pPr>
            <w:r w:rsidRPr="00147C54">
              <w:rPr>
                <w:b/>
                <w:bCs/>
                <w:sz w:val="26"/>
                <w:szCs w:val="26"/>
              </w:rPr>
              <w:t>Purpose</w:t>
            </w:r>
          </w:p>
          <w:p w14:paraId="2FD2A772" w14:textId="6F44CB83" w:rsidR="00250B42" w:rsidRDefault="00250B42" w:rsidP="00250B42">
            <w:pPr>
              <w:jc w:val="both"/>
              <w:rPr>
                <w:lang w:val="en-US"/>
              </w:rPr>
            </w:pPr>
            <w:r>
              <w:t xml:space="preserve">Following the request from the Council to provide an interim report to the first 2025 meetings of CWG-FHR and CWG-SFP, this document contains a summary of the </w:t>
            </w:r>
            <w:r w:rsidR="002D73F8">
              <w:t>three</w:t>
            </w:r>
            <w:r>
              <w:t xml:space="preserve"> meetings of the Council Expert Group on Decision 482 that were held in 2024</w:t>
            </w:r>
            <w:r w:rsidR="002D73F8">
              <w:t xml:space="preserve"> and February 2025</w:t>
            </w:r>
            <w:r>
              <w:t xml:space="preserve">. </w:t>
            </w:r>
          </w:p>
          <w:p w14:paraId="08275725" w14:textId="77777777" w:rsidR="00AD3606" w:rsidRPr="00147C54" w:rsidRDefault="00AD3606" w:rsidP="00F16BAB">
            <w:pPr>
              <w:spacing w:before="160"/>
              <w:rPr>
                <w:b/>
                <w:bCs/>
                <w:sz w:val="26"/>
                <w:szCs w:val="26"/>
              </w:rPr>
            </w:pPr>
            <w:r w:rsidRPr="00147C54">
              <w:rPr>
                <w:b/>
                <w:bCs/>
                <w:sz w:val="26"/>
                <w:szCs w:val="26"/>
              </w:rPr>
              <w:t>Action required</w:t>
            </w:r>
          </w:p>
          <w:p w14:paraId="6846EA06" w14:textId="53FE53BC" w:rsidR="00B82C1B" w:rsidRDefault="00B82C1B" w:rsidP="00250B42">
            <w:pPr>
              <w:spacing w:before="160"/>
              <w:jc w:val="both"/>
            </w:pPr>
            <w:r w:rsidRPr="00FD7016">
              <w:t xml:space="preserve">The </w:t>
            </w:r>
            <w:r>
              <w:t>Council Working Group for strategic and financial plans</w:t>
            </w:r>
            <w:r w:rsidRPr="00FD7016">
              <w:t xml:space="preserve"> </w:t>
            </w:r>
            <w:r>
              <w:t xml:space="preserve">2028-2031 </w:t>
            </w:r>
            <w:r w:rsidRPr="00FD7016">
              <w:t>is invited to</w:t>
            </w:r>
            <w:r>
              <w:t xml:space="preserve"> </w:t>
            </w:r>
            <w:r w:rsidR="00F56BDD">
              <w:rPr>
                <w:b/>
                <w:bCs/>
              </w:rPr>
              <w:t xml:space="preserve">note </w:t>
            </w:r>
            <w:r w:rsidR="00F56BDD" w:rsidRPr="00F56BDD">
              <w:t>this interim report</w:t>
            </w:r>
            <w:r>
              <w:t>.</w:t>
            </w:r>
            <w:r w:rsidR="00F56BDD">
              <w:t xml:space="preserve"> This report was also submitted to the </w:t>
            </w:r>
            <w:r w:rsidR="00F56BDD" w:rsidRPr="00F56BDD">
              <w:t>Council Working Group on financial and human resources</w:t>
            </w:r>
            <w:r w:rsidR="00F56BDD">
              <w:t xml:space="preserve"> for noting.</w:t>
            </w:r>
          </w:p>
          <w:p w14:paraId="038CE23E" w14:textId="77777777" w:rsidR="00AD3606" w:rsidRPr="00CD3C91" w:rsidRDefault="00CD3C91" w:rsidP="00CD3C91">
            <w:r>
              <w:t>_______________</w:t>
            </w:r>
          </w:p>
          <w:p w14:paraId="4ED013E1" w14:textId="77777777"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1F9770C9" w14:textId="13520B81" w:rsidR="00AD3606" w:rsidRPr="00F56BDD" w:rsidRDefault="00B82C1B" w:rsidP="00F56BDD">
            <w:pPr>
              <w:spacing w:after="160"/>
              <w:rPr>
                <w:i/>
                <w:iCs/>
                <w:sz w:val="22"/>
                <w:szCs w:val="22"/>
              </w:rPr>
            </w:pPr>
            <w:hyperlink r:id="rId8" w:history="1">
              <w:r w:rsidRPr="00F56BDD">
                <w:rPr>
                  <w:rStyle w:val="Hyperlink"/>
                  <w:i/>
                  <w:iCs/>
                  <w:sz w:val="22"/>
                  <w:szCs w:val="22"/>
                </w:rPr>
                <w:t>CWG-SFP website</w:t>
              </w:r>
            </w:hyperlink>
            <w:r w:rsidRPr="00F56BDD">
              <w:rPr>
                <w:i/>
                <w:iCs/>
                <w:sz w:val="22"/>
                <w:szCs w:val="22"/>
              </w:rPr>
              <w:t xml:space="preserve">; </w:t>
            </w:r>
            <w:r w:rsidR="00F56BDD" w:rsidRPr="00F56BDD">
              <w:rPr>
                <w:i/>
                <w:iCs/>
                <w:sz w:val="22"/>
                <w:szCs w:val="22"/>
              </w:rPr>
              <w:t xml:space="preserve">Documents </w:t>
            </w:r>
            <w:hyperlink r:id="rId9" w:history="1">
              <w:proofErr w:type="spellStart"/>
              <w:r w:rsidR="00F56BDD" w:rsidRPr="00F56BDD">
                <w:rPr>
                  <w:rStyle w:val="Hyperlink"/>
                  <w:i/>
                  <w:iCs/>
                  <w:sz w:val="22"/>
                  <w:szCs w:val="22"/>
                </w:rPr>
                <w:t>EG</w:t>
              </w:r>
              <w:proofErr w:type="spellEnd"/>
              <w:r w:rsidR="00F56BDD" w:rsidRPr="00F56BDD">
                <w:rPr>
                  <w:rStyle w:val="Hyperlink"/>
                  <w:i/>
                  <w:iCs/>
                  <w:sz w:val="22"/>
                  <w:szCs w:val="22"/>
                </w:rPr>
                <w:t>-</w:t>
              </w:r>
              <w:proofErr w:type="spellStart"/>
              <w:r w:rsidR="00F56BDD" w:rsidRPr="00F56BDD">
                <w:rPr>
                  <w:rStyle w:val="Hyperlink"/>
                  <w:i/>
                  <w:iCs/>
                  <w:sz w:val="22"/>
                  <w:szCs w:val="22"/>
                </w:rPr>
                <w:t>DEC482</w:t>
              </w:r>
              <w:proofErr w:type="spellEnd"/>
              <w:r w:rsidR="00F56BDD" w:rsidRPr="00F56BDD">
                <w:rPr>
                  <w:rStyle w:val="Hyperlink"/>
                  <w:i/>
                  <w:iCs/>
                  <w:sz w:val="22"/>
                  <w:szCs w:val="22"/>
                </w:rPr>
                <w:t>-1/4</w:t>
              </w:r>
            </w:hyperlink>
            <w:r w:rsidR="00F56BDD" w:rsidRPr="00F56BDD">
              <w:rPr>
                <w:i/>
                <w:iCs/>
                <w:sz w:val="22"/>
                <w:szCs w:val="22"/>
              </w:rPr>
              <w:t xml:space="preserve"> and </w:t>
            </w:r>
            <w:hyperlink r:id="rId10" w:history="1">
              <w:proofErr w:type="spellStart"/>
              <w:r w:rsidR="00F56BDD" w:rsidRPr="00F56BDD">
                <w:rPr>
                  <w:rStyle w:val="Hyperlink"/>
                  <w:i/>
                  <w:iCs/>
                  <w:sz w:val="22"/>
                  <w:szCs w:val="22"/>
                </w:rPr>
                <w:t>EG</w:t>
              </w:r>
              <w:proofErr w:type="spellEnd"/>
              <w:r w:rsidR="00F56BDD" w:rsidRPr="00F56BDD">
                <w:rPr>
                  <w:rStyle w:val="Hyperlink"/>
                  <w:i/>
                  <w:iCs/>
                  <w:sz w:val="22"/>
                  <w:szCs w:val="22"/>
                </w:rPr>
                <w:t>-</w:t>
              </w:r>
              <w:proofErr w:type="spellStart"/>
              <w:r w:rsidR="00F56BDD" w:rsidRPr="00F56BDD">
                <w:rPr>
                  <w:rStyle w:val="Hyperlink"/>
                  <w:i/>
                  <w:iCs/>
                  <w:sz w:val="22"/>
                  <w:szCs w:val="22"/>
                </w:rPr>
                <w:t>DEC482</w:t>
              </w:r>
              <w:proofErr w:type="spellEnd"/>
              <w:r w:rsidR="00F56BDD" w:rsidRPr="00F56BDD">
                <w:rPr>
                  <w:rStyle w:val="Hyperlink"/>
                  <w:i/>
                  <w:iCs/>
                  <w:sz w:val="22"/>
                  <w:szCs w:val="22"/>
                </w:rPr>
                <w:t>-2/4</w:t>
              </w:r>
            </w:hyperlink>
            <w:r w:rsidR="00250B42">
              <w:rPr>
                <w:i/>
                <w:iCs/>
                <w:sz w:val="22"/>
                <w:szCs w:val="22"/>
              </w:rPr>
              <w:t xml:space="preserve">; Document </w:t>
            </w:r>
            <w:hyperlink r:id="rId11" w:history="1">
              <w:r w:rsidR="00250B42" w:rsidRPr="00250B42">
                <w:rPr>
                  <w:rStyle w:val="Hyperlink"/>
                  <w:i/>
                  <w:iCs/>
                  <w:sz w:val="22"/>
                  <w:szCs w:val="22"/>
                </w:rPr>
                <w:t>CWG-FHR-20/6</w:t>
              </w:r>
            </w:hyperlink>
          </w:p>
        </w:tc>
      </w:tr>
    </w:tbl>
    <w:p w14:paraId="05987874"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4551A16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2540DEBA" w14:textId="77777777" w:rsidR="00250B42" w:rsidRDefault="00250B42" w:rsidP="00250B42">
      <w:pPr>
        <w:tabs>
          <w:tab w:val="clear" w:pos="567"/>
          <w:tab w:val="left" w:pos="720"/>
        </w:tabs>
        <w:overflowPunct/>
        <w:autoSpaceDE/>
        <w:adjustRightInd/>
        <w:snapToGrid w:val="0"/>
        <w:spacing w:after="120"/>
        <w:jc w:val="both"/>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lastRenderedPageBreak/>
        <w:t>At its 2024 session, the Council invited the Expert Group on Decision 482 to provide an interim report to the first 2025 meetings of CWG-FHR and CWG-SFP.</w:t>
      </w:r>
    </w:p>
    <w:p w14:paraId="44AD44BC" w14:textId="77777777" w:rsidR="00250B42" w:rsidRDefault="00250B42" w:rsidP="00250B42">
      <w:pPr>
        <w:tabs>
          <w:tab w:val="clear" w:pos="567"/>
          <w:tab w:val="left" w:pos="720"/>
        </w:tabs>
        <w:overflowPunct/>
        <w:autoSpaceDE/>
        <w:adjustRightInd/>
        <w:snapToGrid w:val="0"/>
        <w:spacing w:after="120"/>
        <w:jc w:val="both"/>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t xml:space="preserve">The first meeting of the Council Expert Group on Decision 482 was held on 22 and 23 January 2024. </w:t>
      </w:r>
    </w:p>
    <w:p w14:paraId="4632BEDB" w14:textId="77777777" w:rsidR="00250B42" w:rsidRDefault="00250B42" w:rsidP="00250B42">
      <w:pPr>
        <w:tabs>
          <w:tab w:val="clear" w:pos="567"/>
          <w:tab w:val="num" w:pos="720"/>
        </w:tabs>
        <w:overflowPunct/>
        <w:autoSpaceDE/>
        <w:adjustRightInd/>
        <w:snapToGrid w:val="0"/>
        <w:spacing w:after="120"/>
        <w:jc w:val="both"/>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t xml:space="preserve">During the first meeting, the Group agreed to focus on the discussion about the detailed statistics of information to be provided by the Radiocommunication Bureau </w:t>
      </w:r>
      <w:proofErr w:type="gramStart"/>
      <w:r>
        <w:rPr>
          <w:rFonts w:asciiTheme="minorHAnsi" w:eastAsia="SimSun" w:hAnsiTheme="minorHAnsi" w:cstheme="minorHAnsi"/>
          <w:sz w:val="23"/>
          <w:szCs w:val="23"/>
          <w:lang w:val="en-US" w:eastAsia="zh-CN"/>
        </w:rPr>
        <w:t>in order to</w:t>
      </w:r>
      <w:proofErr w:type="gramEnd"/>
      <w:r>
        <w:rPr>
          <w:rFonts w:asciiTheme="minorHAnsi" w:eastAsia="SimSun" w:hAnsiTheme="minorHAnsi" w:cstheme="minorHAnsi"/>
          <w:sz w:val="23"/>
          <w:szCs w:val="23"/>
          <w:lang w:val="en-US" w:eastAsia="zh-CN"/>
        </w:rPr>
        <w:t xml:space="preserve"> have further detailed discussions during the second meeting. </w:t>
      </w:r>
    </w:p>
    <w:p w14:paraId="23D0BA3E" w14:textId="77777777" w:rsidR="00250B42" w:rsidRDefault="00250B42" w:rsidP="00250B42">
      <w:pPr>
        <w:tabs>
          <w:tab w:val="clear" w:pos="567"/>
          <w:tab w:val="num" w:pos="720"/>
        </w:tabs>
        <w:overflowPunct/>
        <w:autoSpaceDE/>
        <w:adjustRightInd/>
        <w:snapToGrid w:val="0"/>
        <w:spacing w:after="120"/>
        <w:jc w:val="both"/>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t xml:space="preserve">The final report of the first meeting was published on the webpage of the Expert Group </w:t>
      </w:r>
      <w:r>
        <w:t xml:space="preserve">as Document </w:t>
      </w:r>
      <w:hyperlink r:id="rId12" w:history="1">
        <w:proofErr w:type="spellStart"/>
        <w:r>
          <w:rPr>
            <w:rStyle w:val="Hyperlink"/>
          </w:rPr>
          <w:t>EG</w:t>
        </w:r>
        <w:proofErr w:type="spellEnd"/>
        <w:r>
          <w:rPr>
            <w:rStyle w:val="Hyperlink"/>
          </w:rPr>
          <w:t>-</w:t>
        </w:r>
        <w:proofErr w:type="spellStart"/>
        <w:r>
          <w:rPr>
            <w:rStyle w:val="Hyperlink"/>
          </w:rPr>
          <w:t>DEC482</w:t>
        </w:r>
        <w:proofErr w:type="spellEnd"/>
        <w:r>
          <w:rPr>
            <w:rStyle w:val="Hyperlink"/>
          </w:rPr>
          <w:t>-1/4</w:t>
        </w:r>
      </w:hyperlink>
      <w:r>
        <w:rPr>
          <w:rFonts w:asciiTheme="minorHAnsi" w:eastAsia="SimSun" w:hAnsiTheme="minorHAnsi" w:cstheme="minorHAnsi"/>
          <w:sz w:val="23"/>
          <w:szCs w:val="23"/>
          <w:lang w:val="en-US" w:eastAsia="zh-CN"/>
        </w:rPr>
        <w:t>.</w:t>
      </w:r>
    </w:p>
    <w:p w14:paraId="19859878" w14:textId="77777777" w:rsidR="00250B42" w:rsidRDefault="00250B42" w:rsidP="00250B42">
      <w:pPr>
        <w:tabs>
          <w:tab w:val="clear" w:pos="567"/>
          <w:tab w:val="num" w:pos="720"/>
        </w:tabs>
        <w:overflowPunct/>
        <w:autoSpaceDE/>
        <w:adjustRightInd/>
        <w:snapToGrid w:val="0"/>
        <w:spacing w:after="120"/>
        <w:jc w:val="both"/>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t>The second meeting took place on 4 and 5 November 2024.</w:t>
      </w:r>
    </w:p>
    <w:p w14:paraId="3536F30F" w14:textId="77777777" w:rsidR="00250B42" w:rsidRDefault="00250B42" w:rsidP="00250B42">
      <w:pPr>
        <w:tabs>
          <w:tab w:val="clear" w:pos="567"/>
          <w:tab w:val="num" w:pos="720"/>
        </w:tabs>
        <w:overflowPunct/>
        <w:autoSpaceDE/>
        <w:adjustRightInd/>
        <w:snapToGrid w:val="0"/>
        <w:spacing w:after="120"/>
        <w:jc w:val="both"/>
        <w:rPr>
          <w:rFonts w:eastAsia="SimSun"/>
          <w:lang w:eastAsia="zh-CN"/>
        </w:rPr>
      </w:pPr>
      <w:r>
        <w:rPr>
          <w:rFonts w:asciiTheme="minorHAnsi" w:eastAsia="SimSun" w:hAnsiTheme="minorHAnsi" w:cstheme="minorHAnsi"/>
          <w:sz w:val="23"/>
          <w:szCs w:val="23"/>
          <w:lang w:val="en-US" w:eastAsia="zh-CN"/>
        </w:rPr>
        <w:t xml:space="preserve">During the second meeting, the Group acknowledged and reviewed the liaison statement from CWG-FHR </w:t>
      </w:r>
      <w:r>
        <w:rPr>
          <w:rFonts w:eastAsia="SimSun"/>
          <w:lang w:eastAsia="zh-CN"/>
        </w:rPr>
        <w:t xml:space="preserve">(see Document </w:t>
      </w:r>
      <w:hyperlink r:id="rId13" w:history="1">
        <w:proofErr w:type="spellStart"/>
        <w:r>
          <w:rPr>
            <w:rStyle w:val="Hyperlink"/>
            <w:rFonts w:eastAsia="SimSun"/>
            <w:lang w:eastAsia="zh-CN"/>
          </w:rPr>
          <w:t>EG</w:t>
        </w:r>
        <w:proofErr w:type="spellEnd"/>
        <w:r>
          <w:rPr>
            <w:rStyle w:val="Hyperlink"/>
            <w:rFonts w:eastAsia="SimSun"/>
            <w:lang w:eastAsia="zh-CN"/>
          </w:rPr>
          <w:t>-</w:t>
        </w:r>
        <w:proofErr w:type="spellStart"/>
        <w:r>
          <w:rPr>
            <w:rStyle w:val="Hyperlink"/>
            <w:rFonts w:eastAsia="SimSun"/>
            <w:lang w:eastAsia="zh-CN"/>
          </w:rPr>
          <w:t>DEC482</w:t>
        </w:r>
        <w:proofErr w:type="spellEnd"/>
        <w:r>
          <w:rPr>
            <w:rStyle w:val="Hyperlink"/>
            <w:rFonts w:eastAsia="SimSun"/>
            <w:lang w:eastAsia="zh-CN"/>
          </w:rPr>
          <w:t>-2/2</w:t>
        </w:r>
      </w:hyperlink>
      <w:r>
        <w:rPr>
          <w:rFonts w:eastAsia="SimSun"/>
          <w:lang w:eastAsia="zh-CN"/>
        </w:rPr>
        <w:t xml:space="preserve">) as well as Document </w:t>
      </w:r>
      <w:hyperlink r:id="rId14" w:history="1">
        <w:r>
          <w:rPr>
            <w:rStyle w:val="Hyperlink"/>
            <w:rFonts w:eastAsia="SimSun"/>
            <w:lang w:eastAsia="zh-CN"/>
          </w:rPr>
          <w:t>CWG-FHR-19/8</w:t>
        </w:r>
      </w:hyperlink>
      <w:r>
        <w:rPr>
          <w:rFonts w:eastAsia="SimSun"/>
          <w:lang w:eastAsia="zh-CN"/>
        </w:rPr>
        <w:t>, which outlines the ITU’s full costs</w:t>
      </w:r>
      <w:r>
        <w:rPr>
          <w:rStyle w:val="FootnoteReference"/>
          <w:rFonts w:eastAsia="SimSun"/>
          <w:lang w:eastAsia="zh-CN"/>
        </w:rPr>
        <w:footnoteReference w:id="1"/>
      </w:r>
      <w:r>
        <w:rPr>
          <w:rFonts w:eastAsia="SimSun"/>
          <w:lang w:eastAsia="zh-CN"/>
        </w:rPr>
        <w:t xml:space="preserve"> related to the processing of space notices. The group noted that the Finance Department would provide further details on the full costs at the next CWG-FHR meeting. The group took note of this document.</w:t>
      </w:r>
    </w:p>
    <w:p w14:paraId="18175A86" w14:textId="77777777" w:rsidR="00250B42" w:rsidRDefault="00250B42" w:rsidP="00250B42">
      <w:pPr>
        <w:tabs>
          <w:tab w:val="clear" w:pos="567"/>
          <w:tab w:val="num" w:pos="720"/>
        </w:tabs>
        <w:overflowPunct/>
        <w:autoSpaceDE/>
        <w:adjustRightInd/>
        <w:snapToGrid w:val="0"/>
        <w:spacing w:after="120"/>
        <w:jc w:val="both"/>
        <w:rPr>
          <w:rFonts w:asciiTheme="minorHAnsi" w:eastAsia="SimSun" w:hAnsiTheme="minorHAnsi" w:cstheme="minorHAnsi"/>
          <w:sz w:val="23"/>
          <w:szCs w:val="23"/>
          <w:lang w:eastAsia="zh-CN"/>
        </w:rPr>
      </w:pPr>
      <w:r>
        <w:rPr>
          <w:rFonts w:asciiTheme="minorHAnsi" w:eastAsia="SimSun" w:hAnsiTheme="minorHAnsi" w:cstheme="minorHAnsi"/>
          <w:sz w:val="23"/>
          <w:szCs w:val="23"/>
          <w:lang w:val="en-US" w:eastAsia="zh-CN"/>
        </w:rPr>
        <w:t>The Group also reviewed the information provided by the Radiocommunication Bureau with respect to the 10 items of the terms of reference of the Expert Group. Depending on the item, the Group requested additional information for the next meeting and a list of possible amendments to Council Decision 482.</w:t>
      </w:r>
    </w:p>
    <w:p w14:paraId="52F87283" w14:textId="77777777" w:rsidR="00250B42" w:rsidRDefault="00250B42" w:rsidP="00250B42">
      <w:pPr>
        <w:tabs>
          <w:tab w:val="clear" w:pos="567"/>
          <w:tab w:val="num" w:pos="720"/>
        </w:tabs>
        <w:overflowPunct/>
        <w:autoSpaceDE/>
        <w:adjustRightInd/>
        <w:snapToGrid w:val="0"/>
        <w:spacing w:after="120"/>
        <w:jc w:val="both"/>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t xml:space="preserve">The final report of the second meeting was published on the webpage of the Expert Group </w:t>
      </w:r>
      <w:r>
        <w:t xml:space="preserve">as Document </w:t>
      </w:r>
      <w:hyperlink r:id="rId15" w:history="1">
        <w:proofErr w:type="spellStart"/>
        <w:r>
          <w:rPr>
            <w:rStyle w:val="Hyperlink"/>
          </w:rPr>
          <w:t>EG</w:t>
        </w:r>
        <w:proofErr w:type="spellEnd"/>
        <w:r>
          <w:rPr>
            <w:rStyle w:val="Hyperlink"/>
          </w:rPr>
          <w:t>-</w:t>
        </w:r>
        <w:proofErr w:type="spellStart"/>
        <w:r>
          <w:rPr>
            <w:rStyle w:val="Hyperlink"/>
          </w:rPr>
          <w:t>DEC482</w:t>
        </w:r>
        <w:proofErr w:type="spellEnd"/>
        <w:r>
          <w:rPr>
            <w:rStyle w:val="Hyperlink"/>
          </w:rPr>
          <w:t>-2/4</w:t>
        </w:r>
      </w:hyperlink>
      <w:r>
        <w:rPr>
          <w:rFonts w:asciiTheme="minorHAnsi" w:eastAsia="SimSun" w:hAnsiTheme="minorHAnsi" w:cstheme="minorHAnsi"/>
          <w:sz w:val="23"/>
          <w:szCs w:val="23"/>
          <w:lang w:val="en-US" w:eastAsia="zh-CN"/>
        </w:rPr>
        <w:t>.</w:t>
      </w:r>
    </w:p>
    <w:p w14:paraId="4E350174" w14:textId="77777777" w:rsidR="008C18A1" w:rsidRPr="006E7A88" w:rsidRDefault="008C18A1" w:rsidP="00B33471">
      <w:pPr>
        <w:jc w:val="both"/>
      </w:pPr>
      <w:r w:rsidRPr="006E7A88">
        <w:rPr>
          <w:lang w:val="en-US"/>
        </w:rPr>
        <w:t xml:space="preserve">The third meeting of the Council Expert Group on Decision 482 took place on 10 and 11 February 2025. The group reviewed all 10 items of the Terms of Reference for possible modifications to Decision 482. Agreement to propose to Council possible revisions to Decision 482 was reached on four items (b, e, h, </w:t>
      </w:r>
      <w:proofErr w:type="spellStart"/>
      <w:r w:rsidRPr="006E7A88">
        <w:rPr>
          <w:lang w:val="en-US"/>
        </w:rPr>
        <w:t>i</w:t>
      </w:r>
      <w:proofErr w:type="spellEnd"/>
      <w:r w:rsidRPr="006E7A88">
        <w:rPr>
          <w:lang w:val="en-US"/>
        </w:rPr>
        <w:t>). Concerning three other items (a, d and j), the group agreed that no change should be made to the Decision. Other items (items c, f and g) remained unresolved.</w:t>
      </w:r>
    </w:p>
    <w:p w14:paraId="6285A93D" w14:textId="77777777" w:rsidR="008C18A1" w:rsidRPr="006E7A88" w:rsidRDefault="008C18A1" w:rsidP="00B33471">
      <w:pPr>
        <w:jc w:val="both"/>
      </w:pPr>
      <w:r w:rsidRPr="006E7A88">
        <w:rPr>
          <w:lang w:val="en-US"/>
        </w:rPr>
        <w:t>The Expert Group will hold a 4</w:t>
      </w:r>
      <w:r w:rsidRPr="00B33471">
        <w:rPr>
          <w:vertAlign w:val="superscript"/>
          <w:lang w:val="en-US"/>
        </w:rPr>
        <w:t>th</w:t>
      </w:r>
      <w:r w:rsidRPr="006E7A88">
        <w:rPr>
          <w:lang w:val="en-US"/>
        </w:rPr>
        <w:t xml:space="preserve"> meeting on 10 and 11 April to complete its report to Council.</w:t>
      </w:r>
    </w:p>
    <w:p w14:paraId="3CBA6ACB" w14:textId="77777777" w:rsidR="008C18A1" w:rsidRDefault="008C18A1" w:rsidP="008C18A1"/>
    <w:p w14:paraId="78412FE9" w14:textId="77777777" w:rsidR="00663EFB" w:rsidRDefault="00663EFB">
      <w:pPr>
        <w:jc w:val="center"/>
      </w:pPr>
      <w:r>
        <w:t>______________</w:t>
      </w:r>
    </w:p>
    <w:sectPr w:rsidR="00663EFB"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2E439" w14:textId="77777777" w:rsidR="008A0476" w:rsidRDefault="008A0476">
      <w:r>
        <w:separator/>
      </w:r>
    </w:p>
  </w:endnote>
  <w:endnote w:type="continuationSeparator" w:id="0">
    <w:p w14:paraId="61C514E6" w14:textId="77777777" w:rsidR="008A0476" w:rsidRDefault="008A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250B42" w14:paraId="232820CC" w14:textId="77777777" w:rsidTr="0042469C">
      <w:trPr>
        <w:jc w:val="center"/>
      </w:trPr>
      <w:tc>
        <w:tcPr>
          <w:tcW w:w="1803" w:type="dxa"/>
          <w:vAlign w:val="center"/>
        </w:tcPr>
        <w:p w14:paraId="55C84B8A" w14:textId="77777777" w:rsidR="00EE49E8" w:rsidRDefault="00EE49E8" w:rsidP="00EE49E8">
          <w:pPr>
            <w:pStyle w:val="Header"/>
            <w:jc w:val="left"/>
            <w:rPr>
              <w:noProof/>
            </w:rPr>
          </w:pPr>
        </w:p>
      </w:tc>
      <w:tc>
        <w:tcPr>
          <w:tcW w:w="8261" w:type="dxa"/>
        </w:tcPr>
        <w:p w14:paraId="0006E266" w14:textId="69229DA6" w:rsidR="00EE49E8" w:rsidRPr="00250B42" w:rsidRDefault="00EE49E8" w:rsidP="00663EFB">
          <w:pPr>
            <w:pStyle w:val="Header"/>
            <w:tabs>
              <w:tab w:val="left" w:pos="6028"/>
              <w:tab w:val="right" w:pos="8505"/>
              <w:tab w:val="right" w:pos="9639"/>
            </w:tabs>
            <w:jc w:val="left"/>
            <w:rPr>
              <w:rFonts w:ascii="Arial" w:hAnsi="Arial" w:cs="Arial"/>
              <w:b/>
              <w:bCs/>
              <w:szCs w:val="18"/>
              <w:lang w:val="es-ES"/>
            </w:rPr>
          </w:pPr>
          <w:r w:rsidRPr="00250B42">
            <w:rPr>
              <w:bCs/>
              <w:lang w:val="fr-CH"/>
            </w:rPr>
            <w:tab/>
          </w:r>
          <w:proofErr w:type="spellStart"/>
          <w:r w:rsidR="00B82C1B" w:rsidRPr="00250B42">
            <w:rPr>
              <w:bCs/>
              <w:lang w:val="es-ES"/>
            </w:rPr>
            <w:t>CWG</w:t>
          </w:r>
          <w:proofErr w:type="spellEnd"/>
          <w:r w:rsidR="00B82C1B" w:rsidRPr="00250B42">
            <w:rPr>
              <w:bCs/>
              <w:lang w:val="es-ES"/>
            </w:rPr>
            <w:t>-</w:t>
          </w:r>
          <w:proofErr w:type="spellStart"/>
          <w:r w:rsidR="00B82C1B" w:rsidRPr="00250B42">
            <w:rPr>
              <w:bCs/>
              <w:lang w:val="es-ES"/>
            </w:rPr>
            <w:t>SFP</w:t>
          </w:r>
          <w:proofErr w:type="spellEnd"/>
          <w:r w:rsidR="00B82C1B" w:rsidRPr="00250B42">
            <w:rPr>
              <w:bCs/>
              <w:lang w:val="es-ES"/>
            </w:rPr>
            <w:t>-2/</w:t>
          </w:r>
          <w:r w:rsidR="00250B42">
            <w:rPr>
              <w:bCs/>
              <w:lang w:val="es-ES"/>
            </w:rPr>
            <w:t>6</w:t>
          </w:r>
          <w:r w:rsidR="00663EFB">
            <w:rPr>
              <w:bCs/>
              <w:lang w:val="es-ES"/>
            </w:rPr>
            <w:t>(</w:t>
          </w:r>
          <w:proofErr w:type="spellStart"/>
          <w:r w:rsidR="00663EFB">
            <w:rPr>
              <w:bCs/>
              <w:lang w:val="es-ES"/>
            </w:rPr>
            <w:t>Rev.1</w:t>
          </w:r>
          <w:proofErr w:type="spellEnd"/>
          <w:r w:rsidR="00663EFB">
            <w:rPr>
              <w:bCs/>
              <w:lang w:val="es-ES"/>
            </w:rPr>
            <w:t>)</w:t>
          </w:r>
          <w:r w:rsidR="00A52C84" w:rsidRPr="00250B42">
            <w:rPr>
              <w:bCs/>
              <w:lang w:val="es-ES"/>
            </w:rPr>
            <w:t>-E</w:t>
          </w:r>
          <w:r w:rsidRPr="00250B42">
            <w:rPr>
              <w:bCs/>
              <w:lang w:val="es-ES"/>
            </w:rPr>
            <w:tab/>
          </w:r>
          <w:r w:rsidRPr="00250B42">
            <w:fldChar w:fldCharType="begin"/>
          </w:r>
          <w:r w:rsidRPr="00250B42">
            <w:rPr>
              <w:lang w:val="es-ES"/>
            </w:rPr>
            <w:instrText>PAGE</w:instrText>
          </w:r>
          <w:r w:rsidRPr="00250B42">
            <w:fldChar w:fldCharType="separate"/>
          </w:r>
          <w:r w:rsidRPr="00250B42">
            <w:rPr>
              <w:lang w:val="es-ES"/>
            </w:rPr>
            <w:t>1</w:t>
          </w:r>
          <w:r w:rsidRPr="00250B42">
            <w:rPr>
              <w:noProof/>
            </w:rPr>
            <w:fldChar w:fldCharType="end"/>
          </w:r>
        </w:p>
      </w:tc>
    </w:tr>
  </w:tbl>
  <w:p w14:paraId="557EFF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660B5049" w14:textId="77777777" w:rsidTr="00A52C84">
      <w:trPr>
        <w:jc w:val="center"/>
      </w:trPr>
      <w:tc>
        <w:tcPr>
          <w:tcW w:w="3107" w:type="dxa"/>
          <w:vAlign w:val="center"/>
        </w:tcPr>
        <w:p w14:paraId="3ABDA1AA" w14:textId="77777777" w:rsidR="00EE49E8" w:rsidRPr="00663EFB" w:rsidRDefault="0025570E" w:rsidP="00EE49E8">
          <w:pPr>
            <w:pStyle w:val="Header"/>
            <w:jc w:val="left"/>
            <w:rPr>
              <w:noProof/>
            </w:rPr>
          </w:pPr>
          <w:hyperlink r:id="rId1" w:history="1">
            <w:r w:rsidRPr="00663EFB">
              <w:rPr>
                <w:rStyle w:val="Hyperlink"/>
                <w:u w:val="none"/>
              </w:rPr>
              <w:t>https://council.itu.int/working-groups</w:t>
            </w:r>
          </w:hyperlink>
        </w:p>
      </w:tc>
      <w:tc>
        <w:tcPr>
          <w:tcW w:w="6957" w:type="dxa"/>
        </w:tcPr>
        <w:p w14:paraId="17EFD000" w14:textId="3BC803B7" w:rsidR="00EE49E8" w:rsidRPr="000F6AB8" w:rsidRDefault="00EE49E8" w:rsidP="00663EFB">
          <w:pPr>
            <w:pStyle w:val="Header"/>
            <w:tabs>
              <w:tab w:val="left" w:pos="4718"/>
              <w:tab w:val="right" w:pos="8505"/>
              <w:tab w:val="right" w:pos="9639"/>
            </w:tabs>
            <w:jc w:val="left"/>
            <w:rPr>
              <w:rFonts w:ascii="Arial" w:hAnsi="Arial" w:cs="Arial"/>
              <w:b/>
              <w:bCs/>
              <w:szCs w:val="18"/>
              <w:lang w:val="es-ES"/>
            </w:rPr>
          </w:pPr>
          <w:r>
            <w:rPr>
              <w:bCs/>
            </w:rPr>
            <w:tab/>
          </w:r>
          <w:proofErr w:type="spellStart"/>
          <w:r w:rsidR="00B82C1B" w:rsidRPr="00663EFB">
            <w:rPr>
              <w:bCs/>
              <w:lang w:val="es-ES"/>
            </w:rPr>
            <w:t>CWG</w:t>
          </w:r>
          <w:proofErr w:type="spellEnd"/>
          <w:r w:rsidR="00B82C1B" w:rsidRPr="00663EFB">
            <w:rPr>
              <w:bCs/>
              <w:lang w:val="es-ES"/>
            </w:rPr>
            <w:t>-</w:t>
          </w:r>
          <w:proofErr w:type="spellStart"/>
          <w:r w:rsidR="00B82C1B" w:rsidRPr="00663EFB">
            <w:rPr>
              <w:bCs/>
              <w:lang w:val="es-ES"/>
            </w:rPr>
            <w:t>SFP</w:t>
          </w:r>
          <w:proofErr w:type="spellEnd"/>
          <w:r w:rsidR="00F73B2C" w:rsidRPr="00663EFB">
            <w:rPr>
              <w:bCs/>
              <w:lang w:val="es-ES"/>
            </w:rPr>
            <w:t>-</w:t>
          </w:r>
          <w:r w:rsidR="00B82C1B" w:rsidRPr="00663EFB">
            <w:rPr>
              <w:bCs/>
              <w:lang w:val="es-ES"/>
            </w:rPr>
            <w:t>2</w:t>
          </w:r>
          <w:r w:rsidR="00205D4E" w:rsidRPr="00663EFB">
            <w:rPr>
              <w:bCs/>
              <w:lang w:val="es-ES"/>
            </w:rPr>
            <w:t>/</w:t>
          </w:r>
          <w:r w:rsidR="00250B42" w:rsidRPr="00663EFB">
            <w:rPr>
              <w:bCs/>
              <w:lang w:val="es-ES"/>
            </w:rPr>
            <w:t>6</w:t>
          </w:r>
          <w:r w:rsidR="00663EFB">
            <w:rPr>
              <w:bCs/>
              <w:lang w:val="es-ES"/>
            </w:rPr>
            <w:t>(</w:t>
          </w:r>
          <w:proofErr w:type="spellStart"/>
          <w:r w:rsidR="00663EFB">
            <w:rPr>
              <w:bCs/>
              <w:lang w:val="es-ES"/>
            </w:rPr>
            <w:t>Rev.1</w:t>
          </w:r>
          <w:proofErr w:type="spellEnd"/>
          <w:r w:rsidR="00663EFB">
            <w:rPr>
              <w:bCs/>
              <w:lang w:val="es-ES"/>
            </w:rPr>
            <w:t>)</w:t>
          </w:r>
          <w:r w:rsidRPr="00663EFB">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B13FAE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C4B2D" w14:textId="77777777" w:rsidR="008A0476" w:rsidRDefault="008A0476">
      <w:r>
        <w:t>____________________</w:t>
      </w:r>
    </w:p>
  </w:footnote>
  <w:footnote w:type="continuationSeparator" w:id="0">
    <w:p w14:paraId="3DED50EB" w14:textId="77777777" w:rsidR="008A0476" w:rsidRDefault="008A0476">
      <w:r>
        <w:continuationSeparator/>
      </w:r>
    </w:p>
  </w:footnote>
  <w:footnote w:id="1">
    <w:p w14:paraId="68E5CD6E" w14:textId="6ED3B23E" w:rsidR="00250B42" w:rsidRDefault="00250B42" w:rsidP="00250B42">
      <w:pPr>
        <w:pStyle w:val="FootnoteText"/>
        <w:jc w:val="both"/>
        <w:rPr>
          <w:szCs w:val="24"/>
          <w:lang w:val="en-US"/>
        </w:rPr>
      </w:pPr>
      <w:r>
        <w:rPr>
          <w:rStyle w:val="FootnoteReference"/>
        </w:rPr>
        <w:footnoteRef/>
      </w:r>
      <w:r>
        <w:t xml:space="preserve"> </w:t>
      </w:r>
      <w:r>
        <w:tab/>
      </w:r>
      <w:r w:rsidRPr="002C6363">
        <w:rPr>
          <w:sz w:val="20"/>
          <w:lang w:val="en-US"/>
        </w:rPr>
        <w:t xml:space="preserve">The full costs of ITU services are determined by the cost-allocation methodology in </w:t>
      </w:r>
      <w:hyperlink r:id="rId1" w:history="1">
        <w:r w:rsidRPr="002C6363">
          <w:rPr>
            <w:rStyle w:val="Hyperlink"/>
            <w:sz w:val="20"/>
          </w:rPr>
          <w:t>Decision 535 (</w:t>
        </w:r>
        <w:proofErr w:type="spellStart"/>
        <w:r w:rsidRPr="002C6363">
          <w:rPr>
            <w:rStyle w:val="Hyperlink"/>
            <w:sz w:val="20"/>
          </w:rPr>
          <w:t>C05</w:t>
        </w:r>
        <w:proofErr w:type="spellEnd"/>
        <w:r w:rsidRPr="002C6363">
          <w:rPr>
            <w:rStyle w:val="Hyperlink"/>
            <w:sz w:val="20"/>
          </w:rPr>
          <w:t xml:space="preserve">, last amended </w:t>
        </w:r>
        <w:proofErr w:type="spellStart"/>
        <w:r w:rsidRPr="002C6363">
          <w:rPr>
            <w:rStyle w:val="Hyperlink"/>
            <w:sz w:val="20"/>
          </w:rPr>
          <w:t>C14</w:t>
        </w:r>
        <w:proofErr w:type="spellEnd"/>
        <w:r w:rsidRPr="002C6363">
          <w:rPr>
            <w:rStyle w:val="Hyperlink"/>
            <w:sz w:val="20"/>
          </w:rPr>
          <w:t>)</w:t>
        </w:r>
      </w:hyperlink>
      <w:r w:rsidRPr="002C6363">
        <w:rPr>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85C97" w:rsidRPr="00784011" w14:paraId="023C4028" w14:textId="77777777" w:rsidTr="002F314B">
      <w:trPr>
        <w:trHeight w:val="1304"/>
        <w:jc w:val="center"/>
      </w:trPr>
      <w:tc>
        <w:tcPr>
          <w:tcW w:w="6546" w:type="dxa"/>
        </w:tcPr>
        <w:p w14:paraId="0463463C" w14:textId="77777777" w:rsidR="00485C97" w:rsidRPr="009621F8" w:rsidRDefault="00485C97" w:rsidP="00485C97">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3273582E" wp14:editId="0E0AAACA">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5BF3BBB" w14:textId="77777777" w:rsidR="00485C97" w:rsidRDefault="00485C97" w:rsidP="00485C97">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3582E"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35BF3BBB" w14:textId="77777777" w:rsidR="00485C97" w:rsidRDefault="00485C97" w:rsidP="00485C97">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v:textbox>
                  </v:shape>
                </w:pict>
              </mc:Fallback>
            </mc:AlternateContent>
          </w:r>
          <w:r>
            <w:rPr>
              <w:rFonts w:ascii="Arial" w:hAnsi="Arial" w:cs="Arial"/>
              <w:b/>
              <w:bCs/>
              <w:noProof/>
              <w:color w:val="009CD6"/>
              <w:sz w:val="36"/>
              <w:szCs w:val="36"/>
            </w:rPr>
            <w:drawing>
              <wp:inline distT="0" distB="0" distL="0" distR="0" wp14:anchorId="4A46C533" wp14:editId="180809C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F8A2258" w14:textId="77777777" w:rsidR="00485C97" w:rsidRDefault="00485C97" w:rsidP="00485C97">
          <w:pPr>
            <w:pStyle w:val="Header"/>
            <w:jc w:val="right"/>
            <w:rPr>
              <w:rFonts w:ascii="Arial" w:hAnsi="Arial" w:cs="Arial"/>
              <w:b/>
              <w:bCs/>
              <w:color w:val="009CD6"/>
              <w:szCs w:val="18"/>
            </w:rPr>
          </w:pPr>
        </w:p>
        <w:p w14:paraId="21546CCD" w14:textId="77777777" w:rsidR="00485C97" w:rsidRDefault="00485C97" w:rsidP="00485C97">
          <w:pPr>
            <w:pStyle w:val="Header"/>
            <w:jc w:val="right"/>
            <w:rPr>
              <w:rFonts w:ascii="Arial" w:hAnsi="Arial" w:cs="Arial"/>
              <w:b/>
              <w:bCs/>
              <w:color w:val="009CD6"/>
              <w:szCs w:val="18"/>
            </w:rPr>
          </w:pPr>
        </w:p>
        <w:p w14:paraId="3EDEBE6D" w14:textId="77777777" w:rsidR="00485C97" w:rsidRPr="00784011" w:rsidRDefault="00485C97" w:rsidP="00485C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C75E8DD" w14:textId="77777777" w:rsidR="00485C97" w:rsidRDefault="00485C97" w:rsidP="00485C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76AC486" wp14:editId="2601FDE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045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73"/>
    <w:rsid w:val="00003A6D"/>
    <w:rsid w:val="000041A9"/>
    <w:rsid w:val="00004C8C"/>
    <w:rsid w:val="000120E4"/>
    <w:rsid w:val="000210D4"/>
    <w:rsid w:val="000525A1"/>
    <w:rsid w:val="00063016"/>
    <w:rsid w:val="00066795"/>
    <w:rsid w:val="00076AF6"/>
    <w:rsid w:val="00085CF2"/>
    <w:rsid w:val="00096F1D"/>
    <w:rsid w:val="000A1525"/>
    <w:rsid w:val="000B1705"/>
    <w:rsid w:val="000D75B2"/>
    <w:rsid w:val="000F6AB8"/>
    <w:rsid w:val="001121F5"/>
    <w:rsid w:val="00130599"/>
    <w:rsid w:val="00131E18"/>
    <w:rsid w:val="001400DC"/>
    <w:rsid w:val="00140CE1"/>
    <w:rsid w:val="00147C54"/>
    <w:rsid w:val="0015627B"/>
    <w:rsid w:val="0017539C"/>
    <w:rsid w:val="00175AC2"/>
    <w:rsid w:val="0017609F"/>
    <w:rsid w:val="001A7D1D"/>
    <w:rsid w:val="001B0595"/>
    <w:rsid w:val="001B51DD"/>
    <w:rsid w:val="001C628E"/>
    <w:rsid w:val="001D62DF"/>
    <w:rsid w:val="001E0F7B"/>
    <w:rsid w:val="001E0FBE"/>
    <w:rsid w:val="001E5FE7"/>
    <w:rsid w:val="00205D4E"/>
    <w:rsid w:val="002119FD"/>
    <w:rsid w:val="002130E0"/>
    <w:rsid w:val="00227AAB"/>
    <w:rsid w:val="00244F7F"/>
    <w:rsid w:val="00250B42"/>
    <w:rsid w:val="0025570E"/>
    <w:rsid w:val="002608B7"/>
    <w:rsid w:val="00264425"/>
    <w:rsid w:val="00265875"/>
    <w:rsid w:val="0027303B"/>
    <w:rsid w:val="0028109B"/>
    <w:rsid w:val="002A2188"/>
    <w:rsid w:val="002B1F58"/>
    <w:rsid w:val="002C1C7A"/>
    <w:rsid w:val="002C54E2"/>
    <w:rsid w:val="002C6363"/>
    <w:rsid w:val="002D73F8"/>
    <w:rsid w:val="002E0AC3"/>
    <w:rsid w:val="002F2D06"/>
    <w:rsid w:val="0030160F"/>
    <w:rsid w:val="00301AEE"/>
    <w:rsid w:val="003145DF"/>
    <w:rsid w:val="00320223"/>
    <w:rsid w:val="00322D0D"/>
    <w:rsid w:val="00333815"/>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35671"/>
    <w:rsid w:val="0045148C"/>
    <w:rsid w:val="004544D9"/>
    <w:rsid w:val="00472BAD"/>
    <w:rsid w:val="00484009"/>
    <w:rsid w:val="00485C97"/>
    <w:rsid w:val="00486EC4"/>
    <w:rsid w:val="00490E72"/>
    <w:rsid w:val="00491157"/>
    <w:rsid w:val="004921C8"/>
    <w:rsid w:val="00495B0B"/>
    <w:rsid w:val="004A1B8B"/>
    <w:rsid w:val="004B51C8"/>
    <w:rsid w:val="004D1851"/>
    <w:rsid w:val="004D599D"/>
    <w:rsid w:val="004E06D1"/>
    <w:rsid w:val="004E2EA5"/>
    <w:rsid w:val="004E3AEB"/>
    <w:rsid w:val="004E7905"/>
    <w:rsid w:val="00500CA4"/>
    <w:rsid w:val="0050223C"/>
    <w:rsid w:val="005170FD"/>
    <w:rsid w:val="005243FF"/>
    <w:rsid w:val="00524E9C"/>
    <w:rsid w:val="005311D6"/>
    <w:rsid w:val="00536422"/>
    <w:rsid w:val="0054526E"/>
    <w:rsid w:val="005536C2"/>
    <w:rsid w:val="00564FBC"/>
    <w:rsid w:val="005800BC"/>
    <w:rsid w:val="00582442"/>
    <w:rsid w:val="005A335D"/>
    <w:rsid w:val="005B0869"/>
    <w:rsid w:val="005B3A0E"/>
    <w:rsid w:val="005C13D4"/>
    <w:rsid w:val="005E2BD5"/>
    <w:rsid w:val="005E4F47"/>
    <w:rsid w:val="005F3269"/>
    <w:rsid w:val="00612123"/>
    <w:rsid w:val="00615961"/>
    <w:rsid w:val="00623AE3"/>
    <w:rsid w:val="006261F4"/>
    <w:rsid w:val="0064737F"/>
    <w:rsid w:val="006535F1"/>
    <w:rsid w:val="0065557D"/>
    <w:rsid w:val="00660D50"/>
    <w:rsid w:val="00662984"/>
    <w:rsid w:val="00663050"/>
    <w:rsid w:val="00663EFB"/>
    <w:rsid w:val="006716BB"/>
    <w:rsid w:val="006973C8"/>
    <w:rsid w:val="006A4862"/>
    <w:rsid w:val="006B1859"/>
    <w:rsid w:val="006B6680"/>
    <w:rsid w:val="006B6DCC"/>
    <w:rsid w:val="00701C70"/>
    <w:rsid w:val="00702DEF"/>
    <w:rsid w:val="00706861"/>
    <w:rsid w:val="00720C82"/>
    <w:rsid w:val="007247CF"/>
    <w:rsid w:val="00726B8C"/>
    <w:rsid w:val="00727C44"/>
    <w:rsid w:val="0075051B"/>
    <w:rsid w:val="0077110E"/>
    <w:rsid w:val="00775655"/>
    <w:rsid w:val="007849D5"/>
    <w:rsid w:val="00793188"/>
    <w:rsid w:val="00794D34"/>
    <w:rsid w:val="007F21FC"/>
    <w:rsid w:val="00806E3C"/>
    <w:rsid w:val="00813E5E"/>
    <w:rsid w:val="00816C2C"/>
    <w:rsid w:val="0083581B"/>
    <w:rsid w:val="00842DA3"/>
    <w:rsid w:val="00844173"/>
    <w:rsid w:val="00860EED"/>
    <w:rsid w:val="00863874"/>
    <w:rsid w:val="00864AFF"/>
    <w:rsid w:val="00865925"/>
    <w:rsid w:val="00870C17"/>
    <w:rsid w:val="00872B5C"/>
    <w:rsid w:val="00877BF2"/>
    <w:rsid w:val="00884F3A"/>
    <w:rsid w:val="00891503"/>
    <w:rsid w:val="008A0476"/>
    <w:rsid w:val="008A2F06"/>
    <w:rsid w:val="008B4A6A"/>
    <w:rsid w:val="008C18A1"/>
    <w:rsid w:val="008C7E27"/>
    <w:rsid w:val="008F3822"/>
    <w:rsid w:val="008F7448"/>
    <w:rsid w:val="0090147A"/>
    <w:rsid w:val="0090389B"/>
    <w:rsid w:val="009173EF"/>
    <w:rsid w:val="00923034"/>
    <w:rsid w:val="00932906"/>
    <w:rsid w:val="00961860"/>
    <w:rsid w:val="00961B0B"/>
    <w:rsid w:val="00962D33"/>
    <w:rsid w:val="009B38C3"/>
    <w:rsid w:val="009B44BD"/>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3471"/>
    <w:rsid w:val="00B358B2"/>
    <w:rsid w:val="00B40A81"/>
    <w:rsid w:val="00B44910"/>
    <w:rsid w:val="00B72267"/>
    <w:rsid w:val="00B73DD1"/>
    <w:rsid w:val="00B76EB6"/>
    <w:rsid w:val="00B7737B"/>
    <w:rsid w:val="00B824C8"/>
    <w:rsid w:val="00B82C1B"/>
    <w:rsid w:val="00B849D3"/>
    <w:rsid w:val="00B84B9D"/>
    <w:rsid w:val="00BA3A51"/>
    <w:rsid w:val="00BC251A"/>
    <w:rsid w:val="00BD032B"/>
    <w:rsid w:val="00BD0614"/>
    <w:rsid w:val="00BD094B"/>
    <w:rsid w:val="00BE2640"/>
    <w:rsid w:val="00BF064B"/>
    <w:rsid w:val="00C01189"/>
    <w:rsid w:val="00C03480"/>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143DF"/>
    <w:rsid w:val="00D22C42"/>
    <w:rsid w:val="00D45669"/>
    <w:rsid w:val="00D464CC"/>
    <w:rsid w:val="00D522F6"/>
    <w:rsid w:val="00D65041"/>
    <w:rsid w:val="00D67039"/>
    <w:rsid w:val="00D86E6C"/>
    <w:rsid w:val="00DA4FD1"/>
    <w:rsid w:val="00DB00D5"/>
    <w:rsid w:val="00DB1936"/>
    <w:rsid w:val="00DB384B"/>
    <w:rsid w:val="00DF0189"/>
    <w:rsid w:val="00E06FD5"/>
    <w:rsid w:val="00E10E80"/>
    <w:rsid w:val="00E124F0"/>
    <w:rsid w:val="00E227F3"/>
    <w:rsid w:val="00E46673"/>
    <w:rsid w:val="00E4728B"/>
    <w:rsid w:val="00E545C6"/>
    <w:rsid w:val="00E60F04"/>
    <w:rsid w:val="00E63EFF"/>
    <w:rsid w:val="00E65B24"/>
    <w:rsid w:val="00E854E4"/>
    <w:rsid w:val="00E85B67"/>
    <w:rsid w:val="00E86DBF"/>
    <w:rsid w:val="00EB0D6F"/>
    <w:rsid w:val="00EB2232"/>
    <w:rsid w:val="00EC5337"/>
    <w:rsid w:val="00EC7C07"/>
    <w:rsid w:val="00EE49E8"/>
    <w:rsid w:val="00F10B59"/>
    <w:rsid w:val="00F16BAB"/>
    <w:rsid w:val="00F2150A"/>
    <w:rsid w:val="00F231D8"/>
    <w:rsid w:val="00F27A30"/>
    <w:rsid w:val="00F44C00"/>
    <w:rsid w:val="00F45D2C"/>
    <w:rsid w:val="00F46C5F"/>
    <w:rsid w:val="00F56BDD"/>
    <w:rsid w:val="00F632C0"/>
    <w:rsid w:val="00F66A26"/>
    <w:rsid w:val="00F73B2C"/>
    <w:rsid w:val="00F74694"/>
    <w:rsid w:val="00F86596"/>
    <w:rsid w:val="00F92AEF"/>
    <w:rsid w:val="00F93FD4"/>
    <w:rsid w:val="00F94A63"/>
    <w:rsid w:val="00F96278"/>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DFD8E"/>
  <w15:docId w15:val="{10FB0E86-6120-4A4E-B5A4-80D4AFC8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5148C"/>
    <w:rPr>
      <w:color w:val="666666"/>
    </w:rPr>
  </w:style>
  <w:style w:type="character" w:customStyle="1" w:styleId="FootnoteTextChar">
    <w:name w:val="Footnote Text Char"/>
    <w:basedOn w:val="DefaultParagraphFont"/>
    <w:link w:val="FootnoteText"/>
    <w:rsid w:val="00250B42"/>
    <w:rPr>
      <w:rFonts w:ascii="Calibri" w:hAnsi="Calibri"/>
      <w:sz w:val="24"/>
      <w:lang w:val="en-GB" w:eastAsia="en-US"/>
    </w:rPr>
  </w:style>
  <w:style w:type="paragraph" w:styleId="Revision">
    <w:name w:val="Revision"/>
    <w:hidden/>
    <w:uiPriority w:val="99"/>
    <w:semiHidden/>
    <w:rsid w:val="002D73F8"/>
    <w:rPr>
      <w:rFonts w:ascii="Calibri" w:hAnsi="Calibri"/>
      <w:sz w:val="24"/>
      <w:lang w:val="en-GB" w:eastAsia="en-US"/>
    </w:rPr>
  </w:style>
  <w:style w:type="paragraph" w:customStyle="1" w:styleId="Reasons">
    <w:name w:val="Reasons"/>
    <w:basedOn w:val="Normal"/>
    <w:qFormat/>
    <w:rsid w:val="00663EFB"/>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3546">
      <w:bodyDiv w:val="1"/>
      <w:marLeft w:val="0"/>
      <w:marRight w:val="0"/>
      <w:marTop w:val="0"/>
      <w:marBottom w:val="0"/>
      <w:divBdr>
        <w:top w:val="none" w:sz="0" w:space="0" w:color="auto"/>
        <w:left w:val="none" w:sz="0" w:space="0" w:color="auto"/>
        <w:bottom w:val="none" w:sz="0" w:space="0" w:color="auto"/>
        <w:right w:val="none" w:sz="0" w:space="0" w:color="auto"/>
      </w:divBdr>
    </w:div>
    <w:div w:id="6619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SFP-2028-2031/Pages/default.aspx" TargetMode="External"/><Relationship Id="rId13" Type="http://schemas.openxmlformats.org/officeDocument/2006/relationships/hyperlink" Target="https://www.itu.int/md/S24-EG2DEC482-C-0002/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EG1DEC482-C-0004/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WGFHR20-C-0006/en" TargetMode="External"/><Relationship Id="rId5" Type="http://schemas.openxmlformats.org/officeDocument/2006/relationships/webSettings" Target="webSettings.xml"/><Relationship Id="rId15" Type="http://schemas.openxmlformats.org/officeDocument/2006/relationships/hyperlink" Target="https://www.itu.int/md/S24-EG2DEC482-C-0004/en" TargetMode="External"/><Relationship Id="rId10" Type="http://schemas.openxmlformats.org/officeDocument/2006/relationships/hyperlink" Target="https://www.itu.int/md/S24-EG2DEC482-C-000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4-EG1DEC482-C-0004/en" TargetMode="External"/><Relationship Id="rId14" Type="http://schemas.openxmlformats.org/officeDocument/2006/relationships/hyperlink" Target="https://www.itu.int/md/S24-CWGFHR19-C-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4-CL-C-0102/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467</Words>
  <Characters>2903</Characters>
  <Application>Microsoft Office Word</Application>
  <DocSecurity>0</DocSecurity>
  <Lines>263</Lines>
  <Paragraphs>259</Paragraphs>
  <ScaleCrop>false</ScaleCrop>
  <HeadingPairs>
    <vt:vector size="2" baseType="variant">
      <vt:variant>
        <vt:lpstr>Title</vt:lpstr>
      </vt:variant>
      <vt:variant>
        <vt:i4>1</vt:i4>
      </vt:variant>
    </vt:vector>
  </HeadingPairs>
  <TitlesOfParts>
    <vt:vector size="1" baseType="lpstr">
      <vt:lpstr>Interim report from Expert Group on Decision 482</vt:lpstr>
    </vt:vector>
  </TitlesOfParts>
  <Manager/>
  <Company/>
  <LinksUpToDate>false</LinksUpToDate>
  <CharactersWithSpaces>3111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report from Expert Group on Decision 482</dc:title>
  <dc:subject>ITU Council Working Group for strategic and financial plans 2028-2031</dc:subject>
  <dc:creator>Falou Dine, Akim</dc:creator>
  <cp:keywords>CWG-SFP</cp:keywords>
  <dc:description/>
  <cp:lastModifiedBy>LRT</cp:lastModifiedBy>
  <cp:revision>3</cp:revision>
  <dcterms:created xsi:type="dcterms:W3CDTF">2025-02-20T14:46:00Z</dcterms:created>
  <dcterms:modified xsi:type="dcterms:W3CDTF">2025-02-20T14:49:00Z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138fb9e98a92065fb0c892a8d6fd44e3ee7076c6a4942cc1294c2a17a840d10a</vt:lpwstr>
  </property>
</Properties>
</file>