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B51C8" w14:paraId="542A596D" w14:textId="77777777" w:rsidTr="00AD3606">
        <w:trPr>
          <w:cantSplit/>
          <w:trHeight w:val="23"/>
        </w:trPr>
        <w:tc>
          <w:tcPr>
            <w:tcW w:w="3969" w:type="dxa"/>
            <w:vMerge w:val="restart"/>
            <w:tcMar>
              <w:left w:w="0" w:type="dxa"/>
            </w:tcMar>
          </w:tcPr>
          <w:p w14:paraId="4C7E837C"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C870DD4" w14:textId="36323A42"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r w:rsidR="00612123">
              <w:rPr>
                <w:b/>
                <w:lang w:val="fr-CH"/>
              </w:rPr>
              <w:t>CWG-SFP</w:t>
            </w:r>
            <w:r w:rsidR="00524E9C">
              <w:rPr>
                <w:b/>
                <w:lang w:val="fr-CH"/>
              </w:rPr>
              <w:t>-</w:t>
            </w:r>
            <w:r w:rsidR="00612123">
              <w:rPr>
                <w:b/>
                <w:lang w:val="fr-CH"/>
              </w:rPr>
              <w:t>2</w:t>
            </w:r>
            <w:r w:rsidR="00F66A26">
              <w:rPr>
                <w:b/>
                <w:lang w:val="fr-FR"/>
              </w:rPr>
              <w:t>/</w:t>
            </w:r>
            <w:r w:rsidR="004E07BA">
              <w:rPr>
                <w:b/>
                <w:lang w:val="fr-FR"/>
              </w:rPr>
              <w:t>5</w:t>
            </w:r>
          </w:p>
        </w:tc>
      </w:tr>
      <w:tr w:rsidR="00AD3606" w:rsidRPr="00147C54" w14:paraId="02679F4A" w14:textId="77777777" w:rsidTr="00AD3606">
        <w:trPr>
          <w:cantSplit/>
        </w:trPr>
        <w:tc>
          <w:tcPr>
            <w:tcW w:w="3969" w:type="dxa"/>
            <w:vMerge/>
          </w:tcPr>
          <w:p w14:paraId="77B59B83"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D1BE688" w14:textId="0852473F" w:rsidR="00AD3606" w:rsidRPr="00147C54" w:rsidRDefault="00751571" w:rsidP="00AD3606">
            <w:pPr>
              <w:tabs>
                <w:tab w:val="left" w:pos="851"/>
              </w:tabs>
              <w:spacing w:before="0"/>
              <w:jc w:val="right"/>
              <w:rPr>
                <w:b/>
              </w:rPr>
            </w:pPr>
            <w:r>
              <w:rPr>
                <w:b/>
              </w:rPr>
              <w:t>21 January 2025</w:t>
            </w:r>
          </w:p>
        </w:tc>
      </w:tr>
      <w:tr w:rsidR="00AD3606" w:rsidRPr="00147C54" w14:paraId="136B074A" w14:textId="77777777" w:rsidTr="00AD3606">
        <w:trPr>
          <w:cantSplit/>
          <w:trHeight w:val="23"/>
        </w:trPr>
        <w:tc>
          <w:tcPr>
            <w:tcW w:w="3969" w:type="dxa"/>
            <w:vMerge/>
          </w:tcPr>
          <w:p w14:paraId="5C568FFB"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FDE6F91"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229A210B" w14:textId="77777777" w:rsidTr="00AD3606">
        <w:trPr>
          <w:cantSplit/>
          <w:trHeight w:val="23"/>
        </w:trPr>
        <w:tc>
          <w:tcPr>
            <w:tcW w:w="3969" w:type="dxa"/>
          </w:tcPr>
          <w:p w14:paraId="0C034DDF" w14:textId="77777777" w:rsidR="00472BAD" w:rsidRPr="00147C54" w:rsidRDefault="00472BAD" w:rsidP="00AD3606">
            <w:pPr>
              <w:tabs>
                <w:tab w:val="left" w:pos="851"/>
              </w:tabs>
              <w:spacing w:line="240" w:lineRule="atLeast"/>
              <w:rPr>
                <w:b/>
              </w:rPr>
            </w:pPr>
          </w:p>
        </w:tc>
        <w:tc>
          <w:tcPr>
            <w:tcW w:w="5245" w:type="dxa"/>
          </w:tcPr>
          <w:p w14:paraId="75CF0906" w14:textId="77777777" w:rsidR="00472BAD" w:rsidRPr="00147C54" w:rsidRDefault="00472BAD" w:rsidP="00AD3606">
            <w:pPr>
              <w:tabs>
                <w:tab w:val="left" w:pos="851"/>
              </w:tabs>
              <w:spacing w:before="0" w:line="240" w:lineRule="atLeast"/>
              <w:jc w:val="right"/>
              <w:rPr>
                <w:b/>
              </w:rPr>
            </w:pPr>
          </w:p>
        </w:tc>
      </w:tr>
      <w:tr w:rsidR="00AD3606" w:rsidRPr="00147C54" w14:paraId="2913C1C8" w14:textId="77777777" w:rsidTr="00AD3606">
        <w:trPr>
          <w:cantSplit/>
        </w:trPr>
        <w:tc>
          <w:tcPr>
            <w:tcW w:w="9214" w:type="dxa"/>
            <w:gridSpan w:val="2"/>
            <w:tcMar>
              <w:left w:w="0" w:type="dxa"/>
            </w:tcMar>
          </w:tcPr>
          <w:p w14:paraId="0DF27233" w14:textId="537FDAE2" w:rsidR="00AD3606" w:rsidRPr="00147C54" w:rsidRDefault="00524E9C" w:rsidP="00E4728B">
            <w:pPr>
              <w:pStyle w:val="Source"/>
              <w:framePr w:hSpace="0" w:wrap="auto" w:vAnchor="margin" w:hAnchor="text" w:xAlign="left" w:yAlign="inline"/>
            </w:pPr>
            <w:bookmarkStart w:id="8" w:name="dsource" w:colFirst="0" w:colLast="0"/>
            <w:bookmarkEnd w:id="7"/>
            <w:r>
              <w:t>Report</w:t>
            </w:r>
            <w:r w:rsidR="004B51C8" w:rsidRPr="009D024E">
              <w:t xml:space="preserve"> </w:t>
            </w:r>
            <w:r w:rsidR="004B51C8">
              <w:t>by</w:t>
            </w:r>
            <w:r w:rsidR="004B51C8" w:rsidRPr="00842B11">
              <w:t xml:space="preserve"> </w:t>
            </w:r>
            <w:r w:rsidR="00751571">
              <w:t>Jordan</w:t>
            </w:r>
          </w:p>
        </w:tc>
      </w:tr>
      <w:tr w:rsidR="00AD3606" w:rsidRPr="00147C54" w14:paraId="257E5EFD" w14:textId="77777777" w:rsidTr="00AD3606">
        <w:trPr>
          <w:cantSplit/>
        </w:trPr>
        <w:tc>
          <w:tcPr>
            <w:tcW w:w="9214" w:type="dxa"/>
            <w:gridSpan w:val="2"/>
            <w:tcMar>
              <w:left w:w="0" w:type="dxa"/>
            </w:tcMar>
          </w:tcPr>
          <w:p w14:paraId="75FDD26C" w14:textId="4E0CD83F" w:rsidR="00AD3606" w:rsidRPr="00147C54" w:rsidRDefault="00751571" w:rsidP="00E4728B">
            <w:pPr>
              <w:pStyle w:val="Subtitle"/>
              <w:framePr w:hSpace="0" w:wrap="auto" w:xAlign="left" w:yAlign="inline"/>
            </w:pPr>
            <w:bookmarkStart w:id="9" w:name="dtitle1" w:colFirst="0" w:colLast="0"/>
            <w:bookmarkEnd w:id="8"/>
            <w:r w:rsidRPr="001A615D">
              <w:t>ENHANCING ITU'S STRATEGIC PLAN THROUGH CAPACITY BUILDING AND PARTNERSHIPS</w:t>
            </w:r>
          </w:p>
        </w:tc>
      </w:tr>
      <w:tr w:rsidR="00AD3606" w:rsidRPr="00147C54" w14:paraId="0FCEA4E4" w14:textId="77777777" w:rsidTr="00AD3606">
        <w:trPr>
          <w:cantSplit/>
        </w:trPr>
        <w:tc>
          <w:tcPr>
            <w:tcW w:w="9214" w:type="dxa"/>
            <w:gridSpan w:val="2"/>
            <w:tcBorders>
              <w:top w:val="single" w:sz="4" w:space="0" w:color="auto"/>
              <w:bottom w:val="single" w:sz="4" w:space="0" w:color="auto"/>
            </w:tcBorders>
            <w:tcMar>
              <w:left w:w="0" w:type="dxa"/>
            </w:tcMar>
          </w:tcPr>
          <w:p w14:paraId="7C0EDD28" w14:textId="77777777" w:rsidR="00AD3606" w:rsidRPr="00147C54" w:rsidRDefault="00F16BAB" w:rsidP="00F16BAB">
            <w:pPr>
              <w:spacing w:before="160"/>
              <w:rPr>
                <w:b/>
                <w:bCs/>
                <w:sz w:val="26"/>
                <w:szCs w:val="26"/>
              </w:rPr>
            </w:pPr>
            <w:r w:rsidRPr="00147C54">
              <w:rPr>
                <w:b/>
                <w:bCs/>
                <w:sz w:val="26"/>
                <w:szCs w:val="26"/>
              </w:rPr>
              <w:t>Purpose</w:t>
            </w:r>
          </w:p>
          <w:p w14:paraId="61475226" w14:textId="4C1AF35C" w:rsidR="00AD3606" w:rsidRPr="00147C54" w:rsidRDefault="00751571" w:rsidP="005B3B9E">
            <w:pPr>
              <w:spacing w:before="160"/>
              <w:jc w:val="both"/>
            </w:pPr>
            <w:r w:rsidRPr="001A615D">
              <w:t>This contribution outlines a proposal to enhance the ITU's Strategic Plan for 2028</w:t>
            </w:r>
            <w:r w:rsidR="005B3B9E">
              <w:t>-</w:t>
            </w:r>
            <w:r w:rsidRPr="001A615D">
              <w:t>2031 by emphasizing new financial resource generation and capacity-building initiatives. The proposal advocates for implementing fee-based training programs and strengthening partnerships with NGOs and private-sector organizations like GSMA. These initiatives will help diversify ITU's funding streams, enhance global ICT capabilities, and foster collaboration among stakeholders.</w:t>
            </w:r>
          </w:p>
          <w:p w14:paraId="08275725" w14:textId="77777777" w:rsidR="00AD3606" w:rsidRPr="00147C54" w:rsidRDefault="00AD3606" w:rsidP="00F16BAB">
            <w:pPr>
              <w:spacing w:before="160"/>
              <w:rPr>
                <w:b/>
                <w:bCs/>
                <w:sz w:val="26"/>
                <w:szCs w:val="26"/>
              </w:rPr>
            </w:pPr>
            <w:r w:rsidRPr="00147C54">
              <w:rPr>
                <w:b/>
                <w:bCs/>
                <w:sz w:val="26"/>
                <w:szCs w:val="26"/>
              </w:rPr>
              <w:t>Action required</w:t>
            </w:r>
          </w:p>
          <w:p w14:paraId="6846EA06" w14:textId="5DBF0467" w:rsidR="00B82C1B" w:rsidRDefault="00751571" w:rsidP="005B3B9E">
            <w:pPr>
              <w:jc w:val="both"/>
            </w:pPr>
            <w:r w:rsidRPr="001A615D">
              <w:t>The Council Working Group on Strategic and Financial Plans (CWG-SFP) is invited to consider the integration of these recommendations into the ITU’s strategic and financial planning processes for 2028</w:t>
            </w:r>
            <w:r w:rsidR="005B3B9E">
              <w:t>-</w:t>
            </w:r>
            <w:r w:rsidRPr="001A615D">
              <w:t>2031</w:t>
            </w:r>
            <w:r w:rsidRPr="00D82AD5">
              <w:t>.</w:t>
            </w:r>
          </w:p>
          <w:p w14:paraId="038CE23E" w14:textId="77777777" w:rsidR="00AD3606" w:rsidRPr="00CD3C91" w:rsidRDefault="00CD3C91" w:rsidP="00CD3C91">
            <w:r>
              <w:t>_______________</w:t>
            </w:r>
          </w:p>
          <w:p w14:paraId="4ED013E1" w14:textId="77777777" w:rsidR="00AD3606" w:rsidRPr="00147C54" w:rsidRDefault="00AD3606" w:rsidP="00663050">
            <w:pPr>
              <w:spacing w:before="160"/>
              <w:rPr>
                <w:b/>
                <w:bCs/>
                <w:sz w:val="26"/>
                <w:szCs w:val="26"/>
              </w:rPr>
            </w:pPr>
            <w:r w:rsidRPr="00147C54">
              <w:rPr>
                <w:b/>
                <w:bCs/>
                <w:sz w:val="26"/>
                <w:szCs w:val="26"/>
              </w:rPr>
              <w:t>References</w:t>
            </w:r>
            <w:r w:rsidR="00301AEE">
              <w:rPr>
                <w:b/>
                <w:bCs/>
                <w:sz w:val="26"/>
                <w:szCs w:val="26"/>
              </w:rPr>
              <w:t xml:space="preserve"> </w:t>
            </w:r>
          </w:p>
          <w:p w14:paraId="1F9770C9" w14:textId="18725AFE" w:rsidR="00AD3606" w:rsidRPr="00524E9C" w:rsidRDefault="00B82C1B" w:rsidP="00F16BAB">
            <w:pPr>
              <w:spacing w:after="160"/>
              <w:rPr>
                <w:i/>
                <w:iCs/>
                <w:sz w:val="22"/>
                <w:szCs w:val="22"/>
              </w:rPr>
            </w:pPr>
            <w:hyperlink r:id="rId8" w:history="1">
              <w:r w:rsidRPr="00F264CE">
                <w:rPr>
                  <w:rStyle w:val="Hyperlink"/>
                  <w:i/>
                  <w:iCs/>
                  <w:sz w:val="22"/>
                  <w:szCs w:val="22"/>
                </w:rPr>
                <w:t>CWG-SFP website</w:t>
              </w:r>
            </w:hyperlink>
            <w:r w:rsidRPr="00E03C3D">
              <w:rPr>
                <w:i/>
                <w:iCs/>
                <w:sz w:val="22"/>
                <w:szCs w:val="22"/>
              </w:rPr>
              <w:t xml:space="preserve">; </w:t>
            </w:r>
            <w:r w:rsidR="00751571" w:rsidRPr="00751571">
              <w:rPr>
                <w:i/>
                <w:iCs/>
                <w:sz w:val="22"/>
                <w:szCs w:val="22"/>
              </w:rPr>
              <w:t xml:space="preserve">Council Resolution </w:t>
            </w:r>
            <w:hyperlink r:id="rId9" w:history="1">
              <w:r w:rsidR="00751571" w:rsidRPr="00751571">
                <w:rPr>
                  <w:rStyle w:val="Hyperlink"/>
                  <w:i/>
                  <w:iCs/>
                  <w:sz w:val="22"/>
                  <w:szCs w:val="22"/>
                </w:rPr>
                <w:t>1428</w:t>
              </w:r>
              <w:r w:rsidR="00751571" w:rsidRPr="00751571">
                <w:rPr>
                  <w:rStyle w:val="Hyperlink"/>
                  <w:i/>
                  <w:iCs/>
                  <w:sz w:val="22"/>
                  <w:szCs w:val="22"/>
                </w:rPr>
                <w:t xml:space="preserve"> (C24)</w:t>
              </w:r>
            </w:hyperlink>
          </w:p>
        </w:tc>
      </w:tr>
    </w:tbl>
    <w:p w14:paraId="05987874"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551A16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7A7A4EC5" w14:textId="2901B065" w:rsidR="002408FD" w:rsidRDefault="002408FD" w:rsidP="002408FD">
      <w:pPr>
        <w:pStyle w:val="Headingb"/>
        <w:rPr>
          <w:lang w:val="en-US"/>
        </w:rPr>
      </w:pPr>
      <w:r>
        <w:rPr>
          <w:lang w:val="en-US"/>
        </w:rPr>
        <w:lastRenderedPageBreak/>
        <w:t>I</w:t>
      </w:r>
      <w:r w:rsidR="00751571" w:rsidRPr="001A615D">
        <w:rPr>
          <w:lang w:val="en-US"/>
        </w:rPr>
        <w:t>ntroduction</w:t>
      </w:r>
    </w:p>
    <w:p w14:paraId="06CC43AF" w14:textId="412CCD28" w:rsidR="00751571" w:rsidRDefault="00751571" w:rsidP="002408FD">
      <w:pPr>
        <w:jc w:val="both"/>
        <w:rPr>
          <w:lang w:val="en-US"/>
        </w:rPr>
      </w:pPr>
      <w:r w:rsidRPr="001A615D">
        <w:rPr>
          <w:lang w:val="en-US"/>
        </w:rPr>
        <w:t>As a global leader in ICT development, the ITU has been pivotal in driving innovation and promoting universal connectivity. However, the increasing demand for resources to meet the evolving ICT challenges necessitates exploring new funding models while enhancing the ITU’s impact. This contribution highlights the potential of capacity-building programs and strategic partnerships to address this challenge.</w:t>
      </w:r>
    </w:p>
    <w:p w14:paraId="62ADFC12" w14:textId="77777777" w:rsidR="00751571" w:rsidRPr="001A615D" w:rsidRDefault="00751571" w:rsidP="002408FD">
      <w:pPr>
        <w:pStyle w:val="Headingb"/>
        <w:rPr>
          <w:lang w:val="en-US"/>
        </w:rPr>
      </w:pPr>
      <w:r w:rsidRPr="001A615D">
        <w:rPr>
          <w:lang w:val="en-US"/>
        </w:rPr>
        <w:t>Proposal</w:t>
      </w:r>
    </w:p>
    <w:p w14:paraId="47AC2A23" w14:textId="12BCBEC1" w:rsidR="00751571" w:rsidRPr="00F176B4" w:rsidRDefault="00751571" w:rsidP="002408FD">
      <w:pPr>
        <w:rPr>
          <w:b/>
          <w:bCs/>
          <w:lang w:val="en-US"/>
        </w:rPr>
      </w:pPr>
      <w:r w:rsidRPr="001A615D">
        <w:rPr>
          <w:lang w:val="en-US"/>
        </w:rPr>
        <w:t>1</w:t>
      </w:r>
      <w:r w:rsidRPr="001A615D">
        <w:rPr>
          <w:lang w:val="en-US"/>
        </w:rPr>
        <w:tab/>
      </w:r>
      <w:r w:rsidRPr="00F176B4">
        <w:rPr>
          <w:b/>
          <w:bCs/>
          <w:lang w:val="en-US"/>
        </w:rPr>
        <w:t>Fee-</w:t>
      </w:r>
      <w:r w:rsidR="00FC482F" w:rsidRPr="00F176B4">
        <w:rPr>
          <w:b/>
          <w:bCs/>
          <w:lang w:val="en-US"/>
        </w:rPr>
        <w:t>based capacity-building programs</w:t>
      </w:r>
      <w:r w:rsidRPr="00F176B4">
        <w:rPr>
          <w:b/>
          <w:bCs/>
          <w:lang w:val="en-US"/>
        </w:rPr>
        <w:t>:</w:t>
      </w:r>
    </w:p>
    <w:p w14:paraId="32D95443" w14:textId="6EB5F656" w:rsidR="00751571" w:rsidRPr="001A615D" w:rsidRDefault="00F176B4" w:rsidP="002408FD">
      <w:pPr>
        <w:pStyle w:val="enumlev1"/>
        <w:jc w:val="both"/>
        <w:rPr>
          <w:lang w:val="en-US"/>
        </w:rPr>
      </w:pPr>
      <w:r>
        <w:rPr>
          <w:lang w:val="en-US"/>
        </w:rPr>
        <w:t>–</w:t>
      </w:r>
      <w:r>
        <w:rPr>
          <w:lang w:val="en-US"/>
        </w:rPr>
        <w:tab/>
      </w:r>
      <w:r w:rsidR="00751571" w:rsidRPr="001A615D">
        <w:rPr>
          <w:lang w:val="en-US"/>
        </w:rPr>
        <w:t>The ITU could design and implement specialized training and certification programs for member states and private entities, focusing on areas like spectrum management, digital transformation, artificial intelligence (AI) governance, and emerging technologies.</w:t>
      </w:r>
    </w:p>
    <w:p w14:paraId="5682561F" w14:textId="785EF978" w:rsidR="00751571" w:rsidRPr="001A615D" w:rsidRDefault="00F176B4" w:rsidP="002408FD">
      <w:pPr>
        <w:pStyle w:val="enumlev1"/>
        <w:jc w:val="both"/>
        <w:rPr>
          <w:lang w:val="en-US"/>
        </w:rPr>
      </w:pPr>
      <w:r>
        <w:rPr>
          <w:lang w:val="en-US"/>
        </w:rPr>
        <w:t>–</w:t>
      </w:r>
      <w:r>
        <w:rPr>
          <w:lang w:val="en-US"/>
        </w:rPr>
        <w:tab/>
      </w:r>
      <w:r w:rsidR="00751571" w:rsidRPr="001A615D">
        <w:rPr>
          <w:lang w:val="en-US"/>
        </w:rPr>
        <w:t>These programs would be conducted online or in person and involve nominal fees, ensuring affordability while generating revenue to support ITU’s initiatives.</w:t>
      </w:r>
    </w:p>
    <w:p w14:paraId="612EBD8C" w14:textId="6BED6543" w:rsidR="00751571" w:rsidRDefault="00F176B4" w:rsidP="002408FD">
      <w:pPr>
        <w:pStyle w:val="enumlev1"/>
        <w:jc w:val="both"/>
        <w:rPr>
          <w:lang w:val="en-US"/>
        </w:rPr>
      </w:pPr>
      <w:r>
        <w:rPr>
          <w:lang w:val="en-US"/>
        </w:rPr>
        <w:t>–</w:t>
      </w:r>
      <w:r>
        <w:rPr>
          <w:lang w:val="en-US"/>
        </w:rPr>
        <w:tab/>
      </w:r>
      <w:r w:rsidR="00751571" w:rsidRPr="001A615D">
        <w:rPr>
          <w:lang w:val="en-US"/>
        </w:rPr>
        <w:t xml:space="preserve">A portion of the revenue could be reinvested into providing free training for </w:t>
      </w:r>
      <w:r w:rsidR="005B3B9E" w:rsidRPr="001A615D">
        <w:rPr>
          <w:lang w:val="en-US"/>
        </w:rPr>
        <w:t xml:space="preserve">least developed countries </w:t>
      </w:r>
      <w:r w:rsidR="00751571" w:rsidRPr="001A615D">
        <w:rPr>
          <w:lang w:val="en-US"/>
        </w:rPr>
        <w:t>(</w:t>
      </w:r>
      <w:proofErr w:type="spellStart"/>
      <w:r w:rsidR="00751571" w:rsidRPr="001A615D">
        <w:rPr>
          <w:lang w:val="en-US"/>
        </w:rPr>
        <w:t>LDCs</w:t>
      </w:r>
      <w:proofErr w:type="spellEnd"/>
      <w:r w:rsidR="00751571" w:rsidRPr="001A615D">
        <w:rPr>
          <w:lang w:val="en-US"/>
        </w:rPr>
        <w:t xml:space="preserve">) and </w:t>
      </w:r>
      <w:r w:rsidR="005B3B9E" w:rsidRPr="001A615D">
        <w:rPr>
          <w:lang w:val="en-US"/>
        </w:rPr>
        <w:t xml:space="preserve">small island developing </w:t>
      </w:r>
      <w:r w:rsidR="00751571" w:rsidRPr="001A615D">
        <w:rPr>
          <w:lang w:val="en-US"/>
        </w:rPr>
        <w:t>States (SIDS), ensuring equitable access to ICT capacity building.</w:t>
      </w:r>
    </w:p>
    <w:p w14:paraId="532FB3A2" w14:textId="68DF8E68" w:rsidR="00751571" w:rsidRPr="00FC482F" w:rsidRDefault="00751571" w:rsidP="002408FD">
      <w:pPr>
        <w:rPr>
          <w:b/>
          <w:bCs/>
          <w:lang w:val="en-US"/>
        </w:rPr>
      </w:pPr>
      <w:r w:rsidRPr="001A615D">
        <w:rPr>
          <w:lang w:val="en-US"/>
        </w:rPr>
        <w:t>2</w:t>
      </w:r>
      <w:r w:rsidRPr="001A615D">
        <w:rPr>
          <w:lang w:val="en-US"/>
        </w:rPr>
        <w:tab/>
      </w:r>
      <w:r w:rsidRPr="00FC482F">
        <w:rPr>
          <w:b/>
          <w:bCs/>
          <w:lang w:val="en-US"/>
        </w:rPr>
        <w:t xml:space="preserve">Strengthening </w:t>
      </w:r>
      <w:r w:rsidR="00FC482F" w:rsidRPr="00FC482F">
        <w:rPr>
          <w:b/>
          <w:bCs/>
          <w:lang w:val="en-US"/>
        </w:rPr>
        <w:t xml:space="preserve">partnerships </w:t>
      </w:r>
      <w:r w:rsidRPr="00FC482F">
        <w:rPr>
          <w:b/>
          <w:bCs/>
          <w:lang w:val="en-US"/>
        </w:rPr>
        <w:t xml:space="preserve">with NGOs and </w:t>
      </w:r>
      <w:r w:rsidR="00FC482F" w:rsidRPr="00FC482F">
        <w:rPr>
          <w:b/>
          <w:bCs/>
          <w:lang w:val="en-US"/>
        </w:rPr>
        <w:t>private sector organizations</w:t>
      </w:r>
      <w:r w:rsidRPr="00FC482F">
        <w:rPr>
          <w:b/>
          <w:bCs/>
          <w:lang w:val="en-US"/>
        </w:rPr>
        <w:t>:</w:t>
      </w:r>
    </w:p>
    <w:p w14:paraId="680B1E53" w14:textId="038AD1A1" w:rsidR="00751571" w:rsidRPr="001A615D" w:rsidRDefault="00F176B4" w:rsidP="002408FD">
      <w:pPr>
        <w:pStyle w:val="enumlev1"/>
        <w:jc w:val="both"/>
        <w:rPr>
          <w:lang w:val="en-US"/>
        </w:rPr>
      </w:pPr>
      <w:r>
        <w:rPr>
          <w:lang w:val="en-US"/>
        </w:rPr>
        <w:t>–</w:t>
      </w:r>
      <w:r>
        <w:rPr>
          <w:lang w:val="en-US"/>
        </w:rPr>
        <w:tab/>
      </w:r>
      <w:r w:rsidR="00751571" w:rsidRPr="001A615D">
        <w:rPr>
          <w:lang w:val="en-US"/>
        </w:rPr>
        <w:t>Collaborations with NGOs like GSMA and private organizations can provide additional resources, expertise, and funding opportunities.</w:t>
      </w:r>
    </w:p>
    <w:p w14:paraId="0D973324" w14:textId="2C490256" w:rsidR="00751571" w:rsidRPr="001A615D" w:rsidRDefault="00F176B4" w:rsidP="002408FD">
      <w:pPr>
        <w:pStyle w:val="enumlev1"/>
        <w:jc w:val="both"/>
        <w:rPr>
          <w:lang w:val="en-US"/>
        </w:rPr>
      </w:pPr>
      <w:r>
        <w:rPr>
          <w:lang w:val="en-US"/>
        </w:rPr>
        <w:t>–</w:t>
      </w:r>
      <w:r>
        <w:rPr>
          <w:lang w:val="en-US"/>
        </w:rPr>
        <w:tab/>
      </w:r>
      <w:r w:rsidR="00751571" w:rsidRPr="001A615D">
        <w:rPr>
          <w:lang w:val="en-US"/>
        </w:rPr>
        <w:t>Joint initiatives could include co-hosting training programs, research collaborations, and resource mobilization efforts aimed at accelerating ICT development.</w:t>
      </w:r>
    </w:p>
    <w:p w14:paraId="7C91AF83" w14:textId="5E18E265" w:rsidR="00751571" w:rsidRDefault="00F176B4" w:rsidP="002408FD">
      <w:pPr>
        <w:pStyle w:val="enumlev1"/>
        <w:jc w:val="both"/>
        <w:rPr>
          <w:lang w:val="en-US"/>
        </w:rPr>
      </w:pPr>
      <w:r>
        <w:rPr>
          <w:lang w:val="en-US"/>
        </w:rPr>
        <w:t>–</w:t>
      </w:r>
      <w:r>
        <w:rPr>
          <w:lang w:val="en-US"/>
        </w:rPr>
        <w:tab/>
      </w:r>
      <w:r w:rsidR="00751571" w:rsidRPr="001A615D">
        <w:rPr>
          <w:lang w:val="en-US"/>
        </w:rPr>
        <w:t>The ITU could establish a formal framework for partnership agreements, clearly outlining mutual goals, financial contributions, and expected outcomes.</w:t>
      </w:r>
    </w:p>
    <w:p w14:paraId="387EC427" w14:textId="426025A0" w:rsidR="00751571" w:rsidRPr="00FC482F" w:rsidRDefault="00751571" w:rsidP="002408FD">
      <w:pPr>
        <w:rPr>
          <w:b/>
          <w:bCs/>
          <w:lang w:val="en-US"/>
        </w:rPr>
      </w:pPr>
      <w:r w:rsidRPr="001A615D">
        <w:rPr>
          <w:lang w:val="en-US"/>
        </w:rPr>
        <w:t>3</w:t>
      </w:r>
      <w:r w:rsidRPr="001A615D">
        <w:rPr>
          <w:lang w:val="en-US"/>
        </w:rPr>
        <w:tab/>
      </w:r>
      <w:r w:rsidRPr="00FC482F">
        <w:rPr>
          <w:b/>
          <w:bCs/>
          <w:lang w:val="en-US"/>
        </w:rPr>
        <w:t xml:space="preserve">Incentivizing </w:t>
      </w:r>
      <w:r w:rsidR="00FC482F" w:rsidRPr="00FC482F">
        <w:rPr>
          <w:b/>
          <w:bCs/>
          <w:lang w:val="en-US"/>
        </w:rPr>
        <w:t>partnerships</w:t>
      </w:r>
      <w:r w:rsidRPr="00FC482F">
        <w:rPr>
          <w:b/>
          <w:bCs/>
          <w:lang w:val="en-US"/>
        </w:rPr>
        <w:t>:</w:t>
      </w:r>
    </w:p>
    <w:p w14:paraId="7237E481" w14:textId="6C7751FF" w:rsidR="00751571" w:rsidRPr="001A615D" w:rsidRDefault="00F176B4" w:rsidP="002408FD">
      <w:pPr>
        <w:pStyle w:val="enumlev1"/>
        <w:jc w:val="both"/>
        <w:rPr>
          <w:lang w:val="en-US"/>
        </w:rPr>
      </w:pPr>
      <w:r>
        <w:rPr>
          <w:lang w:val="en-US"/>
        </w:rPr>
        <w:t>–</w:t>
      </w:r>
      <w:r>
        <w:rPr>
          <w:lang w:val="en-US"/>
        </w:rPr>
        <w:tab/>
      </w:r>
      <w:r w:rsidR="00751571" w:rsidRPr="001A615D">
        <w:rPr>
          <w:lang w:val="en-US"/>
        </w:rPr>
        <w:t>Introduce incentives for private-sector organizations to support ITU initiatives, such as recognition programs, partnership branding, and access to ITU platforms for promoting their work.</w:t>
      </w:r>
    </w:p>
    <w:p w14:paraId="65462EFC" w14:textId="6715E4F0" w:rsidR="00751571" w:rsidRPr="001A615D" w:rsidRDefault="00751571" w:rsidP="002408FD">
      <w:pPr>
        <w:rPr>
          <w:lang w:val="en-US"/>
        </w:rPr>
      </w:pPr>
      <w:r w:rsidRPr="001A615D">
        <w:rPr>
          <w:lang w:val="en-US"/>
        </w:rPr>
        <w:t>4</w:t>
      </w:r>
      <w:r w:rsidRPr="001A615D">
        <w:rPr>
          <w:lang w:val="en-US"/>
        </w:rPr>
        <w:tab/>
      </w:r>
      <w:r w:rsidRPr="00FC482F">
        <w:rPr>
          <w:b/>
          <w:bCs/>
          <w:lang w:val="en-US"/>
        </w:rPr>
        <w:t xml:space="preserve">Integrating </w:t>
      </w:r>
      <w:r w:rsidR="00FC482F" w:rsidRPr="00FC482F">
        <w:rPr>
          <w:b/>
          <w:bCs/>
          <w:lang w:val="en-US"/>
        </w:rPr>
        <w:t>revenue-generating i</w:t>
      </w:r>
      <w:r w:rsidRPr="00FC482F">
        <w:rPr>
          <w:b/>
          <w:bCs/>
          <w:lang w:val="en-US"/>
        </w:rPr>
        <w:t>nitiatives into the ITU Strategic Plan:</w:t>
      </w:r>
    </w:p>
    <w:p w14:paraId="508558C8" w14:textId="023CD4FA" w:rsidR="00751571" w:rsidRPr="001A615D" w:rsidRDefault="00F176B4" w:rsidP="002408FD">
      <w:pPr>
        <w:pStyle w:val="enumlev1"/>
        <w:jc w:val="both"/>
        <w:rPr>
          <w:lang w:val="en-US"/>
        </w:rPr>
      </w:pPr>
      <w:r>
        <w:rPr>
          <w:lang w:val="en-US"/>
        </w:rPr>
        <w:t>–</w:t>
      </w:r>
      <w:r>
        <w:rPr>
          <w:lang w:val="en-US"/>
        </w:rPr>
        <w:tab/>
      </w:r>
      <w:r w:rsidR="00751571" w:rsidRPr="001A615D">
        <w:rPr>
          <w:lang w:val="en-US"/>
        </w:rPr>
        <w:t>Ensure that these capacity-building and partnership efforts are aligned with ITU’s broader goals, including the advancement of universal connectivity and the Sustainable Development Goals (SDGs).</w:t>
      </w:r>
    </w:p>
    <w:p w14:paraId="26ABC554" w14:textId="55B753C8" w:rsidR="00751571" w:rsidRPr="001A615D" w:rsidRDefault="00F176B4" w:rsidP="002408FD">
      <w:pPr>
        <w:pStyle w:val="enumlev1"/>
        <w:jc w:val="both"/>
        <w:rPr>
          <w:lang w:val="en-US"/>
        </w:rPr>
      </w:pPr>
      <w:r>
        <w:rPr>
          <w:lang w:val="en-US"/>
        </w:rPr>
        <w:t>–</w:t>
      </w:r>
      <w:r>
        <w:rPr>
          <w:lang w:val="en-US"/>
        </w:rPr>
        <w:tab/>
      </w:r>
      <w:r w:rsidR="00751571" w:rsidRPr="001A615D">
        <w:rPr>
          <w:lang w:val="en-US"/>
        </w:rPr>
        <w:t>Establish a monitoring and evaluation framework to measure the impact and financial viability of these initiatives.</w:t>
      </w:r>
    </w:p>
    <w:p w14:paraId="5DFCC322" w14:textId="35FF0B98" w:rsidR="00751571" w:rsidRPr="001A615D" w:rsidRDefault="00751571" w:rsidP="00F176B4">
      <w:pPr>
        <w:pStyle w:val="Headingb"/>
        <w:rPr>
          <w:lang w:val="en-US"/>
        </w:rPr>
      </w:pPr>
      <w:r w:rsidRPr="001A615D">
        <w:rPr>
          <w:lang w:val="en-US"/>
        </w:rPr>
        <w:t xml:space="preserve">Expected </w:t>
      </w:r>
      <w:r w:rsidR="00F176B4" w:rsidRPr="001A615D">
        <w:rPr>
          <w:lang w:val="en-US"/>
        </w:rPr>
        <w:t>outcomes and benefits</w:t>
      </w:r>
    </w:p>
    <w:p w14:paraId="44D6CA17" w14:textId="733CE9A4" w:rsidR="00751571" w:rsidRPr="00FC482F" w:rsidRDefault="00751571" w:rsidP="002408FD">
      <w:pPr>
        <w:rPr>
          <w:b/>
          <w:bCs/>
          <w:lang w:val="en-US"/>
        </w:rPr>
      </w:pPr>
      <w:r w:rsidRPr="001A615D">
        <w:rPr>
          <w:lang w:val="en-US"/>
        </w:rPr>
        <w:t>1</w:t>
      </w:r>
      <w:r w:rsidRPr="001A615D">
        <w:rPr>
          <w:lang w:val="en-US"/>
        </w:rPr>
        <w:tab/>
      </w:r>
      <w:r w:rsidRPr="00FC482F">
        <w:rPr>
          <w:b/>
          <w:bCs/>
          <w:lang w:val="en-US"/>
        </w:rPr>
        <w:t xml:space="preserve">New </w:t>
      </w:r>
      <w:r w:rsidR="00FC482F" w:rsidRPr="00FC482F">
        <w:rPr>
          <w:b/>
          <w:bCs/>
          <w:lang w:val="en-US"/>
        </w:rPr>
        <w:t>revenue streams:</w:t>
      </w:r>
    </w:p>
    <w:p w14:paraId="7F13ACEB" w14:textId="2DEFD642" w:rsidR="00751571" w:rsidRPr="001A615D" w:rsidRDefault="00F176B4" w:rsidP="00F176B4">
      <w:pPr>
        <w:pStyle w:val="enumlev1"/>
        <w:jc w:val="both"/>
        <w:rPr>
          <w:lang w:val="en-US"/>
        </w:rPr>
      </w:pPr>
      <w:r>
        <w:rPr>
          <w:lang w:val="en-US"/>
        </w:rPr>
        <w:t>–</w:t>
      </w:r>
      <w:r>
        <w:rPr>
          <w:lang w:val="en-US"/>
        </w:rPr>
        <w:tab/>
      </w:r>
      <w:r w:rsidR="00751571" w:rsidRPr="001A615D">
        <w:rPr>
          <w:lang w:val="en-US"/>
        </w:rPr>
        <w:t>Generate sustainable financial resources to fund ITU’s strategic initiatives and operations.</w:t>
      </w:r>
    </w:p>
    <w:p w14:paraId="30DDA809" w14:textId="35FF7F8C" w:rsidR="00751571" w:rsidRPr="001A615D" w:rsidRDefault="00F176B4" w:rsidP="00F176B4">
      <w:pPr>
        <w:pStyle w:val="enumlev1"/>
        <w:jc w:val="both"/>
        <w:rPr>
          <w:lang w:val="en-US"/>
        </w:rPr>
      </w:pPr>
      <w:r>
        <w:rPr>
          <w:lang w:val="en-US"/>
        </w:rPr>
        <w:t>–</w:t>
      </w:r>
      <w:r>
        <w:rPr>
          <w:lang w:val="en-US"/>
        </w:rPr>
        <w:tab/>
      </w:r>
      <w:r w:rsidR="00751571" w:rsidRPr="001A615D">
        <w:rPr>
          <w:lang w:val="en-US"/>
        </w:rPr>
        <w:t>Reduce dependence on traditional funding mechanisms, enhancing ITU's financial resilience.</w:t>
      </w:r>
    </w:p>
    <w:p w14:paraId="42843411" w14:textId="56167348" w:rsidR="00751571" w:rsidRPr="00FC482F" w:rsidRDefault="00751571" w:rsidP="002408FD">
      <w:pPr>
        <w:rPr>
          <w:b/>
          <w:bCs/>
          <w:lang w:val="en-US"/>
        </w:rPr>
      </w:pPr>
      <w:r w:rsidRPr="001A615D">
        <w:rPr>
          <w:lang w:val="en-US"/>
        </w:rPr>
        <w:lastRenderedPageBreak/>
        <w:t>2</w:t>
      </w:r>
      <w:r w:rsidRPr="001A615D">
        <w:rPr>
          <w:lang w:val="en-US"/>
        </w:rPr>
        <w:tab/>
      </w:r>
      <w:r w:rsidRPr="00FC482F">
        <w:rPr>
          <w:b/>
          <w:bCs/>
          <w:lang w:val="en-US"/>
        </w:rPr>
        <w:t xml:space="preserve">Enhanced ICT </w:t>
      </w:r>
      <w:r w:rsidR="00FC482F" w:rsidRPr="00FC482F">
        <w:rPr>
          <w:b/>
          <w:bCs/>
          <w:lang w:val="en-US"/>
        </w:rPr>
        <w:t>capacity</w:t>
      </w:r>
      <w:r w:rsidRPr="00FC482F">
        <w:rPr>
          <w:b/>
          <w:bCs/>
          <w:lang w:val="en-US"/>
        </w:rPr>
        <w:t>:</w:t>
      </w:r>
    </w:p>
    <w:p w14:paraId="64CE3F00" w14:textId="3C390341" w:rsidR="00751571" w:rsidRPr="001A615D" w:rsidRDefault="00F176B4" w:rsidP="00F176B4">
      <w:pPr>
        <w:pStyle w:val="enumlev1"/>
        <w:jc w:val="both"/>
        <w:rPr>
          <w:lang w:val="en-US"/>
        </w:rPr>
      </w:pPr>
      <w:r>
        <w:rPr>
          <w:lang w:val="en-US"/>
        </w:rPr>
        <w:t>–</w:t>
      </w:r>
      <w:r>
        <w:rPr>
          <w:lang w:val="en-US"/>
        </w:rPr>
        <w:tab/>
      </w:r>
      <w:r w:rsidR="00751571" w:rsidRPr="001A615D">
        <w:rPr>
          <w:lang w:val="en-US"/>
        </w:rPr>
        <w:t>Empower member states with the knowledge and skills needed to navigate the evolving ICT landscape.</w:t>
      </w:r>
    </w:p>
    <w:p w14:paraId="5753C023" w14:textId="0999C032" w:rsidR="00751571" w:rsidRPr="001A615D" w:rsidRDefault="00F176B4" w:rsidP="00F176B4">
      <w:pPr>
        <w:pStyle w:val="enumlev1"/>
        <w:jc w:val="both"/>
        <w:rPr>
          <w:lang w:val="en-US"/>
        </w:rPr>
      </w:pPr>
      <w:r>
        <w:rPr>
          <w:lang w:val="en-US"/>
        </w:rPr>
        <w:t>–</w:t>
      </w:r>
      <w:r>
        <w:rPr>
          <w:lang w:val="en-US"/>
        </w:rPr>
        <w:tab/>
      </w:r>
      <w:r w:rsidR="00751571" w:rsidRPr="001A615D">
        <w:rPr>
          <w:lang w:val="en-US"/>
        </w:rPr>
        <w:t xml:space="preserve">Address critical ICT gaps, particularly in </w:t>
      </w:r>
      <w:proofErr w:type="spellStart"/>
      <w:r w:rsidR="00751571" w:rsidRPr="001A615D">
        <w:rPr>
          <w:lang w:val="en-US"/>
        </w:rPr>
        <w:t>LDCs</w:t>
      </w:r>
      <w:proofErr w:type="spellEnd"/>
      <w:r w:rsidR="00751571" w:rsidRPr="001A615D">
        <w:rPr>
          <w:lang w:val="en-US"/>
        </w:rPr>
        <w:t xml:space="preserve"> and SIDS.</w:t>
      </w:r>
    </w:p>
    <w:p w14:paraId="42FED016" w14:textId="22B139B3" w:rsidR="00751571" w:rsidRPr="00FC482F" w:rsidRDefault="00751571" w:rsidP="002408FD">
      <w:pPr>
        <w:rPr>
          <w:b/>
          <w:bCs/>
          <w:lang w:val="en-US"/>
        </w:rPr>
      </w:pPr>
      <w:r w:rsidRPr="001A615D">
        <w:rPr>
          <w:lang w:val="en-US"/>
        </w:rPr>
        <w:t>3</w:t>
      </w:r>
      <w:r w:rsidRPr="001A615D">
        <w:rPr>
          <w:lang w:val="en-US"/>
        </w:rPr>
        <w:tab/>
      </w:r>
      <w:r w:rsidRPr="00FC482F">
        <w:rPr>
          <w:b/>
          <w:bCs/>
          <w:lang w:val="en-US"/>
        </w:rPr>
        <w:t xml:space="preserve">Stronger </w:t>
      </w:r>
      <w:r w:rsidR="00FC482F" w:rsidRPr="00FC482F">
        <w:rPr>
          <w:b/>
          <w:bCs/>
          <w:lang w:val="en-US"/>
        </w:rPr>
        <w:t>global collaboration:</w:t>
      </w:r>
    </w:p>
    <w:p w14:paraId="4481BFDF" w14:textId="65D441C5" w:rsidR="00751571" w:rsidRPr="001A615D" w:rsidRDefault="00F176B4" w:rsidP="00F176B4">
      <w:pPr>
        <w:pStyle w:val="enumlev1"/>
        <w:jc w:val="both"/>
        <w:rPr>
          <w:lang w:val="en-US"/>
        </w:rPr>
      </w:pPr>
      <w:r>
        <w:rPr>
          <w:lang w:val="en-US"/>
        </w:rPr>
        <w:t>–</w:t>
      </w:r>
      <w:r>
        <w:rPr>
          <w:lang w:val="en-US"/>
        </w:rPr>
        <w:tab/>
      </w:r>
      <w:r w:rsidR="00751571" w:rsidRPr="001A615D">
        <w:rPr>
          <w:lang w:val="en-US"/>
        </w:rPr>
        <w:t>Foster partnerships that drive innovation, share knowledge and promote the efficient use of resources.</w:t>
      </w:r>
    </w:p>
    <w:p w14:paraId="40AAACB9" w14:textId="4FDEBA36" w:rsidR="00751571" w:rsidRPr="001A615D" w:rsidRDefault="00F176B4" w:rsidP="00F176B4">
      <w:pPr>
        <w:pStyle w:val="enumlev1"/>
        <w:jc w:val="both"/>
        <w:rPr>
          <w:lang w:val="en-US"/>
        </w:rPr>
      </w:pPr>
      <w:r>
        <w:rPr>
          <w:lang w:val="en-US"/>
        </w:rPr>
        <w:t>–</w:t>
      </w:r>
      <w:r>
        <w:rPr>
          <w:lang w:val="en-US"/>
        </w:rPr>
        <w:tab/>
      </w:r>
      <w:r w:rsidR="00751571" w:rsidRPr="001A615D">
        <w:rPr>
          <w:lang w:val="en-US"/>
        </w:rPr>
        <w:t>Enhance ITU's role as a convening platform for global ICT stakeholders.</w:t>
      </w:r>
    </w:p>
    <w:p w14:paraId="17452BEF" w14:textId="77777777" w:rsidR="00751571" w:rsidRDefault="00751571" w:rsidP="002408FD">
      <w:pPr>
        <w:pStyle w:val="Headingb"/>
        <w:rPr>
          <w:lang w:val="en-US"/>
        </w:rPr>
      </w:pPr>
      <w:r w:rsidRPr="001A615D">
        <w:rPr>
          <w:lang w:val="en-US"/>
        </w:rPr>
        <w:t>Conclusion</w:t>
      </w:r>
    </w:p>
    <w:p w14:paraId="53B33030" w14:textId="67A29D92" w:rsidR="00751571" w:rsidRDefault="00751571" w:rsidP="002408FD">
      <w:pPr>
        <w:jc w:val="both"/>
        <w:rPr>
          <w:lang w:val="en-US"/>
        </w:rPr>
      </w:pPr>
      <w:r w:rsidRPr="001A615D">
        <w:rPr>
          <w:lang w:val="en-US"/>
        </w:rPr>
        <w:t>By integrating fee-based capacity-building programs and strengthening partnerships with NGOs and private organizations into its Strategic Plan, the ITU can unlock new financial resources, enhance global ICT capacity, and build stronger networks of collaboration. These initiatives will enable the ITU to achieve its goals effectively while remaining agile in the face of evolving ICT challenges.</w:t>
      </w:r>
    </w:p>
    <w:p w14:paraId="3D5E24BE" w14:textId="7431C658" w:rsidR="002408FD" w:rsidRPr="002408FD" w:rsidRDefault="002408FD" w:rsidP="002408FD">
      <w:pPr>
        <w:spacing w:before="600"/>
        <w:jc w:val="center"/>
      </w:pPr>
      <w:r>
        <w:t>______________</w:t>
      </w:r>
    </w:p>
    <w:sectPr w:rsidR="002408FD" w:rsidRPr="002408FD" w:rsidSect="00AD3606">
      <w:headerReference w:type="even" r:id="rId10"/>
      <w:headerReference w:type="default" r:id="rId11"/>
      <w:footerReference w:type="even" r:id="rId12"/>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631B" w14:textId="77777777" w:rsidR="00E46673" w:rsidRDefault="00E46673">
      <w:r>
        <w:separator/>
      </w:r>
    </w:p>
  </w:endnote>
  <w:endnote w:type="continuationSeparator" w:id="0">
    <w:p w14:paraId="53D8BBFB" w14:textId="77777777" w:rsidR="00E46673" w:rsidRDefault="00E4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8C74" w14:textId="77777777" w:rsidR="00485C97" w:rsidRDefault="00485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0C17" w14:paraId="232820CC" w14:textId="77777777" w:rsidTr="0042469C">
      <w:trPr>
        <w:jc w:val="center"/>
      </w:trPr>
      <w:tc>
        <w:tcPr>
          <w:tcW w:w="1803" w:type="dxa"/>
          <w:vAlign w:val="center"/>
        </w:tcPr>
        <w:p w14:paraId="55C84B8A" w14:textId="77777777" w:rsidR="00EE49E8" w:rsidRDefault="00EE49E8" w:rsidP="00EE49E8">
          <w:pPr>
            <w:pStyle w:val="Header"/>
            <w:jc w:val="left"/>
            <w:rPr>
              <w:noProof/>
            </w:rPr>
          </w:pPr>
        </w:p>
      </w:tc>
      <w:tc>
        <w:tcPr>
          <w:tcW w:w="8261" w:type="dxa"/>
        </w:tcPr>
        <w:p w14:paraId="0006E266" w14:textId="23814411" w:rsidR="00EE49E8" w:rsidRPr="00877BF2" w:rsidRDefault="00EE49E8" w:rsidP="00B82C1B">
          <w:pPr>
            <w:pStyle w:val="Header"/>
            <w:tabs>
              <w:tab w:val="left" w:pos="6451"/>
              <w:tab w:val="right" w:pos="8505"/>
              <w:tab w:val="right" w:pos="9639"/>
            </w:tabs>
            <w:jc w:val="left"/>
            <w:rPr>
              <w:rFonts w:ascii="Arial" w:hAnsi="Arial" w:cs="Arial"/>
              <w:b/>
              <w:bCs/>
              <w:szCs w:val="18"/>
              <w:lang w:val="es-ES"/>
            </w:rPr>
          </w:pPr>
          <w:r w:rsidRPr="005C13D4">
            <w:rPr>
              <w:bCs/>
              <w:lang w:val="fr-CH"/>
            </w:rPr>
            <w:tab/>
          </w:r>
          <w:r w:rsidR="00B82C1B">
            <w:rPr>
              <w:bCs/>
              <w:lang w:val="es-ES"/>
            </w:rPr>
            <w:t>CWG-</w:t>
          </w:r>
          <w:proofErr w:type="spellStart"/>
          <w:r w:rsidR="00B82C1B">
            <w:rPr>
              <w:bCs/>
              <w:lang w:val="es-ES"/>
            </w:rPr>
            <w:t>SFP</w:t>
          </w:r>
          <w:proofErr w:type="spellEnd"/>
          <w:r w:rsidR="00B82C1B" w:rsidRPr="00870C17">
            <w:rPr>
              <w:bCs/>
              <w:lang w:val="es-ES"/>
            </w:rPr>
            <w:t>-</w:t>
          </w:r>
          <w:r w:rsidR="00B82C1B">
            <w:rPr>
              <w:bCs/>
              <w:lang w:val="es-ES"/>
            </w:rPr>
            <w:t>2/</w:t>
          </w:r>
          <w:r w:rsidR="004E07BA">
            <w:rPr>
              <w:bCs/>
              <w:lang w:val="es-ES"/>
            </w:rPr>
            <w:t>5</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557EFF5C" w14:textId="77777777" w:rsidR="00EE49E8" w:rsidRPr="00877BF2" w:rsidRDefault="00EE49E8" w:rsidP="00EE49E8">
    <w:pPr>
      <w:pStyle w:val="Header"/>
      <w:tabs>
        <w:tab w:val="left" w:pos="8080"/>
        <w:tab w:val="right" w:pos="9072"/>
      </w:tabs>
      <w:jc w:val="lef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70C17" w14:paraId="660B5049" w14:textId="77777777" w:rsidTr="00A52C84">
      <w:trPr>
        <w:jc w:val="center"/>
      </w:trPr>
      <w:tc>
        <w:tcPr>
          <w:tcW w:w="3107" w:type="dxa"/>
          <w:vAlign w:val="center"/>
        </w:tcPr>
        <w:p w14:paraId="3ABDA1AA" w14:textId="77777777" w:rsidR="00EE49E8" w:rsidRPr="0025570E" w:rsidRDefault="0025570E" w:rsidP="00EE49E8">
          <w:pPr>
            <w:pStyle w:val="Header"/>
            <w:jc w:val="left"/>
            <w:rPr>
              <w:noProof/>
              <w:u w:val="single"/>
            </w:rPr>
          </w:pPr>
          <w:hyperlink r:id="rId1" w:history="1">
            <w:r w:rsidRPr="0025570E">
              <w:rPr>
                <w:rStyle w:val="Hyperlink"/>
              </w:rPr>
              <w:t>https://council.itu.int/working-groups</w:t>
            </w:r>
          </w:hyperlink>
        </w:p>
      </w:tc>
      <w:tc>
        <w:tcPr>
          <w:tcW w:w="6957" w:type="dxa"/>
        </w:tcPr>
        <w:p w14:paraId="17EFD000" w14:textId="390C4A20" w:rsidR="00EE49E8" w:rsidRPr="000F6AB8" w:rsidRDefault="00EE49E8" w:rsidP="00B82C1B">
          <w:pPr>
            <w:pStyle w:val="Header"/>
            <w:tabs>
              <w:tab w:val="left" w:pos="5150"/>
              <w:tab w:val="right" w:pos="8505"/>
              <w:tab w:val="right" w:pos="9639"/>
            </w:tabs>
            <w:jc w:val="left"/>
            <w:rPr>
              <w:rFonts w:ascii="Arial" w:hAnsi="Arial" w:cs="Arial"/>
              <w:b/>
              <w:bCs/>
              <w:szCs w:val="18"/>
              <w:lang w:val="es-ES"/>
            </w:rPr>
          </w:pPr>
          <w:r>
            <w:rPr>
              <w:bCs/>
            </w:rPr>
            <w:tab/>
          </w:r>
          <w:r w:rsidR="00B82C1B">
            <w:rPr>
              <w:bCs/>
              <w:lang w:val="es-ES"/>
            </w:rPr>
            <w:t>CWG-</w:t>
          </w:r>
          <w:proofErr w:type="spellStart"/>
          <w:r w:rsidR="00B82C1B">
            <w:rPr>
              <w:bCs/>
              <w:lang w:val="es-ES"/>
            </w:rPr>
            <w:t>SFP</w:t>
          </w:r>
          <w:proofErr w:type="spellEnd"/>
          <w:r w:rsidR="00F73B2C" w:rsidRPr="00870C17">
            <w:rPr>
              <w:bCs/>
              <w:lang w:val="es-ES"/>
            </w:rPr>
            <w:t>-</w:t>
          </w:r>
          <w:r w:rsidR="00B82C1B">
            <w:rPr>
              <w:bCs/>
              <w:lang w:val="es-ES"/>
            </w:rPr>
            <w:t>2</w:t>
          </w:r>
          <w:r w:rsidR="00205D4E">
            <w:rPr>
              <w:bCs/>
              <w:lang w:val="es-ES"/>
            </w:rPr>
            <w:t>/</w:t>
          </w:r>
          <w:r w:rsidR="004E07BA">
            <w:rPr>
              <w:bCs/>
              <w:lang w:val="es-ES"/>
            </w:rPr>
            <w:t>5</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5B13FAE0"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BFEA2" w14:textId="77777777" w:rsidR="00E46673" w:rsidRDefault="00E46673">
      <w:r>
        <w:t>____________________</w:t>
      </w:r>
    </w:p>
  </w:footnote>
  <w:footnote w:type="continuationSeparator" w:id="0">
    <w:p w14:paraId="0BC3FE67" w14:textId="77777777" w:rsidR="00E46673" w:rsidRDefault="00E4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B9A45" w14:textId="77777777" w:rsidR="00485C97" w:rsidRDefault="00485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842F" w14:textId="77777777" w:rsidR="00485C97" w:rsidRDefault="00485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85C97" w:rsidRPr="00784011" w14:paraId="023C4028" w14:textId="77777777" w:rsidTr="002F314B">
      <w:trPr>
        <w:trHeight w:val="1304"/>
        <w:jc w:val="center"/>
      </w:trPr>
      <w:tc>
        <w:tcPr>
          <w:tcW w:w="6546" w:type="dxa"/>
        </w:tcPr>
        <w:p w14:paraId="0463463C" w14:textId="77777777" w:rsidR="00485C97" w:rsidRPr="009621F8" w:rsidRDefault="00485C97" w:rsidP="00485C97">
          <w:pPr>
            <w:pStyle w:val="Header"/>
            <w:jc w:val="left"/>
            <w:rPr>
              <w:rFonts w:ascii="Arial" w:hAnsi="Arial" w:cs="Arial"/>
              <w:b/>
              <w:bCs/>
              <w:color w:val="009CD6"/>
              <w:sz w:val="36"/>
              <w:szCs w:val="36"/>
            </w:rPr>
          </w:pPr>
          <w:bookmarkStart w:id="11" w:name="_Hlk133422111"/>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3273582E" wp14:editId="0E0AAACA">
                    <wp:simplePos x="0" y="0"/>
                    <wp:positionH relativeFrom="column">
                      <wp:posOffset>1428645</wp:posOffset>
                    </wp:positionH>
                    <wp:positionV relativeFrom="paragraph">
                      <wp:posOffset>2540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35BF3BBB" w14:textId="77777777" w:rsidR="00485C97" w:rsidRDefault="00485C97" w:rsidP="00485C97">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3582E" id="_x0000_t202" coordsize="21600,21600" o:spt="202" path="m,l,21600r21600,l21600,xe">
                    <v:stroke joinstyle="miter"/>
                    <v:path gradientshapeok="t" o:connecttype="rect"/>
                  </v:shapetype>
                  <v:shape id="Text Box 2" o:spid="_x0000_s1026" type="#_x0000_t202" style="position:absolute;margin-left:112.5pt;margin-top:.2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" fillcolor="white [3212]" stroked="f">
                    <v:textbox style="mso-fit-shape-to-text:t" inset="1mm">
                      <w:txbxContent>
                        <w:p w14:paraId="35BF3BBB" w14:textId="77777777" w:rsidR="00485C97" w:rsidRDefault="00485C97" w:rsidP="00485C97">
                          <w:pPr>
                            <w:spacing w:before="0"/>
                            <w:ind w:left="-57"/>
                          </w:pPr>
                          <w:r w:rsidRPr="00F74694">
                            <w:rPr>
                              <w:b/>
                              <w:bCs/>
                              <w:szCs w:val="24"/>
                            </w:rPr>
                            <w:t xml:space="preserve">Council Working Group </w:t>
                          </w:r>
                          <w:r w:rsidRPr="00F74694">
                            <w:rPr>
                              <w:b/>
                              <w:bCs/>
                              <w:szCs w:val="24"/>
                            </w:rPr>
                            <w:br/>
                          </w:r>
                          <w:r>
                            <w:rPr>
                              <w:b/>
                              <w:bCs/>
                              <w:szCs w:val="24"/>
                            </w:rPr>
                            <w:t>for strategic and financial plans 2028-2031</w:t>
                          </w:r>
                          <w:r>
                            <w:br/>
                          </w:r>
                          <w:r>
                            <w:rPr>
                              <w:sz w:val="20"/>
                            </w:rPr>
                            <w:t xml:space="preserve">Second </w:t>
                          </w:r>
                          <w:r w:rsidRPr="00130599">
                            <w:rPr>
                              <w:sz w:val="20"/>
                            </w:rPr>
                            <w:t xml:space="preserve">meeting </w:t>
                          </w:r>
                          <w:r>
                            <w:rPr>
                              <w:sz w:val="20"/>
                            </w:rPr>
                            <w:t>– From 20 to 21 February 2025</w:t>
                          </w:r>
                        </w:p>
                      </w:txbxContent>
                    </v:textbox>
                  </v:shape>
                </w:pict>
              </mc:Fallback>
            </mc:AlternateContent>
          </w:r>
          <w:r>
            <w:rPr>
              <w:rFonts w:ascii="Arial" w:hAnsi="Arial" w:cs="Arial"/>
              <w:b/>
              <w:bCs/>
              <w:noProof/>
              <w:color w:val="009CD6"/>
              <w:sz w:val="36"/>
              <w:szCs w:val="36"/>
            </w:rPr>
            <w:drawing>
              <wp:inline distT="0" distB="0" distL="0" distR="0" wp14:anchorId="4A46C533" wp14:editId="180809C0">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6F8A2258" w14:textId="77777777" w:rsidR="00485C97" w:rsidRDefault="00485C97" w:rsidP="00485C97">
          <w:pPr>
            <w:pStyle w:val="Header"/>
            <w:jc w:val="right"/>
            <w:rPr>
              <w:rFonts w:ascii="Arial" w:hAnsi="Arial" w:cs="Arial"/>
              <w:b/>
              <w:bCs/>
              <w:color w:val="009CD6"/>
              <w:szCs w:val="18"/>
            </w:rPr>
          </w:pPr>
        </w:p>
        <w:p w14:paraId="21546CCD" w14:textId="77777777" w:rsidR="00485C97" w:rsidRDefault="00485C97" w:rsidP="00485C97">
          <w:pPr>
            <w:pStyle w:val="Header"/>
            <w:jc w:val="right"/>
            <w:rPr>
              <w:rFonts w:ascii="Arial" w:hAnsi="Arial" w:cs="Arial"/>
              <w:b/>
              <w:bCs/>
              <w:color w:val="009CD6"/>
              <w:szCs w:val="18"/>
            </w:rPr>
          </w:pPr>
        </w:p>
        <w:p w14:paraId="3EDEBE6D" w14:textId="77777777" w:rsidR="00485C97" w:rsidRPr="00784011" w:rsidRDefault="00485C97" w:rsidP="00485C97">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C75E8DD" w14:textId="77777777" w:rsidR="00485C97" w:rsidRDefault="00485C97" w:rsidP="00485C97">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76AC486" wp14:editId="2601FDE1">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045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73"/>
    <w:rsid w:val="00003A6D"/>
    <w:rsid w:val="000041A9"/>
    <w:rsid w:val="00004C8C"/>
    <w:rsid w:val="000120E4"/>
    <w:rsid w:val="000210D4"/>
    <w:rsid w:val="000525A1"/>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7539C"/>
    <w:rsid w:val="00175AC2"/>
    <w:rsid w:val="0017609F"/>
    <w:rsid w:val="001A7D1D"/>
    <w:rsid w:val="001B0595"/>
    <w:rsid w:val="001B51DD"/>
    <w:rsid w:val="001C628E"/>
    <w:rsid w:val="001D62DF"/>
    <w:rsid w:val="001E0F7B"/>
    <w:rsid w:val="001E0FBE"/>
    <w:rsid w:val="001E5FE7"/>
    <w:rsid w:val="00205D4E"/>
    <w:rsid w:val="002119FD"/>
    <w:rsid w:val="002130E0"/>
    <w:rsid w:val="00227AAB"/>
    <w:rsid w:val="002408FD"/>
    <w:rsid w:val="00244F7F"/>
    <w:rsid w:val="0025570E"/>
    <w:rsid w:val="002608B7"/>
    <w:rsid w:val="00264425"/>
    <w:rsid w:val="00265875"/>
    <w:rsid w:val="0027303B"/>
    <w:rsid w:val="0028109B"/>
    <w:rsid w:val="002A2188"/>
    <w:rsid w:val="002B1F58"/>
    <w:rsid w:val="002C1C7A"/>
    <w:rsid w:val="002C54E2"/>
    <w:rsid w:val="002E0AC3"/>
    <w:rsid w:val="002F2D06"/>
    <w:rsid w:val="0030160F"/>
    <w:rsid w:val="00301AEE"/>
    <w:rsid w:val="003145DF"/>
    <w:rsid w:val="00320223"/>
    <w:rsid w:val="00322D0D"/>
    <w:rsid w:val="00361465"/>
    <w:rsid w:val="003877F5"/>
    <w:rsid w:val="003942D4"/>
    <w:rsid w:val="0039514F"/>
    <w:rsid w:val="003958A8"/>
    <w:rsid w:val="003B29C2"/>
    <w:rsid w:val="003C20CA"/>
    <w:rsid w:val="003C2533"/>
    <w:rsid w:val="003D2E43"/>
    <w:rsid w:val="003D5A7F"/>
    <w:rsid w:val="003D635C"/>
    <w:rsid w:val="003D71D8"/>
    <w:rsid w:val="004016E2"/>
    <w:rsid w:val="0040435A"/>
    <w:rsid w:val="00416A24"/>
    <w:rsid w:val="00416A30"/>
    <w:rsid w:val="0042059E"/>
    <w:rsid w:val="00431D9E"/>
    <w:rsid w:val="00433CE8"/>
    <w:rsid w:val="00434A5C"/>
    <w:rsid w:val="00435671"/>
    <w:rsid w:val="0045148C"/>
    <w:rsid w:val="004544D9"/>
    <w:rsid w:val="00472BAD"/>
    <w:rsid w:val="00484009"/>
    <w:rsid w:val="00485C97"/>
    <w:rsid w:val="00490E72"/>
    <w:rsid w:val="00491157"/>
    <w:rsid w:val="004921C8"/>
    <w:rsid w:val="00495B0B"/>
    <w:rsid w:val="004A1B8B"/>
    <w:rsid w:val="004B51C8"/>
    <w:rsid w:val="004D1851"/>
    <w:rsid w:val="004D599D"/>
    <w:rsid w:val="004E06D1"/>
    <w:rsid w:val="004E07BA"/>
    <w:rsid w:val="004E2EA5"/>
    <w:rsid w:val="004E3AEB"/>
    <w:rsid w:val="004E7905"/>
    <w:rsid w:val="00500CA4"/>
    <w:rsid w:val="0050223C"/>
    <w:rsid w:val="005170FD"/>
    <w:rsid w:val="005243FF"/>
    <w:rsid w:val="00524E9C"/>
    <w:rsid w:val="005311D6"/>
    <w:rsid w:val="00536422"/>
    <w:rsid w:val="0054526E"/>
    <w:rsid w:val="005536C2"/>
    <w:rsid w:val="00564FBC"/>
    <w:rsid w:val="005800BC"/>
    <w:rsid w:val="00582442"/>
    <w:rsid w:val="005A335D"/>
    <w:rsid w:val="005B0869"/>
    <w:rsid w:val="005B3A0E"/>
    <w:rsid w:val="005B3B9E"/>
    <w:rsid w:val="005C13D4"/>
    <w:rsid w:val="005E2BD5"/>
    <w:rsid w:val="005E4F47"/>
    <w:rsid w:val="005F3269"/>
    <w:rsid w:val="00612123"/>
    <w:rsid w:val="00615961"/>
    <w:rsid w:val="00623AE3"/>
    <w:rsid w:val="006261F4"/>
    <w:rsid w:val="0064737F"/>
    <w:rsid w:val="006535F1"/>
    <w:rsid w:val="0065557D"/>
    <w:rsid w:val="00660D50"/>
    <w:rsid w:val="00662984"/>
    <w:rsid w:val="00663050"/>
    <w:rsid w:val="006716BB"/>
    <w:rsid w:val="006973C8"/>
    <w:rsid w:val="006A4862"/>
    <w:rsid w:val="006B1859"/>
    <w:rsid w:val="006B315E"/>
    <w:rsid w:val="006B6680"/>
    <w:rsid w:val="006B6DCC"/>
    <w:rsid w:val="00701C70"/>
    <w:rsid w:val="00702DEF"/>
    <w:rsid w:val="00706861"/>
    <w:rsid w:val="007247CF"/>
    <w:rsid w:val="00726B8C"/>
    <w:rsid w:val="00727C44"/>
    <w:rsid w:val="0075051B"/>
    <w:rsid w:val="00751571"/>
    <w:rsid w:val="0077110E"/>
    <w:rsid w:val="00775655"/>
    <w:rsid w:val="00782814"/>
    <w:rsid w:val="007849D5"/>
    <w:rsid w:val="00793188"/>
    <w:rsid w:val="00794D34"/>
    <w:rsid w:val="007F21FC"/>
    <w:rsid w:val="00806E3C"/>
    <w:rsid w:val="00813E5E"/>
    <w:rsid w:val="00816C2C"/>
    <w:rsid w:val="0083581B"/>
    <w:rsid w:val="00860EED"/>
    <w:rsid w:val="00863874"/>
    <w:rsid w:val="00864AFF"/>
    <w:rsid w:val="00865925"/>
    <w:rsid w:val="00870C17"/>
    <w:rsid w:val="00872B5C"/>
    <w:rsid w:val="00877BF2"/>
    <w:rsid w:val="00884F3A"/>
    <w:rsid w:val="00891503"/>
    <w:rsid w:val="008A2F06"/>
    <w:rsid w:val="008B4A6A"/>
    <w:rsid w:val="008C7E27"/>
    <w:rsid w:val="008F3822"/>
    <w:rsid w:val="008F7448"/>
    <w:rsid w:val="0090147A"/>
    <w:rsid w:val="0090389B"/>
    <w:rsid w:val="009173EF"/>
    <w:rsid w:val="00923034"/>
    <w:rsid w:val="00932906"/>
    <w:rsid w:val="00961860"/>
    <w:rsid w:val="00961B0B"/>
    <w:rsid w:val="00962D33"/>
    <w:rsid w:val="009B38C3"/>
    <w:rsid w:val="009B44BD"/>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2C1B"/>
    <w:rsid w:val="00B849D3"/>
    <w:rsid w:val="00B84B9D"/>
    <w:rsid w:val="00BA3A51"/>
    <w:rsid w:val="00BC251A"/>
    <w:rsid w:val="00BD032B"/>
    <w:rsid w:val="00BD0614"/>
    <w:rsid w:val="00BD094B"/>
    <w:rsid w:val="00BE2640"/>
    <w:rsid w:val="00BF064B"/>
    <w:rsid w:val="00C01189"/>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143DF"/>
    <w:rsid w:val="00D22C42"/>
    <w:rsid w:val="00D45669"/>
    <w:rsid w:val="00D464CC"/>
    <w:rsid w:val="00D522F6"/>
    <w:rsid w:val="00D65041"/>
    <w:rsid w:val="00D67039"/>
    <w:rsid w:val="00D86E6C"/>
    <w:rsid w:val="00DB00D5"/>
    <w:rsid w:val="00DB1936"/>
    <w:rsid w:val="00DB384B"/>
    <w:rsid w:val="00DF0189"/>
    <w:rsid w:val="00E06FD5"/>
    <w:rsid w:val="00E10E80"/>
    <w:rsid w:val="00E124F0"/>
    <w:rsid w:val="00E227F3"/>
    <w:rsid w:val="00E46673"/>
    <w:rsid w:val="00E4728B"/>
    <w:rsid w:val="00E545C6"/>
    <w:rsid w:val="00E60F04"/>
    <w:rsid w:val="00E63EFF"/>
    <w:rsid w:val="00E65B24"/>
    <w:rsid w:val="00E854E4"/>
    <w:rsid w:val="00E85B67"/>
    <w:rsid w:val="00E86DBF"/>
    <w:rsid w:val="00EB0D6F"/>
    <w:rsid w:val="00EB2232"/>
    <w:rsid w:val="00EC5337"/>
    <w:rsid w:val="00EC7C07"/>
    <w:rsid w:val="00EE49E8"/>
    <w:rsid w:val="00F10B59"/>
    <w:rsid w:val="00F16BAB"/>
    <w:rsid w:val="00F176B4"/>
    <w:rsid w:val="00F2150A"/>
    <w:rsid w:val="00F231D8"/>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C482F"/>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DFD8E"/>
  <w15:docId w15:val="{10FB0E86-6120-4A4E-B5A4-80D4AFC8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5148C"/>
    <w:rPr>
      <w:color w:val="666666"/>
    </w:rPr>
  </w:style>
  <w:style w:type="paragraph" w:customStyle="1" w:styleId="Reasons">
    <w:name w:val="Reasons"/>
    <w:basedOn w:val="Normal"/>
    <w:qFormat/>
    <w:rsid w:val="002408F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CWG-SFP-2028-2031/Pages/defaul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4-CL-C-0139/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544</Words>
  <Characters>3644</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ITU'S strategic plan through capacity building and partnerships</dc:title>
  <dc:subject>ITU Council Working Group for strategic and financial plans 2028-2031</dc:subject>
  <cp:keywords>CWG-SFP</cp:keywords>
  <dc:description/>
  <dcterms:created xsi:type="dcterms:W3CDTF">2025-01-21T08:21:00Z</dcterms:created>
  <dcterms:modified xsi:type="dcterms:W3CDTF">2025-01-21T08:39:00Z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25979bd9578923f6fb82c7b44ff67a096306aeb6cf719f115f9288246fb4fdb4</vt:lpwstr>
  </property>
</Properties>
</file>