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B3CF1" w14:paraId="542A596D" w14:textId="77777777" w:rsidTr="0CD5815B">
        <w:trPr>
          <w:cantSplit/>
          <w:trHeight w:val="23"/>
        </w:trPr>
        <w:tc>
          <w:tcPr>
            <w:tcW w:w="3969" w:type="dxa"/>
            <w:vMerge w:val="restart"/>
            <w:tcMar>
              <w:left w:w="0" w:type="dxa"/>
            </w:tcMar>
          </w:tcPr>
          <w:p w14:paraId="4C7E837C"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C870DD4" w14:textId="0BFBD30D" w:rsidR="00AD3606" w:rsidRPr="007B3CF1" w:rsidRDefault="00E85B67" w:rsidP="00472BAD">
            <w:pPr>
              <w:tabs>
                <w:tab w:val="left" w:pos="851"/>
              </w:tabs>
              <w:spacing w:before="0" w:line="240" w:lineRule="atLeast"/>
              <w:jc w:val="right"/>
              <w:rPr>
                <w:b/>
                <w:lang w:val="fr-FR"/>
              </w:rPr>
            </w:pPr>
            <w:r w:rsidRPr="007B3CF1">
              <w:rPr>
                <w:b/>
                <w:lang w:val="fr-CH"/>
              </w:rPr>
              <w:t xml:space="preserve">Document </w:t>
            </w:r>
            <w:r w:rsidR="00612123" w:rsidRPr="007B3CF1">
              <w:rPr>
                <w:b/>
                <w:lang w:val="fr-CH"/>
              </w:rPr>
              <w:t>CWG-SFP</w:t>
            </w:r>
            <w:r w:rsidR="00524E9C" w:rsidRPr="007B3CF1">
              <w:rPr>
                <w:b/>
                <w:lang w:val="fr-CH"/>
              </w:rPr>
              <w:t>-</w:t>
            </w:r>
            <w:r w:rsidR="00612123" w:rsidRPr="007B3CF1">
              <w:rPr>
                <w:b/>
                <w:lang w:val="fr-CH"/>
              </w:rPr>
              <w:t>2</w:t>
            </w:r>
            <w:r w:rsidR="00F66A26" w:rsidRPr="007B3CF1">
              <w:rPr>
                <w:b/>
                <w:lang w:val="fr-FR"/>
              </w:rPr>
              <w:t>/</w:t>
            </w:r>
            <w:r w:rsidR="00927466" w:rsidRPr="007B3CF1">
              <w:rPr>
                <w:b/>
                <w:lang w:val="fr-FR"/>
              </w:rPr>
              <w:t>4</w:t>
            </w:r>
          </w:p>
        </w:tc>
      </w:tr>
      <w:tr w:rsidR="00AD3606" w:rsidRPr="007B3CF1" w14:paraId="02679F4A" w14:textId="77777777" w:rsidTr="0CD5815B">
        <w:trPr>
          <w:cantSplit/>
        </w:trPr>
        <w:tc>
          <w:tcPr>
            <w:tcW w:w="3969" w:type="dxa"/>
            <w:vMerge/>
          </w:tcPr>
          <w:p w14:paraId="77B59B83" w14:textId="77777777" w:rsidR="00AD3606" w:rsidRPr="007B3CF1"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D1BE688" w14:textId="4A00F296" w:rsidR="00AD3606" w:rsidRPr="007B3CF1" w:rsidRDefault="001E2D4E" w:rsidP="00927466">
            <w:pPr>
              <w:tabs>
                <w:tab w:val="left" w:pos="851"/>
              </w:tabs>
              <w:spacing w:before="0"/>
              <w:jc w:val="right"/>
              <w:rPr>
                <w:b/>
              </w:rPr>
            </w:pPr>
            <w:r>
              <w:rPr>
                <w:b/>
              </w:rPr>
              <w:t>23</w:t>
            </w:r>
            <w:r w:rsidR="00683F3A" w:rsidRPr="007B3CF1">
              <w:rPr>
                <w:b/>
              </w:rPr>
              <w:t xml:space="preserve"> </w:t>
            </w:r>
            <w:r w:rsidR="00927466" w:rsidRPr="007B3CF1">
              <w:rPr>
                <w:b/>
              </w:rPr>
              <w:t>January 2025</w:t>
            </w:r>
          </w:p>
        </w:tc>
      </w:tr>
      <w:tr w:rsidR="00AD3606" w:rsidRPr="007B3CF1" w14:paraId="136B074A" w14:textId="77777777" w:rsidTr="0CD5815B">
        <w:trPr>
          <w:cantSplit/>
          <w:trHeight w:val="23"/>
        </w:trPr>
        <w:tc>
          <w:tcPr>
            <w:tcW w:w="3969" w:type="dxa"/>
            <w:vMerge/>
          </w:tcPr>
          <w:p w14:paraId="5C568FFB" w14:textId="77777777" w:rsidR="00AD3606" w:rsidRPr="007B3CF1" w:rsidRDefault="00AD3606" w:rsidP="00AD3606">
            <w:pPr>
              <w:tabs>
                <w:tab w:val="left" w:pos="851"/>
              </w:tabs>
              <w:spacing w:line="240" w:lineRule="atLeast"/>
              <w:rPr>
                <w:b/>
              </w:rPr>
            </w:pPr>
            <w:bookmarkStart w:id="7" w:name="dorlang" w:colFirst="1" w:colLast="1"/>
            <w:bookmarkEnd w:id="6"/>
          </w:p>
        </w:tc>
        <w:tc>
          <w:tcPr>
            <w:tcW w:w="5245" w:type="dxa"/>
          </w:tcPr>
          <w:p w14:paraId="7FDE6F91" w14:textId="77777777" w:rsidR="00AD3606" w:rsidRPr="007B3CF1" w:rsidRDefault="00891503" w:rsidP="00AD3606">
            <w:pPr>
              <w:tabs>
                <w:tab w:val="left" w:pos="851"/>
              </w:tabs>
              <w:spacing w:before="0" w:line="240" w:lineRule="atLeast"/>
              <w:jc w:val="right"/>
              <w:rPr>
                <w:b/>
              </w:rPr>
            </w:pPr>
            <w:r w:rsidRPr="007B3CF1">
              <w:rPr>
                <w:b/>
              </w:rPr>
              <w:t>English only</w:t>
            </w:r>
          </w:p>
        </w:tc>
      </w:tr>
      <w:tr w:rsidR="00472BAD" w:rsidRPr="007B3CF1" w14:paraId="229A210B" w14:textId="77777777" w:rsidTr="0CD5815B">
        <w:trPr>
          <w:cantSplit/>
          <w:trHeight w:val="23"/>
        </w:trPr>
        <w:tc>
          <w:tcPr>
            <w:tcW w:w="3969" w:type="dxa"/>
          </w:tcPr>
          <w:p w14:paraId="0C034DDF" w14:textId="77777777" w:rsidR="00472BAD" w:rsidRPr="007B3CF1" w:rsidRDefault="00472BAD" w:rsidP="00AD3606">
            <w:pPr>
              <w:tabs>
                <w:tab w:val="left" w:pos="851"/>
              </w:tabs>
              <w:spacing w:line="240" w:lineRule="atLeast"/>
              <w:rPr>
                <w:b/>
              </w:rPr>
            </w:pPr>
          </w:p>
        </w:tc>
        <w:tc>
          <w:tcPr>
            <w:tcW w:w="5245" w:type="dxa"/>
          </w:tcPr>
          <w:p w14:paraId="75CF0906" w14:textId="77777777" w:rsidR="00472BAD" w:rsidRPr="007B3CF1" w:rsidRDefault="00472BAD" w:rsidP="00AD3606">
            <w:pPr>
              <w:tabs>
                <w:tab w:val="left" w:pos="851"/>
              </w:tabs>
              <w:spacing w:before="0" w:line="240" w:lineRule="atLeast"/>
              <w:jc w:val="right"/>
              <w:rPr>
                <w:b/>
              </w:rPr>
            </w:pPr>
          </w:p>
        </w:tc>
      </w:tr>
      <w:tr w:rsidR="00AD3606" w:rsidRPr="007B3CF1" w14:paraId="2913C1C8" w14:textId="77777777" w:rsidTr="0CD5815B">
        <w:trPr>
          <w:cantSplit/>
        </w:trPr>
        <w:tc>
          <w:tcPr>
            <w:tcW w:w="9214" w:type="dxa"/>
            <w:gridSpan w:val="2"/>
            <w:tcMar>
              <w:left w:w="0" w:type="dxa"/>
            </w:tcMar>
          </w:tcPr>
          <w:p w14:paraId="0DF27233" w14:textId="2C66514A" w:rsidR="00AD3606" w:rsidRPr="007B3CF1" w:rsidRDefault="00524E9C" w:rsidP="00E4728B">
            <w:pPr>
              <w:pStyle w:val="Source"/>
              <w:framePr w:hSpace="0" w:wrap="auto" w:vAnchor="margin" w:hAnchor="text" w:xAlign="left" w:yAlign="inline"/>
            </w:pPr>
            <w:bookmarkStart w:id="8" w:name="dsource" w:colFirst="0" w:colLast="0"/>
            <w:bookmarkEnd w:id="7"/>
            <w:r w:rsidRPr="007B3CF1">
              <w:t>Report</w:t>
            </w:r>
            <w:r w:rsidR="004B51C8" w:rsidRPr="007B3CF1">
              <w:t xml:space="preserve"> by the </w:t>
            </w:r>
            <w:r w:rsidR="007F21FC" w:rsidRPr="007B3CF1">
              <w:t>Secretary-General</w:t>
            </w:r>
          </w:p>
        </w:tc>
      </w:tr>
      <w:tr w:rsidR="00AD3606" w:rsidRPr="007B3CF1" w14:paraId="257E5EFD" w14:textId="77777777" w:rsidTr="0CD5815B">
        <w:trPr>
          <w:cantSplit/>
        </w:trPr>
        <w:tc>
          <w:tcPr>
            <w:tcW w:w="9214" w:type="dxa"/>
            <w:gridSpan w:val="2"/>
            <w:tcMar>
              <w:left w:w="0" w:type="dxa"/>
            </w:tcMar>
          </w:tcPr>
          <w:p w14:paraId="75FDD26C" w14:textId="443372F4" w:rsidR="00AD3606" w:rsidRPr="007B3CF1" w:rsidRDefault="001E2D4E" w:rsidP="00E4728B">
            <w:pPr>
              <w:pStyle w:val="Subtitle"/>
              <w:framePr w:hSpace="0" w:wrap="auto" w:xAlign="left" w:yAlign="inline"/>
            </w:pPr>
            <w:bookmarkStart w:id="9" w:name="dtitle1" w:colFirst="0" w:colLast="0"/>
            <w:bookmarkEnd w:id="8"/>
            <w:r w:rsidRPr="007B3CF1">
              <w:t xml:space="preserve">GUIDELINES FOR HARMONIZING PLENIPOTENTIARY </w:t>
            </w:r>
            <w:r>
              <w:t xml:space="preserve">CONFERENCE </w:t>
            </w:r>
            <w:r w:rsidRPr="007B3CF1">
              <w:t>RESOLUTIONS AND DECISIONS</w:t>
            </w:r>
          </w:p>
        </w:tc>
      </w:tr>
      <w:tr w:rsidR="00AD3606" w:rsidRPr="007B3CF1" w14:paraId="0FCEA4E4" w14:textId="77777777" w:rsidTr="0CD5815B">
        <w:trPr>
          <w:cantSplit/>
        </w:trPr>
        <w:tc>
          <w:tcPr>
            <w:tcW w:w="9214" w:type="dxa"/>
            <w:gridSpan w:val="2"/>
            <w:tcBorders>
              <w:top w:val="single" w:sz="4" w:space="0" w:color="auto"/>
              <w:bottom w:val="single" w:sz="4" w:space="0" w:color="auto"/>
            </w:tcBorders>
            <w:tcMar>
              <w:left w:w="0" w:type="dxa"/>
            </w:tcMar>
          </w:tcPr>
          <w:p w14:paraId="7C0EDD28" w14:textId="77777777" w:rsidR="00AD3606" w:rsidRPr="007B3CF1" w:rsidRDefault="00F16BAB" w:rsidP="00F16BAB">
            <w:pPr>
              <w:spacing w:before="160"/>
              <w:rPr>
                <w:b/>
                <w:bCs/>
                <w:sz w:val="26"/>
                <w:szCs w:val="26"/>
              </w:rPr>
            </w:pPr>
            <w:r w:rsidRPr="007B3CF1">
              <w:rPr>
                <w:b/>
                <w:bCs/>
                <w:sz w:val="26"/>
                <w:szCs w:val="26"/>
              </w:rPr>
              <w:t>Purpose</w:t>
            </w:r>
          </w:p>
          <w:p w14:paraId="61475226" w14:textId="41BD6F27" w:rsidR="00AD3606" w:rsidRPr="007B3CF1" w:rsidRDefault="003971BB" w:rsidP="00F16BAB">
            <w:r w:rsidRPr="007B3CF1">
              <w:t xml:space="preserve">This document presents guidelines to be considered by Member States when drafting and reviewing resolutions </w:t>
            </w:r>
            <w:r w:rsidR="00450EC7" w:rsidRPr="007B3CF1">
              <w:t xml:space="preserve">and decisions </w:t>
            </w:r>
            <w:r w:rsidRPr="007B3CF1">
              <w:t xml:space="preserve">for the </w:t>
            </w:r>
            <w:r w:rsidR="00114604">
              <w:t xml:space="preserve">next </w:t>
            </w:r>
            <w:r w:rsidRPr="007B3CF1">
              <w:t>ITU Plenipotentiary Conference.</w:t>
            </w:r>
          </w:p>
          <w:p w14:paraId="08275725" w14:textId="77777777" w:rsidR="00AD3606" w:rsidRPr="007B3CF1" w:rsidRDefault="00AD3606" w:rsidP="00F16BAB">
            <w:pPr>
              <w:spacing w:before="160"/>
              <w:rPr>
                <w:b/>
                <w:bCs/>
                <w:sz w:val="26"/>
                <w:szCs w:val="26"/>
              </w:rPr>
            </w:pPr>
            <w:r w:rsidRPr="007B3CF1">
              <w:rPr>
                <w:b/>
                <w:bCs/>
                <w:sz w:val="26"/>
                <w:szCs w:val="26"/>
              </w:rPr>
              <w:t>Action required</w:t>
            </w:r>
          </w:p>
          <w:p w14:paraId="6846EA06" w14:textId="51E75276" w:rsidR="00B82C1B" w:rsidRPr="007B3CF1" w:rsidRDefault="00B82C1B" w:rsidP="00B82C1B">
            <w:pPr>
              <w:spacing w:before="160"/>
            </w:pPr>
            <w:r>
              <w:t xml:space="preserve">The Council Working Group for strategic and financial plans 2028-2031 is invited to </w:t>
            </w:r>
            <w:r w:rsidR="00E140CB" w:rsidRPr="0CD5815B">
              <w:rPr>
                <w:b/>
                <w:bCs/>
              </w:rPr>
              <w:t xml:space="preserve">consider </w:t>
            </w:r>
            <w:r w:rsidR="00E140CB">
              <w:t xml:space="preserve">the guidelines </w:t>
            </w:r>
            <w:r w:rsidR="006E1DEE">
              <w:t xml:space="preserve">and </w:t>
            </w:r>
            <w:r w:rsidR="006E1DEE" w:rsidRPr="006E1DEE">
              <w:t xml:space="preserve">to </w:t>
            </w:r>
            <w:r w:rsidR="006E1DEE" w:rsidRPr="00983198">
              <w:rPr>
                <w:b/>
                <w:bCs/>
              </w:rPr>
              <w:t xml:space="preserve">recommend </w:t>
            </w:r>
            <w:r w:rsidR="006E1DEE" w:rsidRPr="006E1DEE">
              <w:t>Council 2025 to approve</w:t>
            </w:r>
            <w:r w:rsidR="006E1DEE">
              <w:t xml:space="preserve"> them</w:t>
            </w:r>
            <w:r>
              <w:t>.</w:t>
            </w:r>
          </w:p>
          <w:p w14:paraId="038CE23E" w14:textId="77777777" w:rsidR="00AD3606" w:rsidRPr="007B3CF1" w:rsidRDefault="00CD3C91" w:rsidP="00CD3C91">
            <w:r w:rsidRPr="007B3CF1">
              <w:t>_______________</w:t>
            </w:r>
          </w:p>
          <w:p w14:paraId="4ED013E1" w14:textId="77777777" w:rsidR="00AD3606" w:rsidRPr="007B3CF1" w:rsidRDefault="00AD3606" w:rsidP="00663050">
            <w:pPr>
              <w:spacing w:before="160"/>
              <w:rPr>
                <w:b/>
                <w:bCs/>
                <w:sz w:val="26"/>
                <w:szCs w:val="26"/>
              </w:rPr>
            </w:pPr>
            <w:r w:rsidRPr="007B3CF1">
              <w:rPr>
                <w:b/>
                <w:bCs/>
                <w:sz w:val="26"/>
                <w:szCs w:val="26"/>
              </w:rPr>
              <w:t>References</w:t>
            </w:r>
            <w:r w:rsidR="00301AEE" w:rsidRPr="007B3CF1">
              <w:rPr>
                <w:b/>
                <w:bCs/>
                <w:sz w:val="26"/>
                <w:szCs w:val="26"/>
              </w:rPr>
              <w:t xml:space="preserve"> </w:t>
            </w:r>
          </w:p>
          <w:p w14:paraId="1F9770C9" w14:textId="62A22D3E" w:rsidR="00AD3606" w:rsidRPr="007B3CF1" w:rsidRDefault="00B82C1B" w:rsidP="00F16BAB">
            <w:pPr>
              <w:spacing w:after="160"/>
              <w:rPr>
                <w:i/>
                <w:iCs/>
                <w:sz w:val="22"/>
                <w:szCs w:val="22"/>
              </w:rPr>
            </w:pPr>
            <w:hyperlink r:id="rId11" w:history="1">
              <w:r w:rsidRPr="007B3CF1">
                <w:rPr>
                  <w:rStyle w:val="Hyperlink"/>
                  <w:i/>
                  <w:iCs/>
                  <w:sz w:val="22"/>
                  <w:szCs w:val="22"/>
                </w:rPr>
                <w:t>CWG-SFP website</w:t>
              </w:r>
            </w:hyperlink>
            <w:r w:rsidRPr="007B3CF1">
              <w:rPr>
                <w:i/>
                <w:iCs/>
                <w:sz w:val="22"/>
                <w:szCs w:val="22"/>
              </w:rPr>
              <w:t xml:space="preserve">; </w:t>
            </w:r>
            <w:hyperlink r:id="rId12" w:history="1">
              <w:r w:rsidR="00652314" w:rsidRPr="007B3CF1">
                <w:rPr>
                  <w:rStyle w:val="Hyperlink"/>
                  <w:i/>
                  <w:iCs/>
                  <w:sz w:val="22"/>
                  <w:szCs w:val="22"/>
                </w:rPr>
                <w:t>Resolution 1428 (C24)</w:t>
              </w:r>
            </w:hyperlink>
          </w:p>
        </w:tc>
      </w:tr>
    </w:tbl>
    <w:p w14:paraId="05987874" w14:textId="77777777" w:rsidR="00E227F3" w:rsidRPr="007B3CF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551A167" w14:textId="77777777" w:rsidR="0090147A" w:rsidRPr="007B3CF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7B3CF1">
        <w:br w:type="page"/>
      </w:r>
    </w:p>
    <w:bookmarkEnd w:id="5"/>
    <w:bookmarkEnd w:id="10"/>
    <w:p w14:paraId="2C5D4E1D" w14:textId="52EC1DC9" w:rsidR="00F069A1" w:rsidRPr="007B3CF1" w:rsidRDefault="007B3CF1" w:rsidP="007B3CF1">
      <w:pPr>
        <w:pStyle w:val="Heading1"/>
      </w:pPr>
      <w:r w:rsidRPr="007B3CF1">
        <w:lastRenderedPageBreak/>
        <w:t>1</w:t>
      </w:r>
      <w:r w:rsidRPr="007B3CF1">
        <w:tab/>
      </w:r>
      <w:r w:rsidR="00F069A1" w:rsidRPr="007B3CF1">
        <w:t>Introduction</w:t>
      </w:r>
    </w:p>
    <w:p w14:paraId="67A9CD26" w14:textId="104D279E" w:rsidR="00A514A4" w:rsidRPr="007B3CF1" w:rsidRDefault="00065727" w:rsidP="007B3CF1">
      <w:pPr>
        <w:jc w:val="both"/>
      </w:pPr>
      <w:r w:rsidRPr="007B3CF1">
        <w:t xml:space="preserve">Council Resolution </w:t>
      </w:r>
      <w:r w:rsidR="005C7F29" w:rsidRPr="007B3CF1">
        <w:t xml:space="preserve">1428 </w:t>
      </w:r>
      <w:r w:rsidR="00786DC9" w:rsidRPr="007B3CF1">
        <w:t xml:space="preserve">(C24) </w:t>
      </w:r>
      <w:r w:rsidR="005C7F29" w:rsidRPr="007B3CF1">
        <w:t xml:space="preserve">created the </w:t>
      </w:r>
      <w:r w:rsidR="00CA52D5" w:rsidRPr="007B3CF1">
        <w:t xml:space="preserve">Council Working Group for strategic and financial plans (CWG-SFP) and </w:t>
      </w:r>
      <w:r w:rsidR="00C20B2D" w:rsidRPr="007B3CF1">
        <w:t xml:space="preserve">established its terms of reference, </w:t>
      </w:r>
      <w:r w:rsidR="00CA7BD5" w:rsidRPr="007B3CF1">
        <w:t xml:space="preserve">among </w:t>
      </w:r>
      <w:r w:rsidR="00C20B2D" w:rsidRPr="007B3CF1">
        <w:t xml:space="preserve">which </w:t>
      </w:r>
      <w:r w:rsidR="00CA7BD5" w:rsidRPr="007B3CF1">
        <w:t xml:space="preserve">it </w:t>
      </w:r>
      <w:r w:rsidR="00C20B2D" w:rsidRPr="007B3CF1">
        <w:t>includes</w:t>
      </w:r>
      <w:r w:rsidR="00CA52D5" w:rsidRPr="007B3CF1">
        <w:t xml:space="preserve"> to </w:t>
      </w:r>
      <w:r w:rsidR="00401732" w:rsidRPr="007B3CF1">
        <w:t>continue the mapping exercise of resolutions and decisions with the view to harmonize the outcomes of the Plenipotentiary Conference</w:t>
      </w:r>
      <w:r w:rsidR="008B4B53" w:rsidRPr="007B3CF1">
        <w:t xml:space="preserve"> (PP)</w:t>
      </w:r>
      <w:r w:rsidR="00B472BF" w:rsidRPr="007B3CF1">
        <w:t>.</w:t>
      </w:r>
    </w:p>
    <w:p w14:paraId="3EDE6BDE" w14:textId="7B6B2835" w:rsidR="00B472BF" w:rsidRPr="007B3CF1" w:rsidRDefault="00296798" w:rsidP="007B3CF1">
      <w:pPr>
        <w:jc w:val="both"/>
      </w:pPr>
      <w:r w:rsidRPr="007B3CF1">
        <w:t xml:space="preserve">The mapping of resolutions, </w:t>
      </w:r>
      <w:r w:rsidR="004F2E9C" w:rsidRPr="007B3CF1">
        <w:t xml:space="preserve">reflecting the linkage </w:t>
      </w:r>
      <w:r w:rsidR="00A267AE" w:rsidRPr="007B3CF1">
        <w:t xml:space="preserve">between </w:t>
      </w:r>
      <w:r w:rsidR="00871439" w:rsidRPr="007B3CF1">
        <w:t>r</w:t>
      </w:r>
      <w:r w:rsidR="00A267AE" w:rsidRPr="007B3CF1">
        <w:t xml:space="preserve">esolutions of </w:t>
      </w:r>
      <w:r w:rsidRPr="007B3CF1">
        <w:t xml:space="preserve">ITU world conferences and </w:t>
      </w:r>
      <w:r w:rsidR="00B94E24" w:rsidRPr="007B3CF1">
        <w:t xml:space="preserve">assemblies can be found in the </w:t>
      </w:r>
      <w:r w:rsidR="006279AB" w:rsidRPr="007B3CF1">
        <w:t xml:space="preserve">Intersectoral coordination webpage </w:t>
      </w:r>
      <w:hyperlink r:id="rId13" w:history="1">
        <w:r w:rsidR="004F2E9C" w:rsidRPr="007B3CF1">
          <w:rPr>
            <w:rStyle w:val="Hyperlink"/>
          </w:rPr>
          <w:t>here</w:t>
        </w:r>
      </w:hyperlink>
      <w:r w:rsidR="004F2E9C" w:rsidRPr="007B3CF1">
        <w:t>.</w:t>
      </w:r>
    </w:p>
    <w:p w14:paraId="7635085A" w14:textId="2167508A" w:rsidR="00932F73" w:rsidRPr="007B3CF1" w:rsidRDefault="47D358E7" w:rsidP="007B3CF1">
      <w:pPr>
        <w:jc w:val="both"/>
      </w:pPr>
      <w:r w:rsidRPr="007B3CF1">
        <w:t>In addition, t</w:t>
      </w:r>
      <w:r w:rsidR="55405214" w:rsidRPr="007B3CF1">
        <w:t xml:space="preserve">his document </w:t>
      </w:r>
      <w:r w:rsidR="71307249" w:rsidRPr="007B3CF1">
        <w:t xml:space="preserve">provides guidelines for </w:t>
      </w:r>
      <w:r w:rsidR="60E30493" w:rsidRPr="007B3CF1">
        <w:t>M</w:t>
      </w:r>
      <w:r w:rsidR="71307249" w:rsidRPr="007B3CF1">
        <w:t>ember</w:t>
      </w:r>
      <w:r w:rsidR="34D0FBC5" w:rsidRPr="007B3CF1">
        <w:t xml:space="preserve"> States</w:t>
      </w:r>
      <w:r w:rsidR="71307249" w:rsidRPr="007B3CF1">
        <w:t xml:space="preserve"> on how to propose draft </w:t>
      </w:r>
      <w:r w:rsidR="71307249" w:rsidRPr="001E2D4E">
        <w:rPr>
          <w:spacing w:val="-2"/>
        </w:rPr>
        <w:t xml:space="preserve">new and revised in-force </w:t>
      </w:r>
      <w:r w:rsidR="2A97D261" w:rsidRPr="001E2D4E">
        <w:rPr>
          <w:spacing w:val="-2"/>
        </w:rPr>
        <w:t>Plenipotentiary</w:t>
      </w:r>
      <w:r w:rsidR="71307249" w:rsidRPr="001E2D4E">
        <w:rPr>
          <w:spacing w:val="-2"/>
        </w:rPr>
        <w:t xml:space="preserve"> </w:t>
      </w:r>
      <w:r w:rsidR="058B0124" w:rsidRPr="001E2D4E">
        <w:rPr>
          <w:spacing w:val="-2"/>
        </w:rPr>
        <w:t xml:space="preserve">resolutions </w:t>
      </w:r>
      <w:r w:rsidR="4914F263" w:rsidRPr="001E2D4E">
        <w:rPr>
          <w:spacing w:val="-2"/>
        </w:rPr>
        <w:t xml:space="preserve">and </w:t>
      </w:r>
      <w:r w:rsidR="058B0124" w:rsidRPr="001E2D4E">
        <w:rPr>
          <w:spacing w:val="-2"/>
        </w:rPr>
        <w:t xml:space="preserve">decisions </w:t>
      </w:r>
      <w:r w:rsidR="71307249" w:rsidRPr="001E2D4E">
        <w:rPr>
          <w:spacing w:val="-2"/>
        </w:rPr>
        <w:t>in the preparation for</w:t>
      </w:r>
      <w:r w:rsidR="71307249" w:rsidRPr="007B3CF1">
        <w:t xml:space="preserve"> </w:t>
      </w:r>
      <w:r w:rsidR="2A97D261" w:rsidRPr="007B3CF1">
        <w:t>PP</w:t>
      </w:r>
      <w:r w:rsidR="7C077670" w:rsidRPr="007B3CF1">
        <w:t>-</w:t>
      </w:r>
      <w:r w:rsidR="2A97D261" w:rsidRPr="007B3CF1">
        <w:t>26</w:t>
      </w:r>
      <w:r w:rsidR="71307249" w:rsidRPr="007B3CF1">
        <w:t>.</w:t>
      </w:r>
    </w:p>
    <w:p w14:paraId="19CB622E" w14:textId="59774702" w:rsidR="00FF7CC8" w:rsidRPr="007B3CF1" w:rsidRDefault="007B3CF1" w:rsidP="007B3CF1">
      <w:pPr>
        <w:pStyle w:val="Heading1"/>
      </w:pPr>
      <w:r w:rsidRPr="007B3CF1">
        <w:t>2</w:t>
      </w:r>
      <w:r w:rsidRPr="007B3CF1">
        <w:tab/>
      </w:r>
      <w:r w:rsidR="00FF7CC8" w:rsidRPr="007B3CF1">
        <w:t>Guidelines</w:t>
      </w:r>
      <w:r w:rsidR="00183BA4" w:rsidRPr="007B3CF1">
        <w:t xml:space="preserve"> to harmonize the outcomes of PP-26</w:t>
      </w:r>
    </w:p>
    <w:p w14:paraId="4B37E945" w14:textId="6322F5E1" w:rsidR="001071DA" w:rsidRPr="007B3CF1" w:rsidRDefault="00D50745" w:rsidP="003928A5">
      <w:pPr>
        <w:jc w:val="both"/>
      </w:pPr>
      <w:r w:rsidRPr="007B3CF1">
        <w:t xml:space="preserve">When preparing for </w:t>
      </w:r>
      <w:r w:rsidR="008055EE" w:rsidRPr="007B3CF1">
        <w:t xml:space="preserve">PP-26, before proposing new </w:t>
      </w:r>
      <w:r w:rsidR="00114604">
        <w:t>r</w:t>
      </w:r>
      <w:r w:rsidR="00114604" w:rsidRPr="007B3CF1">
        <w:t>esolutions</w:t>
      </w:r>
      <w:r w:rsidR="00E6247D" w:rsidRPr="007B3CF1">
        <w:t>/</w:t>
      </w:r>
      <w:r w:rsidR="00114604">
        <w:t>d</w:t>
      </w:r>
      <w:r w:rsidR="00114604" w:rsidRPr="007B3CF1">
        <w:t xml:space="preserve">ecisions </w:t>
      </w:r>
      <w:r w:rsidR="008055EE" w:rsidRPr="007B3CF1">
        <w:t xml:space="preserve">to be </w:t>
      </w:r>
      <w:r w:rsidR="009F05D2" w:rsidRPr="007B3CF1">
        <w:t xml:space="preserve">discussed and </w:t>
      </w:r>
      <w:r w:rsidR="008055EE" w:rsidRPr="007B3CF1">
        <w:t xml:space="preserve">approved, Member States should </w:t>
      </w:r>
      <w:r w:rsidR="00B80FBE" w:rsidRPr="007B3CF1">
        <w:t xml:space="preserve">first </w:t>
      </w:r>
      <w:r w:rsidR="008055EE" w:rsidRPr="007B3CF1">
        <w:t>re</w:t>
      </w:r>
      <w:r w:rsidR="00B80FBE" w:rsidRPr="007B3CF1">
        <w:t>view existing PP</w:t>
      </w:r>
      <w:r w:rsidR="00114604">
        <w:t xml:space="preserve"> r</w:t>
      </w:r>
      <w:r w:rsidR="00B80FBE" w:rsidRPr="007B3CF1">
        <w:t>esolutions</w:t>
      </w:r>
      <w:r w:rsidR="00331D8D" w:rsidRPr="007B3CF1">
        <w:t>/</w:t>
      </w:r>
      <w:r w:rsidR="00114604">
        <w:t>d</w:t>
      </w:r>
      <w:r w:rsidR="00114604" w:rsidRPr="007B3CF1">
        <w:t xml:space="preserve">ecisions </w:t>
      </w:r>
      <w:r w:rsidR="00B80FBE" w:rsidRPr="007B3CF1">
        <w:t xml:space="preserve">to assess whether they can be </w:t>
      </w:r>
      <w:r w:rsidR="00B255C9" w:rsidRPr="007B3CF1">
        <w:t>edited</w:t>
      </w:r>
      <w:r w:rsidR="00D25DF5" w:rsidRPr="007B3CF1">
        <w:t xml:space="preserve">. This </w:t>
      </w:r>
      <w:r w:rsidR="00B255C9" w:rsidRPr="007B3CF1">
        <w:t>includes</w:t>
      </w:r>
      <w:r w:rsidR="006821A4" w:rsidRPr="007B3CF1">
        <w:t xml:space="preserve">, </w:t>
      </w:r>
      <w:r w:rsidR="00B255C9" w:rsidRPr="007B3CF1">
        <w:t xml:space="preserve">updates, </w:t>
      </w:r>
      <w:r w:rsidR="006821A4" w:rsidRPr="007B3CF1">
        <w:t xml:space="preserve">simplification/shortening </w:t>
      </w:r>
      <w:r w:rsidR="009F05D2" w:rsidRPr="007B3CF1">
        <w:t xml:space="preserve">texts, </w:t>
      </w:r>
      <w:r w:rsidR="006821A4" w:rsidRPr="007B3CF1">
        <w:t xml:space="preserve">identifying </w:t>
      </w:r>
      <w:r w:rsidR="00B255C9" w:rsidRPr="007B3CF1">
        <w:t>overlap</w:t>
      </w:r>
      <w:r w:rsidR="002A2EB7" w:rsidRPr="007B3CF1">
        <w:t xml:space="preserve"> and/or </w:t>
      </w:r>
      <w:r w:rsidR="00B255C9" w:rsidRPr="007B3CF1">
        <w:t>candidates for merging or suppression</w:t>
      </w:r>
      <w:r w:rsidR="00F0226F" w:rsidRPr="007B3CF1">
        <w:t>.</w:t>
      </w:r>
      <w:r w:rsidR="00D020EA" w:rsidRPr="007B3CF1">
        <w:t xml:space="preserve"> Even new themes can be </w:t>
      </w:r>
      <w:r w:rsidR="009E3BA2" w:rsidRPr="007B3CF1">
        <w:t xml:space="preserve">considered to be </w:t>
      </w:r>
      <w:r w:rsidR="00D020EA" w:rsidRPr="007B3CF1">
        <w:t>included in existing resolutions</w:t>
      </w:r>
      <w:r w:rsidR="00A55AA2" w:rsidRPr="007B3CF1">
        <w:t xml:space="preserve"> or decisions</w:t>
      </w:r>
      <w:r w:rsidR="00D020EA" w:rsidRPr="007B3CF1">
        <w:t>.</w:t>
      </w:r>
    </w:p>
    <w:p w14:paraId="494DC77C" w14:textId="557C82B6" w:rsidR="00CF0364" w:rsidRPr="007B3CF1" w:rsidRDefault="004329BD" w:rsidP="003928A5">
      <w:pPr>
        <w:jc w:val="both"/>
      </w:pPr>
      <w:r w:rsidRPr="007B3CF1">
        <w:t xml:space="preserve">In view </w:t>
      </w:r>
      <w:r w:rsidR="00114604">
        <w:t>of</w:t>
      </w:r>
      <w:r w:rsidR="00114604" w:rsidRPr="007B3CF1">
        <w:t xml:space="preserve"> harmoniz</w:t>
      </w:r>
      <w:r w:rsidR="00114604">
        <w:t>ing</w:t>
      </w:r>
      <w:r w:rsidR="00114604" w:rsidRPr="007B3CF1">
        <w:t xml:space="preserve"> </w:t>
      </w:r>
      <w:r w:rsidRPr="007B3CF1">
        <w:t>the outcomes of PP</w:t>
      </w:r>
      <w:r w:rsidR="00A55AA2" w:rsidRPr="007B3CF1">
        <w:t>-26</w:t>
      </w:r>
      <w:r w:rsidRPr="007B3CF1">
        <w:t xml:space="preserve">, some options when reviewing resolutions </w:t>
      </w:r>
      <w:r w:rsidR="0037236C" w:rsidRPr="007B3CF1">
        <w:t xml:space="preserve">and decisions </w:t>
      </w:r>
      <w:r w:rsidRPr="007B3CF1">
        <w:t>are:</w:t>
      </w:r>
    </w:p>
    <w:p w14:paraId="16539901" w14:textId="07C82949" w:rsidR="000D091F" w:rsidRPr="007B3CF1" w:rsidRDefault="6A0F5F34" w:rsidP="007B3CF1">
      <w:pPr>
        <w:pStyle w:val="Headingb"/>
      </w:pPr>
      <w:r>
        <w:t>Modification</w:t>
      </w:r>
      <w:r w:rsidR="4722AC86">
        <w:t xml:space="preserve"> </w:t>
      </w:r>
    </w:p>
    <w:p w14:paraId="2907F118" w14:textId="24E47F1B" w:rsidR="00015984" w:rsidRPr="007B3CF1" w:rsidRDefault="791CCB12" w:rsidP="000D091F">
      <w:pPr>
        <w:jc w:val="both"/>
      </w:pPr>
      <w:r>
        <w:t xml:space="preserve">A </w:t>
      </w:r>
      <w:r w:rsidR="058B0124">
        <w:t>resolution</w:t>
      </w:r>
      <w:r>
        <w:t>/</w:t>
      </w:r>
      <w:r w:rsidR="058B0124">
        <w:t xml:space="preserve">decision </w:t>
      </w:r>
      <w:r>
        <w:t xml:space="preserve">can be </w:t>
      </w:r>
      <w:r w:rsidRPr="09121548">
        <w:rPr>
          <w:b/>
          <w:bCs/>
          <w:i/>
          <w:iCs/>
        </w:rPr>
        <w:t>m</w:t>
      </w:r>
      <w:r w:rsidR="6A0F5F34" w:rsidRPr="09121548">
        <w:rPr>
          <w:b/>
          <w:bCs/>
          <w:i/>
          <w:iCs/>
        </w:rPr>
        <w:t>odified</w:t>
      </w:r>
      <w:r w:rsidR="6A0F5F34">
        <w:t xml:space="preserve"> </w:t>
      </w:r>
      <w:r w:rsidR="406DD1EF">
        <w:t>(MOD or (MOD)</w:t>
      </w:r>
      <w:r w:rsidR="21D235E4">
        <w:t>)</w:t>
      </w:r>
      <w:r w:rsidR="406DD1EF">
        <w:t xml:space="preserve"> </w:t>
      </w:r>
      <w:r w:rsidR="6A0F5F34">
        <w:t xml:space="preserve">to bring </w:t>
      </w:r>
      <w:r>
        <w:t>it</w:t>
      </w:r>
      <w:r w:rsidR="6A0F5F34">
        <w:t xml:space="preserve"> up-to-date, or for improvement, or for housekeeping; </w:t>
      </w:r>
      <w:r w:rsidR="681E8F54">
        <w:t>by being</w:t>
      </w:r>
      <w:r>
        <w:t xml:space="preserve"> </w:t>
      </w:r>
    </w:p>
    <w:p w14:paraId="411B57F2" w14:textId="7B93FEB5" w:rsidR="000D091F" w:rsidRPr="007B3CF1" w:rsidRDefault="007B3CF1" w:rsidP="007B3CF1">
      <w:pPr>
        <w:pStyle w:val="enumlev1"/>
        <w:jc w:val="both"/>
      </w:pPr>
      <w:r>
        <w:rPr>
          <w:b/>
          <w:bCs/>
          <w:i/>
          <w:iCs/>
        </w:rPr>
        <w:tab/>
      </w:r>
      <w:r w:rsidR="00184A96" w:rsidRPr="007B3CF1">
        <w:rPr>
          <w:b/>
          <w:bCs/>
          <w:i/>
          <w:iCs/>
        </w:rPr>
        <w:t>m</w:t>
      </w:r>
      <w:r w:rsidR="000D091F" w:rsidRPr="007B3CF1">
        <w:rPr>
          <w:b/>
          <w:bCs/>
          <w:i/>
          <w:iCs/>
        </w:rPr>
        <w:t>erged</w:t>
      </w:r>
      <w:r w:rsidR="000D091F" w:rsidRPr="007B3CF1">
        <w:t xml:space="preserve"> for </w:t>
      </w:r>
      <w:r w:rsidR="00114604" w:rsidRPr="007B3CF1">
        <w:t>r</w:t>
      </w:r>
      <w:r w:rsidR="000D091F" w:rsidRPr="007B3CF1">
        <w:t>esolutions</w:t>
      </w:r>
      <w:r w:rsidR="004F06F3" w:rsidRPr="007B3CF1">
        <w:t>/</w:t>
      </w:r>
      <w:r w:rsidR="00114604" w:rsidRPr="007B3CF1">
        <w:t>d</w:t>
      </w:r>
      <w:r w:rsidR="004F06F3" w:rsidRPr="007B3CF1">
        <w:t>ecisions</w:t>
      </w:r>
      <w:r w:rsidR="000D091F" w:rsidRPr="007B3CF1">
        <w:t xml:space="preserve"> thematically related or </w:t>
      </w:r>
      <w:r w:rsidR="00114604" w:rsidRPr="007B3CF1">
        <w:t>r</w:t>
      </w:r>
      <w:r w:rsidR="000D091F" w:rsidRPr="007B3CF1">
        <w:t>esolutions</w:t>
      </w:r>
      <w:r w:rsidR="004F06F3" w:rsidRPr="007B3CF1">
        <w:t>/</w:t>
      </w:r>
      <w:r w:rsidR="00114604" w:rsidRPr="007B3CF1">
        <w:t>d</w:t>
      </w:r>
      <w:r w:rsidR="004F06F3" w:rsidRPr="007B3CF1">
        <w:t>ecisions</w:t>
      </w:r>
      <w:r w:rsidR="000D091F" w:rsidRPr="007B3CF1">
        <w:t xml:space="preserve"> of the same category/subject</w:t>
      </w:r>
      <w:r w:rsidR="004F06F3" w:rsidRPr="007B3CF1">
        <w:t xml:space="preserve">, </w:t>
      </w:r>
      <w:r w:rsidR="000D091F" w:rsidRPr="007B3CF1">
        <w:t xml:space="preserve">so as to reduce redundancy or overlap, including grouping together scattered information found in various </w:t>
      </w:r>
      <w:r w:rsidR="00114604" w:rsidRPr="007B3CF1">
        <w:t>r</w:t>
      </w:r>
      <w:r w:rsidR="000D091F" w:rsidRPr="007B3CF1">
        <w:t>esolutions</w:t>
      </w:r>
      <w:r w:rsidR="00015984" w:rsidRPr="007B3CF1">
        <w:t>/</w:t>
      </w:r>
      <w:r w:rsidR="00114604" w:rsidRPr="007B3CF1">
        <w:t>d</w:t>
      </w:r>
      <w:r w:rsidR="00015984" w:rsidRPr="007B3CF1">
        <w:t>ecisions</w:t>
      </w:r>
      <w:r w:rsidR="000D091F" w:rsidRPr="007B3CF1">
        <w:t xml:space="preserve"> into one </w:t>
      </w:r>
      <w:r w:rsidR="00114604" w:rsidRPr="007B3CF1">
        <w:t>r</w:t>
      </w:r>
      <w:r w:rsidR="000D091F" w:rsidRPr="007B3CF1">
        <w:t>esolution</w:t>
      </w:r>
      <w:r w:rsidR="00015984" w:rsidRPr="007B3CF1">
        <w:t>/</w:t>
      </w:r>
      <w:r w:rsidR="00114604" w:rsidRPr="007B3CF1">
        <w:t>d</w:t>
      </w:r>
      <w:r w:rsidR="00032082" w:rsidRPr="007B3CF1">
        <w:t>ecision;</w:t>
      </w:r>
      <w:r w:rsidR="000D091F" w:rsidRPr="007B3CF1">
        <w:t xml:space="preserve"> or</w:t>
      </w:r>
    </w:p>
    <w:p w14:paraId="5109B502" w14:textId="7FCA2727" w:rsidR="000D091F" w:rsidRPr="007B3CF1" w:rsidRDefault="007B3CF1" w:rsidP="007B3CF1">
      <w:pPr>
        <w:pStyle w:val="enumlev1"/>
        <w:jc w:val="both"/>
      </w:pPr>
      <w:r>
        <w:rPr>
          <w:b/>
          <w:bCs/>
          <w:i/>
          <w:iCs/>
        </w:rPr>
        <w:tab/>
      </w:r>
      <w:r w:rsidR="00015984" w:rsidRPr="007B3CF1">
        <w:rPr>
          <w:b/>
          <w:bCs/>
          <w:i/>
          <w:iCs/>
        </w:rPr>
        <w:t>s</w:t>
      </w:r>
      <w:r w:rsidR="000D091F" w:rsidRPr="007B3CF1">
        <w:rPr>
          <w:b/>
          <w:bCs/>
          <w:i/>
          <w:iCs/>
        </w:rPr>
        <w:t>implified</w:t>
      </w:r>
      <w:r w:rsidR="000D091F" w:rsidRPr="007B3CF1">
        <w:t xml:space="preserve"> where possible or reasonable while keeping adequate essential information, making texts more concise, simpler, easier to understand, and requiring less efforts for regular updating and maintenance</w:t>
      </w:r>
      <w:r w:rsidR="0045044B" w:rsidRPr="007B3CF1">
        <w:t xml:space="preserve">, considering also the </w:t>
      </w:r>
      <w:r w:rsidR="004A0BD7" w:rsidRPr="007B3CF1">
        <w:t xml:space="preserve">translation costs as all </w:t>
      </w:r>
      <w:r w:rsidR="00871439" w:rsidRPr="007B3CF1">
        <w:t>resolutions</w:t>
      </w:r>
      <w:r w:rsidR="004A0BD7" w:rsidRPr="007B3CF1">
        <w:t>/</w:t>
      </w:r>
      <w:r w:rsidR="00871439" w:rsidRPr="007B3CF1">
        <w:t xml:space="preserve">decisions </w:t>
      </w:r>
      <w:r w:rsidR="002F52D9" w:rsidRPr="007B3CF1">
        <w:t>are published in</w:t>
      </w:r>
      <w:r w:rsidR="004A0BD7" w:rsidRPr="007B3CF1">
        <w:t xml:space="preserve"> the six (6) official languages</w:t>
      </w:r>
      <w:r w:rsidR="00B8649B" w:rsidRPr="007B3CF1">
        <w:t xml:space="preserve"> of the Union</w:t>
      </w:r>
      <w:r w:rsidR="000D091F" w:rsidRPr="007B3CF1">
        <w:t>; or</w:t>
      </w:r>
    </w:p>
    <w:p w14:paraId="29691CBE" w14:textId="5623124D" w:rsidR="000D091F" w:rsidRPr="007B3CF1" w:rsidRDefault="007B3CF1" w:rsidP="007B3CF1">
      <w:pPr>
        <w:pStyle w:val="enumlev1"/>
        <w:jc w:val="both"/>
      </w:pPr>
      <w:r>
        <w:rPr>
          <w:b/>
          <w:bCs/>
          <w:i/>
          <w:iCs/>
        </w:rPr>
        <w:tab/>
      </w:r>
      <w:r w:rsidR="65089063" w:rsidRPr="09121548">
        <w:rPr>
          <w:b/>
          <w:bCs/>
          <w:i/>
          <w:iCs/>
        </w:rPr>
        <w:t>a</w:t>
      </w:r>
      <w:r w:rsidR="6A0F5F34" w:rsidRPr="09121548">
        <w:rPr>
          <w:b/>
          <w:bCs/>
          <w:i/>
          <w:iCs/>
        </w:rPr>
        <w:t>ligned</w:t>
      </w:r>
      <w:r w:rsidR="6A0F5F34" w:rsidRPr="007B3CF1">
        <w:t xml:space="preserve"> with other </w:t>
      </w:r>
      <w:r w:rsidR="41AF7CD5" w:rsidRPr="007B3CF1">
        <w:t>r</w:t>
      </w:r>
      <w:r w:rsidR="6A0F5F34" w:rsidRPr="007B3CF1">
        <w:t>esolutions</w:t>
      </w:r>
      <w:r w:rsidR="65089063" w:rsidRPr="007B3CF1">
        <w:t>/</w:t>
      </w:r>
      <w:r w:rsidR="41AF7CD5" w:rsidRPr="007B3CF1">
        <w:t>d</w:t>
      </w:r>
      <w:r w:rsidR="65089063" w:rsidRPr="007B3CF1">
        <w:t>ecisions</w:t>
      </w:r>
      <w:r w:rsidR="79381A80" w:rsidRPr="007B3CF1">
        <w:t xml:space="preserve"> when referring to </w:t>
      </w:r>
      <w:r w:rsidR="6A0F5F34" w:rsidRPr="007B3CF1">
        <w:t>generic subjects</w:t>
      </w:r>
      <w:r w:rsidR="79381A80" w:rsidRPr="007B3CF1">
        <w:t xml:space="preserve"> such as</w:t>
      </w:r>
      <w:r w:rsidR="50F0638A" w:rsidRPr="007B3CF1">
        <w:t>:</w:t>
      </w:r>
      <w:r w:rsidR="79381A80" w:rsidRPr="007B3CF1">
        <w:t xml:space="preserve"> accessibility, </w:t>
      </w:r>
      <w:r w:rsidR="6A0F5F34" w:rsidRPr="007B3CF1">
        <w:t>gender</w:t>
      </w:r>
      <w:r w:rsidR="79381A80" w:rsidRPr="007B3CF1">
        <w:t>, sustainability</w:t>
      </w:r>
      <w:r w:rsidR="6A0F5F34" w:rsidRPr="007B3CF1">
        <w:t xml:space="preserve">, </w:t>
      </w:r>
      <w:r w:rsidR="79381A80" w:rsidRPr="007B3CF1">
        <w:t xml:space="preserve">youth, </w:t>
      </w:r>
      <w:r w:rsidR="6A0F5F34" w:rsidRPr="007B3CF1">
        <w:t>etc.</w:t>
      </w:r>
      <w:r w:rsidR="3C0A5749" w:rsidRPr="007B3CF1">
        <w:t>,</w:t>
      </w:r>
      <w:r w:rsidR="6A0F5F34" w:rsidRPr="007B3CF1">
        <w:t xml:space="preserve"> with Council </w:t>
      </w:r>
      <w:r w:rsidR="41AF7CD5" w:rsidRPr="007B3CF1">
        <w:t>r</w:t>
      </w:r>
      <w:r w:rsidR="6A0F5F34" w:rsidRPr="007B3CF1">
        <w:t xml:space="preserve">esolutions or </w:t>
      </w:r>
      <w:r w:rsidR="41AF7CD5" w:rsidRPr="007B3CF1">
        <w:t>r</w:t>
      </w:r>
      <w:r w:rsidR="6A0F5F34" w:rsidRPr="007B3CF1">
        <w:t xml:space="preserve">esolutions of other ITU </w:t>
      </w:r>
      <w:r w:rsidR="7505D7C5" w:rsidRPr="007B3CF1">
        <w:t>world conferences and assemblies</w:t>
      </w:r>
      <w:r w:rsidR="50F0638A" w:rsidRPr="007B3CF1">
        <w:t>, to</w:t>
      </w:r>
      <w:r w:rsidR="31C948F6" w:rsidRPr="007B3CF1">
        <w:t xml:space="preserve"> be focused, </w:t>
      </w:r>
      <w:r w:rsidR="6A0F5F34" w:rsidRPr="007B3CF1">
        <w:t xml:space="preserve">avoid duplication or repetition; </w:t>
      </w:r>
    </w:p>
    <w:p w14:paraId="7C71DC40" w14:textId="0553255A" w:rsidR="000D091F" w:rsidRPr="007B3CF1" w:rsidRDefault="6A0F5F34" w:rsidP="007B3CF1">
      <w:pPr>
        <w:pStyle w:val="enumlev1"/>
        <w:jc w:val="both"/>
      </w:pPr>
      <w:r w:rsidRPr="007B3CF1">
        <w:t>or</w:t>
      </w:r>
    </w:p>
    <w:p w14:paraId="7E4AF02B" w14:textId="77777777" w:rsidR="0049405D" w:rsidRPr="00B84D7E" w:rsidRDefault="6A0F5F34" w:rsidP="009C50CF">
      <w:pPr>
        <w:jc w:val="both"/>
        <w:rPr>
          <w:b/>
          <w:bCs/>
        </w:rPr>
      </w:pPr>
      <w:r w:rsidRPr="00B84D7E">
        <w:rPr>
          <w:b/>
          <w:bCs/>
        </w:rPr>
        <w:t>Suppression</w:t>
      </w:r>
    </w:p>
    <w:p w14:paraId="529F3E3B" w14:textId="2E225332" w:rsidR="009C50CF" w:rsidRPr="00B84D7E" w:rsidRDefault="31C948F6" w:rsidP="009C50CF">
      <w:pPr>
        <w:jc w:val="both"/>
        <w:rPr>
          <w:spacing w:val="-2"/>
        </w:rPr>
      </w:pPr>
      <w:r w:rsidRPr="00B84D7E">
        <w:rPr>
          <w:spacing w:val="-2"/>
        </w:rPr>
        <w:t xml:space="preserve">A </w:t>
      </w:r>
      <w:r w:rsidR="058B0124" w:rsidRPr="00B84D7E">
        <w:rPr>
          <w:spacing w:val="-2"/>
        </w:rPr>
        <w:t>r</w:t>
      </w:r>
      <w:r w:rsidRPr="00B84D7E">
        <w:rPr>
          <w:spacing w:val="-2"/>
        </w:rPr>
        <w:t>esolution/</w:t>
      </w:r>
      <w:r w:rsidR="058B0124" w:rsidRPr="00B84D7E">
        <w:rPr>
          <w:spacing w:val="-2"/>
        </w:rPr>
        <w:t>d</w:t>
      </w:r>
      <w:r w:rsidRPr="00B84D7E">
        <w:rPr>
          <w:spacing w:val="-2"/>
        </w:rPr>
        <w:t xml:space="preserve">ecision can be </w:t>
      </w:r>
      <w:r w:rsidRPr="0007744C">
        <w:rPr>
          <w:b/>
          <w:bCs/>
          <w:i/>
          <w:iCs/>
          <w:spacing w:val="-2"/>
        </w:rPr>
        <w:t>s</w:t>
      </w:r>
      <w:r w:rsidR="6A0F5F34" w:rsidRPr="0007744C">
        <w:rPr>
          <w:b/>
          <w:bCs/>
          <w:i/>
          <w:iCs/>
          <w:spacing w:val="-2"/>
        </w:rPr>
        <w:t>uppressed</w:t>
      </w:r>
      <w:r w:rsidR="6A0F5F34" w:rsidRPr="00B84D7E">
        <w:rPr>
          <w:spacing w:val="-2"/>
        </w:rPr>
        <w:t xml:space="preserve"> </w:t>
      </w:r>
      <w:r w:rsidR="6B0E150F" w:rsidRPr="00B84D7E">
        <w:rPr>
          <w:spacing w:val="-2"/>
        </w:rPr>
        <w:t xml:space="preserve">(either SUP or SUP*) </w:t>
      </w:r>
      <w:r w:rsidRPr="00B84D7E">
        <w:rPr>
          <w:spacing w:val="-2"/>
        </w:rPr>
        <w:t xml:space="preserve">if found </w:t>
      </w:r>
      <w:r w:rsidR="6A0F5F34" w:rsidRPr="00B84D7E">
        <w:rPr>
          <w:spacing w:val="-2"/>
        </w:rPr>
        <w:t>with obsolete timing or milestones, completed with no further action to be taken, or have no action reported</w:t>
      </w:r>
      <w:r w:rsidR="2C6A6278" w:rsidRPr="00B84D7E">
        <w:rPr>
          <w:spacing w:val="-2"/>
        </w:rPr>
        <w:t>.</w:t>
      </w:r>
      <w:r w:rsidR="65A9D156" w:rsidRPr="00B84D7E">
        <w:rPr>
          <w:spacing w:val="-2"/>
        </w:rPr>
        <w:t xml:space="preserve"> </w:t>
      </w:r>
      <w:r w:rsidR="18BB586C" w:rsidRPr="00B84D7E">
        <w:rPr>
          <w:spacing w:val="-2"/>
        </w:rPr>
        <w:t>The reporting mechanism for this last action can be verified using the web platform designed for reporting on the implementation of PP</w:t>
      </w:r>
      <w:r w:rsidR="058B0124" w:rsidRPr="00B84D7E">
        <w:rPr>
          <w:spacing w:val="-2"/>
        </w:rPr>
        <w:t xml:space="preserve"> r</w:t>
      </w:r>
      <w:r w:rsidR="18BB586C" w:rsidRPr="00B84D7E">
        <w:rPr>
          <w:spacing w:val="-2"/>
        </w:rPr>
        <w:t>esolutions, which is linked to the Report on the Implementation of the Strategic Plan and the Activities of the Union (Council Document</w:t>
      </w:r>
      <w:r w:rsidR="00B84D7E" w:rsidRPr="00B84D7E">
        <w:rPr>
          <w:spacing w:val="-2"/>
        </w:rPr>
        <w:t> </w:t>
      </w:r>
      <w:r w:rsidR="18BB586C" w:rsidRPr="00B84D7E">
        <w:rPr>
          <w:spacing w:val="-2"/>
        </w:rPr>
        <w:t>35).</w:t>
      </w:r>
    </w:p>
    <w:p w14:paraId="4988CEDD" w14:textId="40D43407" w:rsidR="008D5C9B" w:rsidRPr="00871439" w:rsidRDefault="49ACF701" w:rsidP="09121548">
      <w:pPr>
        <w:jc w:val="both"/>
        <w:rPr>
          <w:rFonts w:asciiTheme="minorHAnsi" w:hAnsiTheme="minorHAnsi" w:cstheme="minorBidi"/>
        </w:rPr>
      </w:pPr>
      <w:r w:rsidRPr="001E2D4E">
        <w:rPr>
          <w:rFonts w:asciiTheme="minorHAnsi" w:hAnsiTheme="minorHAnsi" w:cstheme="minorBidi"/>
        </w:rPr>
        <w:lastRenderedPageBreak/>
        <w:t xml:space="preserve">When </w:t>
      </w:r>
      <w:r w:rsidR="1ECDC71B" w:rsidRPr="001E2D4E">
        <w:rPr>
          <w:rFonts w:asciiTheme="minorHAnsi" w:hAnsiTheme="minorHAnsi" w:cstheme="minorBidi"/>
        </w:rPr>
        <w:t xml:space="preserve">drafting PP resolutions/decisions, </w:t>
      </w:r>
      <w:r w:rsidRPr="001E2D4E">
        <w:rPr>
          <w:rFonts w:asciiTheme="minorHAnsi" w:hAnsiTheme="minorHAnsi" w:cstheme="minorBidi"/>
        </w:rPr>
        <w:t xml:space="preserve">still other </w:t>
      </w:r>
      <w:r w:rsidR="072D1FC8" w:rsidRPr="001E2D4E">
        <w:rPr>
          <w:rFonts w:asciiTheme="minorHAnsi" w:hAnsiTheme="minorHAnsi" w:cstheme="minorBidi"/>
        </w:rPr>
        <w:t xml:space="preserve">options are </w:t>
      </w:r>
      <w:r w:rsidR="5D77C8F1" w:rsidRPr="001E2D4E">
        <w:rPr>
          <w:rFonts w:asciiTheme="minorHAnsi" w:hAnsiTheme="minorHAnsi" w:cstheme="minorBidi"/>
        </w:rPr>
        <w:t xml:space="preserve">available. You can find the list of symbols to be used </w:t>
      </w:r>
      <w:hyperlink r:id="rId14" w:history="1">
        <w:r w:rsidR="5D77C8F1" w:rsidRPr="09121548">
          <w:rPr>
            <w:rStyle w:val="Hyperlink"/>
            <w:rFonts w:asciiTheme="minorHAnsi" w:hAnsiTheme="minorHAnsi" w:cstheme="minorBidi"/>
          </w:rPr>
          <w:t>here</w:t>
        </w:r>
      </w:hyperlink>
      <w:r w:rsidR="5D77C8F1" w:rsidRPr="09121548">
        <w:rPr>
          <w:rFonts w:asciiTheme="minorHAnsi" w:hAnsiTheme="minorHAnsi" w:cstheme="minorBidi"/>
        </w:rPr>
        <w:t>.</w:t>
      </w:r>
    </w:p>
    <w:p w14:paraId="5112D8E5" w14:textId="7F81CCFC" w:rsidR="009C50CF" w:rsidRPr="007B3CF1" w:rsidRDefault="645EEE2E" w:rsidP="009C50CF">
      <w:pPr>
        <w:jc w:val="both"/>
        <w:rPr>
          <w:rFonts w:ascii="Segoe UI" w:hAnsi="Segoe UI" w:cs="Segoe UI"/>
          <w:color w:val="242424"/>
          <w:sz w:val="21"/>
          <w:szCs w:val="21"/>
          <w:lang w:eastAsia="en-GB"/>
        </w:rPr>
      </w:pPr>
      <w:r w:rsidRPr="09121548">
        <w:rPr>
          <w:rFonts w:asciiTheme="minorHAnsi" w:hAnsiTheme="minorHAnsi" w:cstheme="minorBidi"/>
        </w:rPr>
        <w:t>So</w:t>
      </w:r>
      <w:r w:rsidR="0043553E" w:rsidRPr="09121548">
        <w:rPr>
          <w:rFonts w:asciiTheme="minorHAnsi" w:hAnsiTheme="minorHAnsi" w:cstheme="minorBidi"/>
        </w:rPr>
        <w:t>,</w:t>
      </w:r>
      <w:r w:rsidRPr="09121548">
        <w:rPr>
          <w:rFonts w:asciiTheme="minorHAnsi" w:hAnsiTheme="minorHAnsi" w:cstheme="minorBidi"/>
        </w:rPr>
        <w:t xml:space="preserve"> w</w:t>
      </w:r>
      <w:r w:rsidR="0381D918" w:rsidRPr="09121548">
        <w:rPr>
          <w:rFonts w:asciiTheme="minorHAnsi" w:hAnsiTheme="minorHAnsi" w:cstheme="minorBidi"/>
        </w:rPr>
        <w:t>hen</w:t>
      </w:r>
      <w:r w:rsidRPr="09121548">
        <w:rPr>
          <w:rFonts w:asciiTheme="minorHAnsi" w:hAnsiTheme="minorHAnsi" w:cstheme="minorBidi"/>
        </w:rPr>
        <w:t xml:space="preserve"> assessed that a PP </w:t>
      </w:r>
      <w:r w:rsidR="41AF7CD5" w:rsidRPr="09121548">
        <w:rPr>
          <w:rFonts w:asciiTheme="minorHAnsi" w:hAnsiTheme="minorHAnsi" w:cstheme="minorBidi"/>
        </w:rPr>
        <w:t>r</w:t>
      </w:r>
      <w:r w:rsidRPr="09121548">
        <w:rPr>
          <w:rFonts w:asciiTheme="minorHAnsi" w:hAnsiTheme="minorHAnsi" w:cstheme="minorBidi"/>
        </w:rPr>
        <w:t>esolution/</w:t>
      </w:r>
      <w:r w:rsidR="41AF7CD5" w:rsidRPr="09121548">
        <w:rPr>
          <w:rFonts w:asciiTheme="minorHAnsi" w:hAnsiTheme="minorHAnsi" w:cstheme="minorBidi"/>
        </w:rPr>
        <w:t>d</w:t>
      </w:r>
      <w:r w:rsidRPr="09121548">
        <w:rPr>
          <w:rFonts w:asciiTheme="minorHAnsi" w:hAnsiTheme="minorHAnsi" w:cstheme="minorBidi"/>
        </w:rPr>
        <w:t xml:space="preserve">ecision should be modified, an </w:t>
      </w:r>
      <w:r w:rsidR="0381D918" w:rsidRPr="09121548">
        <w:rPr>
          <w:rFonts w:asciiTheme="minorHAnsi" w:hAnsiTheme="minorHAnsi" w:cstheme="minorBidi"/>
        </w:rPr>
        <w:t xml:space="preserve">approach for harmonizing resolutions and decisions, </w:t>
      </w:r>
      <w:r w:rsidRPr="09121548">
        <w:rPr>
          <w:rFonts w:asciiTheme="minorHAnsi" w:hAnsiTheme="minorHAnsi" w:cstheme="minorBidi"/>
        </w:rPr>
        <w:t xml:space="preserve">has already been proposed by </w:t>
      </w:r>
      <w:r w:rsidR="0381D918" w:rsidRPr="09121548">
        <w:rPr>
          <w:rFonts w:asciiTheme="minorHAnsi" w:hAnsiTheme="minorHAnsi" w:cstheme="minorBidi"/>
        </w:rPr>
        <w:t xml:space="preserve">the Telecommunications Standardization Advisory Group (TSAG) </w:t>
      </w:r>
      <w:r w:rsidRPr="09121548">
        <w:rPr>
          <w:rFonts w:asciiTheme="minorHAnsi" w:hAnsiTheme="minorHAnsi" w:cstheme="minorBidi"/>
        </w:rPr>
        <w:t>to</w:t>
      </w:r>
      <w:r w:rsidR="0381D918" w:rsidRPr="09121548">
        <w:rPr>
          <w:rFonts w:asciiTheme="minorHAnsi" w:hAnsiTheme="minorHAnsi" w:cstheme="minorBidi"/>
        </w:rPr>
        <w:t xml:space="preserve"> the World Telecommunication Standardization Assembly (WTSA-24) (see </w:t>
      </w:r>
      <w:hyperlink r:id="rId15">
        <w:r w:rsidR="41AF7CD5" w:rsidRPr="09121548">
          <w:rPr>
            <w:rStyle w:val="Hyperlink"/>
            <w:rFonts w:asciiTheme="minorHAnsi" w:hAnsiTheme="minorHAnsi" w:cstheme="minorBidi"/>
          </w:rPr>
          <w:t>ITU-T A Suppl. 7</w:t>
        </w:r>
      </w:hyperlink>
      <w:r w:rsidR="0381D918" w:rsidRPr="09121548">
        <w:rPr>
          <w:rFonts w:asciiTheme="minorHAnsi" w:hAnsiTheme="minorHAnsi" w:cstheme="minorBidi"/>
        </w:rPr>
        <w:t xml:space="preserve">). </w:t>
      </w:r>
      <w:r w:rsidR="41AF7CD5" w:rsidRPr="09121548">
        <w:rPr>
          <w:rFonts w:asciiTheme="minorHAnsi" w:hAnsiTheme="minorHAnsi" w:cstheme="minorBidi"/>
        </w:rPr>
        <w:t xml:space="preserve">These </w:t>
      </w:r>
      <w:r w:rsidR="0381D918" w:rsidRPr="09121548">
        <w:rPr>
          <w:rFonts w:asciiTheme="minorHAnsi" w:hAnsiTheme="minorHAnsi" w:cstheme="minorBidi"/>
        </w:rPr>
        <w:t xml:space="preserve">guidelines </w:t>
      </w:r>
      <w:r w:rsidRPr="09121548">
        <w:rPr>
          <w:rFonts w:asciiTheme="minorHAnsi" w:hAnsiTheme="minorHAnsi" w:cstheme="minorBidi"/>
        </w:rPr>
        <w:t xml:space="preserve">have been </w:t>
      </w:r>
      <w:r w:rsidR="0381D918" w:rsidRPr="09121548">
        <w:rPr>
          <w:rFonts w:asciiTheme="minorHAnsi" w:hAnsiTheme="minorHAnsi" w:cstheme="minorBidi"/>
        </w:rPr>
        <w:t>adapted</w:t>
      </w:r>
      <w:r w:rsidRPr="09121548">
        <w:rPr>
          <w:rFonts w:asciiTheme="minorHAnsi" w:hAnsiTheme="minorHAnsi" w:cstheme="minorBidi"/>
        </w:rPr>
        <w:t>,</w:t>
      </w:r>
      <w:r w:rsidR="0381D918" w:rsidRPr="09121548">
        <w:rPr>
          <w:rFonts w:asciiTheme="minorHAnsi" w:hAnsiTheme="minorHAnsi" w:cstheme="minorBidi"/>
        </w:rPr>
        <w:t xml:space="preserve"> for consideration by Member States</w:t>
      </w:r>
      <w:r w:rsidRPr="09121548">
        <w:rPr>
          <w:rFonts w:asciiTheme="minorHAnsi" w:hAnsiTheme="minorHAnsi" w:cstheme="minorBidi"/>
        </w:rPr>
        <w:t>,</w:t>
      </w:r>
      <w:r w:rsidR="0381D918" w:rsidRPr="09121548">
        <w:rPr>
          <w:rFonts w:asciiTheme="minorHAnsi" w:hAnsiTheme="minorHAnsi" w:cstheme="minorBidi"/>
        </w:rPr>
        <w:t xml:space="preserve"> when preparing for PP</w:t>
      </w:r>
      <w:r w:rsidR="00B84D7E">
        <w:rPr>
          <w:rFonts w:asciiTheme="minorHAnsi" w:hAnsiTheme="minorHAnsi" w:cstheme="minorBidi"/>
        </w:rPr>
        <w:noBreakHyphen/>
      </w:r>
      <w:r w:rsidR="0381D918" w:rsidRPr="09121548">
        <w:rPr>
          <w:rFonts w:asciiTheme="minorHAnsi" w:hAnsiTheme="minorHAnsi" w:cstheme="minorBidi"/>
        </w:rPr>
        <w:t>26, taking into account that PP is a treaty-making conference.</w:t>
      </w:r>
    </w:p>
    <w:p w14:paraId="24F2D609" w14:textId="2E37590F" w:rsidR="003630C4" w:rsidRPr="007B3CF1" w:rsidRDefault="00574E91" w:rsidP="003630C4">
      <w:pPr>
        <w:jc w:val="both"/>
      </w:pPr>
      <w:r>
        <w:t xml:space="preserve">When considering streamlining </w:t>
      </w:r>
      <w:r w:rsidR="008D5C9B">
        <w:t xml:space="preserve">PP </w:t>
      </w:r>
      <w:r w:rsidR="00871439">
        <w:t>r</w:t>
      </w:r>
      <w:r>
        <w:t>esolutions/</w:t>
      </w:r>
      <w:r w:rsidR="00871439">
        <w:t>d</w:t>
      </w:r>
      <w:r>
        <w:t xml:space="preserve">ecisions, </w:t>
      </w:r>
      <w:r w:rsidR="008D5C9B">
        <w:t xml:space="preserve">Member States </w:t>
      </w:r>
      <w:r w:rsidR="00BD452E">
        <w:t xml:space="preserve">can </w:t>
      </w:r>
      <w:r w:rsidR="001A451E">
        <w:t>focus on</w:t>
      </w:r>
      <w:r w:rsidR="003630C4">
        <w:t>:</w:t>
      </w:r>
    </w:p>
    <w:p w14:paraId="0AFD780B" w14:textId="66A017AA" w:rsidR="00C84B59" w:rsidRPr="007B3CF1" w:rsidRDefault="007B3CF1" w:rsidP="007B3CF1">
      <w:pPr>
        <w:pStyle w:val="enumlev1"/>
        <w:jc w:val="both"/>
      </w:pPr>
      <w:r w:rsidRPr="007B3CF1">
        <w:t>1</w:t>
      </w:r>
      <w:r w:rsidRPr="007B3CF1">
        <w:tab/>
      </w:r>
      <w:r w:rsidR="000D091F" w:rsidRPr="007B3CF1">
        <w:t xml:space="preserve">Review and examine in-force </w:t>
      </w:r>
      <w:r w:rsidR="00871439" w:rsidRPr="007B3CF1">
        <w:t>r</w:t>
      </w:r>
      <w:r w:rsidR="000D091F" w:rsidRPr="007B3CF1">
        <w:t>esolutions</w:t>
      </w:r>
      <w:r w:rsidR="004B4C6A" w:rsidRPr="007B3CF1">
        <w:t>/</w:t>
      </w:r>
      <w:r w:rsidR="00871439" w:rsidRPr="007B3CF1">
        <w:t>d</w:t>
      </w:r>
      <w:r w:rsidR="004B4C6A" w:rsidRPr="007B3CF1">
        <w:t>ecisions</w:t>
      </w:r>
      <w:r w:rsidR="003277EA" w:rsidRPr="007B3CF1">
        <w:t xml:space="preserve">, including </w:t>
      </w:r>
      <w:r w:rsidR="000D091F" w:rsidRPr="007B3CF1">
        <w:t>report</w:t>
      </w:r>
      <w:r w:rsidR="003277EA" w:rsidRPr="007B3CF1">
        <w:t>s</w:t>
      </w:r>
      <w:r w:rsidR="000D091F" w:rsidRPr="007B3CF1">
        <w:t xml:space="preserve"> and status of </w:t>
      </w:r>
      <w:r w:rsidR="004C3E40" w:rsidRPr="007B3CF1">
        <w:t>their</w:t>
      </w:r>
      <w:r w:rsidR="000D091F" w:rsidRPr="007B3CF1">
        <w:t xml:space="preserve"> implementation</w:t>
      </w:r>
      <w:r w:rsidR="0007744C">
        <w:t>.</w:t>
      </w:r>
    </w:p>
    <w:p w14:paraId="2057F637" w14:textId="1AC8C8DC" w:rsidR="00C84B59" w:rsidRPr="007B3CF1" w:rsidRDefault="007B3CF1" w:rsidP="007B3CF1">
      <w:pPr>
        <w:pStyle w:val="enumlev1"/>
        <w:jc w:val="both"/>
      </w:pPr>
      <w:r w:rsidRPr="007B3CF1">
        <w:t>2</w:t>
      </w:r>
      <w:r w:rsidRPr="007B3CF1">
        <w:tab/>
      </w:r>
      <w:r w:rsidR="000D091F" w:rsidRPr="007B3CF1">
        <w:t xml:space="preserve">Examine the </w:t>
      </w:r>
      <w:r w:rsidR="00871439" w:rsidRPr="007B3CF1">
        <w:t>r</w:t>
      </w:r>
      <w:r w:rsidR="000D091F" w:rsidRPr="007B3CF1">
        <w:t>esolutions</w:t>
      </w:r>
      <w:r w:rsidR="003277EA" w:rsidRPr="007B3CF1">
        <w:t>/</w:t>
      </w:r>
      <w:r w:rsidR="00871439" w:rsidRPr="007B3CF1">
        <w:t>d</w:t>
      </w:r>
      <w:r w:rsidR="003277EA" w:rsidRPr="007B3CF1">
        <w:t>ecisions</w:t>
      </w:r>
      <w:r w:rsidR="000D091F" w:rsidRPr="007B3CF1">
        <w:t xml:space="preserve"> with a view to avoid repetitions and duplication</w:t>
      </w:r>
      <w:r w:rsidR="00FC4076" w:rsidRPr="007B3CF1">
        <w:t xml:space="preserve"> of texts</w:t>
      </w:r>
      <w:r w:rsidR="0007744C">
        <w:t>.</w:t>
      </w:r>
    </w:p>
    <w:p w14:paraId="416384B4" w14:textId="71978BA4" w:rsidR="00751500" w:rsidRPr="007B3CF1" w:rsidRDefault="007B3CF1" w:rsidP="007B3CF1">
      <w:pPr>
        <w:pStyle w:val="enumlev1"/>
        <w:jc w:val="both"/>
      </w:pPr>
      <w:r w:rsidRPr="007B3CF1">
        <w:t>3</w:t>
      </w:r>
      <w:r w:rsidRPr="007B3CF1">
        <w:tab/>
      </w:r>
      <w:r w:rsidR="00751500" w:rsidRPr="007B3CF1">
        <w:t xml:space="preserve">Make </w:t>
      </w:r>
      <w:r w:rsidR="00871439" w:rsidRPr="007B3CF1">
        <w:t>r</w:t>
      </w:r>
      <w:r w:rsidR="00751500" w:rsidRPr="007B3CF1">
        <w:t>esolutions/</w:t>
      </w:r>
      <w:r w:rsidR="00871439" w:rsidRPr="007B3CF1">
        <w:t>d</w:t>
      </w:r>
      <w:r w:rsidR="00751500" w:rsidRPr="007B3CF1">
        <w:t>ecisions concise, focused, implementable, effective, and stay abreast of the evolution of information and communication technologies (ICTs)</w:t>
      </w:r>
      <w:r w:rsidR="0007744C">
        <w:t>.</w:t>
      </w:r>
    </w:p>
    <w:p w14:paraId="570868ED" w14:textId="427D773A" w:rsidR="00053B56" w:rsidRPr="007B3CF1" w:rsidRDefault="007B3CF1" w:rsidP="007B3CF1">
      <w:pPr>
        <w:pStyle w:val="enumlev1"/>
        <w:jc w:val="both"/>
      </w:pPr>
      <w:r w:rsidRPr="007B3CF1">
        <w:t>4</w:t>
      </w:r>
      <w:r w:rsidRPr="007B3CF1">
        <w:tab/>
      </w:r>
      <w:r w:rsidR="00053B56" w:rsidRPr="007B3CF1">
        <w:t>Apply the following principles:</w:t>
      </w:r>
    </w:p>
    <w:p w14:paraId="36782B06" w14:textId="2C01B5D8" w:rsidR="003772A3" w:rsidRPr="007B3CF1" w:rsidRDefault="007B3CF1" w:rsidP="007B3CF1">
      <w:pPr>
        <w:pStyle w:val="enumlev2"/>
        <w:jc w:val="both"/>
      </w:pPr>
      <w:r w:rsidRPr="007B3CF1">
        <w:t>a</w:t>
      </w:r>
      <w:r w:rsidR="00B84D7E">
        <w:t>)</w:t>
      </w:r>
      <w:r w:rsidRPr="007B3CF1">
        <w:tab/>
      </w:r>
      <w:r w:rsidR="00FB7738" w:rsidRPr="007B3CF1">
        <w:t xml:space="preserve">coherence </w:t>
      </w:r>
      <w:r w:rsidR="003772A3" w:rsidRPr="007B3CF1">
        <w:t>and consistency</w:t>
      </w:r>
      <w:r w:rsidR="001B107C" w:rsidRPr="007B3CF1">
        <w:t>: i</w:t>
      </w:r>
      <w:r w:rsidR="003772A3" w:rsidRPr="007B3CF1">
        <w:t xml:space="preserve">s the </w:t>
      </w:r>
      <w:r w:rsidR="00871439" w:rsidRPr="007B3CF1">
        <w:t>r</w:t>
      </w:r>
      <w:r w:rsidR="003772A3" w:rsidRPr="007B3CF1">
        <w:t>esolution</w:t>
      </w:r>
      <w:r w:rsidR="001B107C" w:rsidRPr="007B3CF1">
        <w:t>/</w:t>
      </w:r>
      <w:r w:rsidR="00871439" w:rsidRPr="007B3CF1">
        <w:t>d</w:t>
      </w:r>
      <w:r w:rsidR="001B107C" w:rsidRPr="007B3CF1">
        <w:t xml:space="preserve">ecision </w:t>
      </w:r>
      <w:r w:rsidR="003772A3" w:rsidRPr="007B3CF1">
        <w:t>consistent with the ITU</w:t>
      </w:r>
      <w:r w:rsidR="001B107C" w:rsidRPr="007B3CF1">
        <w:t xml:space="preserve"> </w:t>
      </w:r>
      <w:r w:rsidR="00BF0D79" w:rsidRPr="007B3CF1">
        <w:t>Mission and Vision;</w:t>
      </w:r>
    </w:p>
    <w:p w14:paraId="2B2E74D4" w14:textId="2AB0DBE1" w:rsidR="00582340" w:rsidRPr="007B3CF1" w:rsidRDefault="19B96A59" w:rsidP="007B3CF1">
      <w:pPr>
        <w:pStyle w:val="enumlev2"/>
        <w:jc w:val="both"/>
      </w:pPr>
      <w:r>
        <w:t>b</w:t>
      </w:r>
      <w:r w:rsidR="00B84D7E">
        <w:t>)</w:t>
      </w:r>
      <w:r w:rsidR="007B3CF1">
        <w:tab/>
      </w:r>
      <w:r w:rsidR="00FB7738">
        <w:t xml:space="preserve">overlap </w:t>
      </w:r>
      <w:r w:rsidR="227A4D95">
        <w:t>and duplication</w:t>
      </w:r>
      <w:r w:rsidR="1004A743">
        <w:t xml:space="preserve">: </w:t>
      </w:r>
      <w:r w:rsidR="1DD6F7E8">
        <w:t xml:space="preserve">are the </w:t>
      </w:r>
      <w:r w:rsidR="227A4D95">
        <w:t xml:space="preserve">goals of </w:t>
      </w:r>
      <w:r w:rsidR="1DD6F7E8">
        <w:t xml:space="preserve">the </w:t>
      </w:r>
      <w:r w:rsidR="41AF7CD5">
        <w:t>r</w:t>
      </w:r>
      <w:r w:rsidR="227A4D95">
        <w:t>esolution</w:t>
      </w:r>
      <w:r w:rsidR="1DD6F7E8">
        <w:t>/</w:t>
      </w:r>
      <w:r w:rsidR="41AF7CD5">
        <w:t>d</w:t>
      </w:r>
      <w:r w:rsidR="1DD6F7E8">
        <w:t xml:space="preserve">ecision </w:t>
      </w:r>
      <w:r w:rsidR="227A4D95">
        <w:t>already reflected in the ITU Strategic Plan</w:t>
      </w:r>
      <w:r w:rsidR="046D6F45">
        <w:t xml:space="preserve"> or other PP </w:t>
      </w:r>
      <w:r w:rsidR="41AF7CD5">
        <w:t>r</w:t>
      </w:r>
      <w:r w:rsidR="046D6F45">
        <w:t>esolutions</w:t>
      </w:r>
      <w:r w:rsidR="645EEE2E">
        <w:t>/</w:t>
      </w:r>
      <w:r w:rsidR="41AF7CD5">
        <w:t>d</w:t>
      </w:r>
      <w:r w:rsidR="645EEE2E">
        <w:t>ecisions</w:t>
      </w:r>
      <w:r w:rsidR="25F0B2F0">
        <w:t>;</w:t>
      </w:r>
    </w:p>
    <w:p w14:paraId="11FA8C7B" w14:textId="75416E31" w:rsidR="007766EB" w:rsidRPr="007B3CF1" w:rsidRDefault="007B3CF1" w:rsidP="007B3CF1">
      <w:pPr>
        <w:pStyle w:val="enumlev2"/>
        <w:jc w:val="both"/>
      </w:pPr>
      <w:r w:rsidRPr="007B3CF1">
        <w:t>c</w:t>
      </w:r>
      <w:r w:rsidR="00B84D7E">
        <w:t>)</w:t>
      </w:r>
      <w:r w:rsidRPr="007B3CF1">
        <w:tab/>
      </w:r>
      <w:r w:rsidR="00FB7738" w:rsidRPr="007B3CF1">
        <w:t>necessity</w:t>
      </w:r>
      <w:r w:rsidR="00582340" w:rsidRPr="007B3CF1">
        <w:t>: i</w:t>
      </w:r>
      <w:r w:rsidR="000D5262" w:rsidRPr="007B3CF1">
        <w:t xml:space="preserve">s the </w:t>
      </w:r>
      <w:r w:rsidR="00871439" w:rsidRPr="007B3CF1">
        <w:t>r</w:t>
      </w:r>
      <w:r w:rsidR="000D5262" w:rsidRPr="007B3CF1">
        <w:t>esolution</w:t>
      </w:r>
      <w:r w:rsidR="008D5C9B">
        <w:t>/</w:t>
      </w:r>
      <w:r w:rsidR="00871439">
        <w:t>d</w:t>
      </w:r>
      <w:r w:rsidR="008D5C9B">
        <w:t>ecision</w:t>
      </w:r>
      <w:r w:rsidR="000D5262" w:rsidRPr="007B3CF1">
        <w:t xml:space="preserve"> indispensable as a stand-alone</w:t>
      </w:r>
      <w:r w:rsidR="00582340" w:rsidRPr="007B3CF1">
        <w:t xml:space="preserve">; </w:t>
      </w:r>
      <w:r w:rsidR="007766EB" w:rsidRPr="007B3CF1">
        <w:t>h</w:t>
      </w:r>
      <w:r w:rsidR="000D5262" w:rsidRPr="007B3CF1">
        <w:t xml:space="preserve">as the implementation of the </w:t>
      </w:r>
      <w:r w:rsidR="00871439" w:rsidRPr="007B3CF1">
        <w:t>r</w:t>
      </w:r>
      <w:r w:rsidR="000D5262" w:rsidRPr="007B3CF1">
        <w:t>esolution already been completed</w:t>
      </w:r>
      <w:r w:rsidR="007766EB" w:rsidRPr="007B3CF1">
        <w:t>; is</w:t>
      </w:r>
      <w:r w:rsidR="000D5262" w:rsidRPr="007B3CF1">
        <w:t xml:space="preserve"> there any action instructed by the </w:t>
      </w:r>
      <w:r w:rsidR="00871439" w:rsidRPr="007B3CF1">
        <w:t>r</w:t>
      </w:r>
      <w:r w:rsidR="000D5262" w:rsidRPr="007B3CF1">
        <w:t>esolution found unimplementable</w:t>
      </w:r>
      <w:r w:rsidR="007766EB" w:rsidRPr="007B3CF1">
        <w:t>;</w:t>
      </w:r>
    </w:p>
    <w:p w14:paraId="0BFA0C53" w14:textId="77B587FE" w:rsidR="0018711A" w:rsidRPr="007B3CF1" w:rsidRDefault="007B3CF1" w:rsidP="007B3CF1">
      <w:pPr>
        <w:pStyle w:val="enumlev2"/>
        <w:jc w:val="both"/>
      </w:pPr>
      <w:r w:rsidRPr="007B3CF1">
        <w:t>d</w:t>
      </w:r>
      <w:r w:rsidR="00B84D7E">
        <w:t>)</w:t>
      </w:r>
      <w:r w:rsidRPr="007B3CF1">
        <w:tab/>
      </w:r>
      <w:r w:rsidR="00FB7738" w:rsidRPr="007B3CF1">
        <w:t>action</w:t>
      </w:r>
      <w:r w:rsidR="00FB7738">
        <w:t xml:space="preserve"> </w:t>
      </w:r>
      <w:r w:rsidR="0018711A" w:rsidRPr="007B3CF1">
        <w:t>orientation and accountability</w:t>
      </w:r>
      <w:r w:rsidR="00A657F2" w:rsidRPr="007B3CF1">
        <w:t>: d</w:t>
      </w:r>
      <w:r w:rsidR="0018711A" w:rsidRPr="007B3CF1">
        <w:t xml:space="preserve">oes the </w:t>
      </w:r>
      <w:r w:rsidR="00871439" w:rsidRPr="007B3CF1">
        <w:t>r</w:t>
      </w:r>
      <w:r w:rsidR="0018711A" w:rsidRPr="007B3CF1">
        <w:t>esolution</w:t>
      </w:r>
      <w:r w:rsidR="008D5C9B">
        <w:t>/</w:t>
      </w:r>
      <w:r w:rsidR="00871439">
        <w:t>d</w:t>
      </w:r>
      <w:r w:rsidR="008D5C9B">
        <w:t>ecision</w:t>
      </w:r>
      <w:r w:rsidR="0018711A" w:rsidRPr="007B3CF1">
        <w:t xml:space="preserve"> call for a specific action or outcome</w:t>
      </w:r>
      <w:r w:rsidR="00B71638" w:rsidRPr="007B3CF1">
        <w:t>;</w:t>
      </w:r>
      <w:r w:rsidR="00A657F2" w:rsidRPr="007B3CF1">
        <w:t xml:space="preserve"> and i</w:t>
      </w:r>
      <w:r w:rsidR="0018711A" w:rsidRPr="007B3CF1">
        <w:t xml:space="preserve">s there a clear accountability line or responsible actor in the </w:t>
      </w:r>
      <w:r w:rsidR="00871439" w:rsidRPr="007B3CF1">
        <w:t>r</w:t>
      </w:r>
      <w:r w:rsidR="0018711A" w:rsidRPr="007B3CF1">
        <w:t>esolution</w:t>
      </w:r>
      <w:r w:rsidR="008D5C9B">
        <w:t>/</w:t>
      </w:r>
      <w:r w:rsidR="00871439">
        <w:t>d</w:t>
      </w:r>
      <w:r w:rsidR="008D5C9B">
        <w:t>ecision</w:t>
      </w:r>
      <w:r w:rsidR="00A657F2" w:rsidRPr="007B3CF1">
        <w:t>.</w:t>
      </w:r>
    </w:p>
    <w:p w14:paraId="505D8135" w14:textId="72FC1DA0" w:rsidR="007D5843" w:rsidRPr="007B3CF1" w:rsidRDefault="19B96A59" w:rsidP="09121548">
      <w:pPr>
        <w:pStyle w:val="enumlev1"/>
        <w:jc w:val="both"/>
        <w:rPr>
          <w:i/>
          <w:iCs/>
          <w:color w:val="2F2F2F"/>
        </w:rPr>
      </w:pPr>
      <w:r>
        <w:t>5</w:t>
      </w:r>
      <w:r w:rsidR="007B3CF1">
        <w:tab/>
      </w:r>
      <w:r w:rsidR="1DA7553B">
        <w:t xml:space="preserve">All similar or related subjects should be addressed in one single </w:t>
      </w:r>
      <w:r w:rsidR="41AF7CD5">
        <w:t>r</w:t>
      </w:r>
      <w:r w:rsidR="1DA7553B">
        <w:t>esolution</w:t>
      </w:r>
      <w:r w:rsidR="2FA76D2A">
        <w:t>/</w:t>
      </w:r>
      <w:r w:rsidR="41AF7CD5">
        <w:t>d</w:t>
      </w:r>
      <w:r w:rsidR="2FA76D2A">
        <w:t xml:space="preserve">ecision </w:t>
      </w:r>
      <w:r w:rsidR="1DA7553B">
        <w:t xml:space="preserve">to the extent possible ("stand-alone principle"). In general, streamlining in-force </w:t>
      </w:r>
      <w:r w:rsidR="41AF7CD5">
        <w:t>r</w:t>
      </w:r>
      <w:r w:rsidR="1DA7553B">
        <w:t>esolutions</w:t>
      </w:r>
      <w:r w:rsidR="645EEE2E">
        <w:t>/</w:t>
      </w:r>
      <w:r w:rsidR="41AF7CD5">
        <w:t>d</w:t>
      </w:r>
      <w:r w:rsidR="645EEE2E">
        <w:t>ecisions</w:t>
      </w:r>
      <w:r w:rsidR="1DA7553B">
        <w:t xml:space="preserve"> is preferable rather than adding a new </w:t>
      </w:r>
      <w:r w:rsidR="41AF7CD5">
        <w:t>r</w:t>
      </w:r>
      <w:r w:rsidR="1DA7553B">
        <w:t>esolution</w:t>
      </w:r>
      <w:r w:rsidR="57AFD0BC">
        <w:t>/</w:t>
      </w:r>
      <w:r w:rsidR="41AF7CD5">
        <w:t>d</w:t>
      </w:r>
      <w:r w:rsidR="57AFD0BC">
        <w:t>ecision</w:t>
      </w:r>
      <w:r w:rsidR="1DA7553B">
        <w:t xml:space="preserve">. </w:t>
      </w:r>
    </w:p>
    <w:p w14:paraId="4E96AF90" w14:textId="4D0968E1" w:rsidR="00157B48" w:rsidRPr="007B3CF1" w:rsidRDefault="007B3CF1" w:rsidP="007B3CF1">
      <w:pPr>
        <w:pStyle w:val="enumlev1"/>
        <w:jc w:val="both"/>
      </w:pPr>
      <w:r w:rsidRPr="007B3CF1">
        <w:t>6</w:t>
      </w:r>
      <w:r w:rsidRPr="007B3CF1">
        <w:tab/>
      </w:r>
      <w:r w:rsidR="00591871" w:rsidRPr="007B3CF1">
        <w:t xml:space="preserve">When the actions or activities put forward in a </w:t>
      </w:r>
      <w:r w:rsidR="00871439" w:rsidRPr="007B3CF1">
        <w:t>r</w:t>
      </w:r>
      <w:r w:rsidR="00591871" w:rsidRPr="007B3CF1">
        <w:t>esolution</w:t>
      </w:r>
      <w:r w:rsidR="00157B48" w:rsidRPr="007B3CF1">
        <w:t>/</w:t>
      </w:r>
      <w:r w:rsidR="00871439" w:rsidRPr="007B3CF1">
        <w:t>d</w:t>
      </w:r>
      <w:r w:rsidR="00157B48" w:rsidRPr="007B3CF1">
        <w:t>ecision</w:t>
      </w:r>
      <w:r w:rsidR="00591871" w:rsidRPr="007B3CF1">
        <w:t xml:space="preserve"> have been implemented or accomplished, the </w:t>
      </w:r>
      <w:r w:rsidR="00871439" w:rsidRPr="007B3CF1">
        <w:t>r</w:t>
      </w:r>
      <w:r w:rsidR="00591871" w:rsidRPr="007B3CF1">
        <w:t>esolution</w:t>
      </w:r>
      <w:r w:rsidR="008D5C9B">
        <w:t>/</w:t>
      </w:r>
      <w:r w:rsidR="00871439">
        <w:t>d</w:t>
      </w:r>
      <w:r w:rsidR="008D5C9B">
        <w:t>ecision</w:t>
      </w:r>
      <w:r w:rsidR="00591871" w:rsidRPr="007B3CF1">
        <w:t xml:space="preserve"> can be considered fulfilled and can be suppressed.</w:t>
      </w:r>
    </w:p>
    <w:p w14:paraId="2038D5F0" w14:textId="7D094CFC" w:rsidR="001B0B15" w:rsidRPr="007B3CF1" w:rsidRDefault="19B96A59" w:rsidP="007B3CF1">
      <w:pPr>
        <w:pStyle w:val="enumlev1"/>
        <w:jc w:val="both"/>
      </w:pPr>
      <w:r>
        <w:t>7</w:t>
      </w:r>
      <w:r w:rsidR="007B3CF1">
        <w:tab/>
      </w:r>
      <w:r w:rsidR="1DA7553B">
        <w:t xml:space="preserve">If no change is to be made to the substance of the </w:t>
      </w:r>
      <w:r w:rsidR="41AF7CD5">
        <w:t>r</w:t>
      </w:r>
      <w:r w:rsidR="1DA7553B">
        <w:t>esolution</w:t>
      </w:r>
      <w:r w:rsidR="6849B974">
        <w:t>/</w:t>
      </w:r>
      <w:r w:rsidR="41AF7CD5">
        <w:t>d</w:t>
      </w:r>
      <w:r w:rsidR="6849B974">
        <w:t>ecision</w:t>
      </w:r>
      <w:r w:rsidR="1DA7553B">
        <w:t xml:space="preserve">, no editorial updates (such as date or venue of the conference) will be made to the </w:t>
      </w:r>
      <w:r w:rsidR="41AF7CD5">
        <w:t>r</w:t>
      </w:r>
      <w:r w:rsidR="1DA7553B">
        <w:t>esolution</w:t>
      </w:r>
      <w:r w:rsidR="4C9EA535">
        <w:t>/</w:t>
      </w:r>
      <w:r w:rsidR="41AF7CD5">
        <w:t>d</w:t>
      </w:r>
      <w:r w:rsidR="4C9EA535">
        <w:t>ecision</w:t>
      </w:r>
      <w:r w:rsidR="1DA7553B">
        <w:t>, i.e. it should remain as No Change (NOC</w:t>
      </w:r>
      <w:r w:rsidR="01B64765">
        <w:t xml:space="preserve"> and </w:t>
      </w:r>
      <w:r w:rsidR="01B64765" w:rsidRPr="001E2D4E">
        <w:rPr>
          <w:u w:val="single"/>
        </w:rPr>
        <w:t>NOC</w:t>
      </w:r>
      <w:r w:rsidR="1DA7553B" w:rsidRPr="001E2D4E">
        <w:rPr>
          <w:u w:val="single"/>
        </w:rPr>
        <w:t>)</w:t>
      </w:r>
      <w:r w:rsidR="1DA7553B">
        <w:t>.</w:t>
      </w:r>
    </w:p>
    <w:p w14:paraId="4367E886" w14:textId="68DB6A29" w:rsidR="000E5DE9" w:rsidRPr="007B3CF1" w:rsidRDefault="007B3CF1" w:rsidP="007B3CF1">
      <w:pPr>
        <w:pStyle w:val="enumlev1"/>
        <w:jc w:val="both"/>
      </w:pPr>
      <w:r w:rsidRPr="007B3CF1">
        <w:t>8</w:t>
      </w:r>
      <w:r w:rsidRPr="007B3CF1">
        <w:tab/>
      </w:r>
      <w:r w:rsidR="00591871" w:rsidRPr="007B3CF1">
        <w:t>Editorial modifications should be kept to a minimum or to what is strictly necessary for their efficient implementation.</w:t>
      </w:r>
    </w:p>
    <w:p w14:paraId="599C7FA2" w14:textId="4484A898" w:rsidR="007D0761" w:rsidRPr="007B3CF1" w:rsidRDefault="007B3CF1" w:rsidP="007B3CF1">
      <w:pPr>
        <w:pStyle w:val="enumlev1"/>
        <w:jc w:val="both"/>
      </w:pPr>
      <w:r w:rsidRPr="007B3CF1">
        <w:t>9</w:t>
      </w:r>
      <w:r w:rsidRPr="007B3CF1">
        <w:tab/>
      </w:r>
      <w:r w:rsidR="00591871" w:rsidRPr="007B3CF1">
        <w:t xml:space="preserve">If only editorial updates are required to a </w:t>
      </w:r>
      <w:r w:rsidR="00871439" w:rsidRPr="007B3CF1">
        <w:t>r</w:t>
      </w:r>
      <w:r w:rsidR="00591871" w:rsidRPr="007B3CF1">
        <w:t>esolution</w:t>
      </w:r>
      <w:r w:rsidR="000E5DE9" w:rsidRPr="007B3CF1">
        <w:t>/</w:t>
      </w:r>
      <w:r w:rsidR="00871439" w:rsidRPr="007B3CF1">
        <w:t>d</w:t>
      </w:r>
      <w:r w:rsidR="000E5DE9" w:rsidRPr="007B3CF1">
        <w:t>ecision</w:t>
      </w:r>
      <w:r w:rsidR="00591871" w:rsidRPr="007B3CF1">
        <w:t xml:space="preserve">, the necessary editorial amendments could be entrusted by </w:t>
      </w:r>
      <w:r w:rsidR="000E5DE9" w:rsidRPr="007B3CF1">
        <w:t xml:space="preserve">the Plenipotentiary Conference </w:t>
      </w:r>
      <w:r w:rsidR="007D0761" w:rsidRPr="007B3CF1">
        <w:t xml:space="preserve">to the </w:t>
      </w:r>
      <w:r w:rsidR="00440927" w:rsidRPr="007B3CF1">
        <w:t xml:space="preserve">Editorial Committee before </w:t>
      </w:r>
      <w:r w:rsidR="00591871" w:rsidRPr="007B3CF1">
        <w:t xml:space="preserve">the publication of the </w:t>
      </w:r>
      <w:r w:rsidR="00871439" w:rsidRPr="007B3CF1">
        <w:t>r</w:t>
      </w:r>
      <w:r w:rsidR="00591871" w:rsidRPr="007B3CF1">
        <w:t>esolution</w:t>
      </w:r>
      <w:r w:rsidR="007D0761" w:rsidRPr="007B3CF1">
        <w:t>/</w:t>
      </w:r>
      <w:r w:rsidR="00871439" w:rsidRPr="007B3CF1">
        <w:t>d</w:t>
      </w:r>
      <w:r w:rsidR="007D0761" w:rsidRPr="007B3CF1">
        <w:t>ecision</w:t>
      </w:r>
      <w:r w:rsidR="00591871" w:rsidRPr="007B3CF1">
        <w:t>.</w:t>
      </w:r>
    </w:p>
    <w:p w14:paraId="1A1ABE21" w14:textId="3044B92B" w:rsidR="00591871" w:rsidRPr="007B3CF1" w:rsidRDefault="007B3CF1" w:rsidP="007B3CF1">
      <w:pPr>
        <w:pStyle w:val="enumlev1"/>
        <w:jc w:val="both"/>
      </w:pPr>
      <w:r>
        <w:t>10</w:t>
      </w:r>
      <w:r>
        <w:tab/>
      </w:r>
      <w:r w:rsidR="00591871">
        <w:t xml:space="preserve">PP </w:t>
      </w:r>
      <w:r w:rsidR="00871439">
        <w:t>r</w:t>
      </w:r>
      <w:r w:rsidR="00591871">
        <w:t>esolutions</w:t>
      </w:r>
      <w:r w:rsidR="00A96F20">
        <w:t>/</w:t>
      </w:r>
      <w:r w:rsidR="00871439">
        <w:t>d</w:t>
      </w:r>
      <w:r w:rsidR="00A96F20">
        <w:t>ecisions</w:t>
      </w:r>
      <w:r w:rsidR="00591871">
        <w:t xml:space="preserve"> should be reviewed during the preparation of </w:t>
      </w:r>
      <w:r w:rsidR="00090F2F">
        <w:t>PP</w:t>
      </w:r>
      <w:r w:rsidR="00591871">
        <w:t xml:space="preserve"> in regional preparatory meetings and as much as possible in inter-regional coordination meetings. </w:t>
      </w:r>
      <w:r w:rsidR="00591871">
        <w:lastRenderedPageBreak/>
        <w:t xml:space="preserve">A </w:t>
      </w:r>
      <w:r w:rsidR="008911AD">
        <w:t xml:space="preserve">list of </w:t>
      </w:r>
      <w:r w:rsidR="00871439">
        <w:t>r</w:t>
      </w:r>
      <w:r w:rsidR="00591871">
        <w:t>esolution</w:t>
      </w:r>
      <w:r w:rsidR="00090F2F">
        <w:t>/</w:t>
      </w:r>
      <w:r w:rsidR="00871439">
        <w:t>d</w:t>
      </w:r>
      <w:r w:rsidR="00090F2F">
        <w:t>ecision</w:t>
      </w:r>
      <w:r w:rsidR="00591871">
        <w:t xml:space="preserve"> </w:t>
      </w:r>
      <w:r w:rsidR="008911AD">
        <w:t xml:space="preserve">proposed to be </w:t>
      </w:r>
      <w:r w:rsidR="00584AE9">
        <w:t>reviewed</w:t>
      </w:r>
      <w:r w:rsidR="00591871">
        <w:t xml:space="preserve"> </w:t>
      </w:r>
      <w:r w:rsidR="008D5C9B">
        <w:t xml:space="preserve">can </w:t>
      </w:r>
      <w:r w:rsidR="00591871">
        <w:t xml:space="preserve">be provided by </w:t>
      </w:r>
      <w:r w:rsidR="00C71096">
        <w:t>the secretariat</w:t>
      </w:r>
      <w:r w:rsidR="00591871">
        <w:t xml:space="preserve"> for further consideration by</w:t>
      </w:r>
      <w:r w:rsidR="00C71096">
        <w:t xml:space="preserve"> Member States</w:t>
      </w:r>
      <w:r w:rsidR="00591871">
        <w:t>.</w:t>
      </w:r>
    </w:p>
    <w:p w14:paraId="0EFCB9DB" w14:textId="0E523264" w:rsidR="00591871" w:rsidRPr="007B3CF1" w:rsidRDefault="00EE5F0F" w:rsidP="008458B3">
      <w:r w:rsidRPr="007B3CF1">
        <w:t>When d</w:t>
      </w:r>
      <w:r w:rsidR="00591871" w:rsidRPr="007B3CF1">
        <w:t xml:space="preserve">rafting </w:t>
      </w:r>
      <w:r w:rsidR="00871439" w:rsidRPr="007B3CF1">
        <w:t>r</w:t>
      </w:r>
      <w:r w:rsidR="00591871" w:rsidRPr="007B3CF1">
        <w:t>esolutions</w:t>
      </w:r>
      <w:r w:rsidRPr="007B3CF1">
        <w:t>/</w:t>
      </w:r>
      <w:r w:rsidR="00871439" w:rsidRPr="007B3CF1">
        <w:t>d</w:t>
      </w:r>
      <w:r w:rsidRPr="007B3CF1">
        <w:t>ecisions</w:t>
      </w:r>
      <w:r w:rsidR="00EC3720" w:rsidRPr="007B3CF1">
        <w:t>, the following guidelines can be followed:</w:t>
      </w:r>
    </w:p>
    <w:p w14:paraId="083B00F5" w14:textId="416285CF" w:rsidR="00DA5A27" w:rsidRPr="007B3CF1" w:rsidRDefault="007B3CF1" w:rsidP="007B3CF1">
      <w:pPr>
        <w:pStyle w:val="enumlev1"/>
        <w:jc w:val="both"/>
      </w:pPr>
      <w:r w:rsidRPr="007B3CF1">
        <w:t>1</w:t>
      </w:r>
      <w:r w:rsidRPr="007B3CF1">
        <w:tab/>
      </w:r>
      <w:r w:rsidR="00591871" w:rsidRPr="007B3CF1">
        <w:t xml:space="preserve">It is preferable for a </w:t>
      </w:r>
      <w:r w:rsidR="00871439" w:rsidRPr="007B3CF1">
        <w:t>r</w:t>
      </w:r>
      <w:r w:rsidR="00591871" w:rsidRPr="007B3CF1">
        <w:t>esolution</w:t>
      </w:r>
      <w:r w:rsidR="00DA5A27" w:rsidRPr="007B3CF1">
        <w:t>/</w:t>
      </w:r>
      <w:r w:rsidR="00871439" w:rsidRPr="007B3CF1">
        <w:t>d</w:t>
      </w:r>
      <w:r w:rsidR="00DA5A27" w:rsidRPr="007B3CF1">
        <w:t>ecision</w:t>
      </w:r>
      <w:r w:rsidR="00591871" w:rsidRPr="007B3CF1">
        <w:t xml:space="preserve"> not to exceed four A4-pages</w:t>
      </w:r>
      <w:r w:rsidR="00B84D7E">
        <w:t>.</w:t>
      </w:r>
      <w:r w:rsidR="00DA5A27" w:rsidRPr="007B3CF1">
        <w:t xml:space="preserve"> </w:t>
      </w:r>
    </w:p>
    <w:p w14:paraId="35C88FDD" w14:textId="76E14B24" w:rsidR="00D7341B" w:rsidRPr="007B3CF1" w:rsidRDefault="007B3CF1" w:rsidP="007B3CF1">
      <w:pPr>
        <w:pStyle w:val="enumlev1"/>
        <w:jc w:val="both"/>
      </w:pPr>
      <w:r>
        <w:t>2</w:t>
      </w:r>
      <w:r>
        <w:tab/>
      </w:r>
      <w:r w:rsidR="00591871">
        <w:t xml:space="preserve">The "preamble" part of a </w:t>
      </w:r>
      <w:r w:rsidR="00871439">
        <w:t>r</w:t>
      </w:r>
      <w:r w:rsidR="00591871">
        <w:t>esolution</w:t>
      </w:r>
      <w:r w:rsidR="00DA5A27">
        <w:t>/</w:t>
      </w:r>
      <w:r w:rsidR="00871439">
        <w:t>d</w:t>
      </w:r>
      <w:r w:rsidR="00DA5A27">
        <w:t>ecision</w:t>
      </w:r>
      <w:r w:rsidR="00591871">
        <w:t xml:space="preserve"> should be as concise as possible, summarizing key rationales for justification. It is preferable that the "preamble" part does not exceed one A4 page. While any additional explanation and justification such as a detailed chronicle of events, bibliography, historical activities and achievements could be </w:t>
      </w:r>
      <w:r w:rsidR="00532924">
        <w:t>presented as</w:t>
      </w:r>
      <w:r w:rsidR="00591871">
        <w:t xml:space="preserve"> background </w:t>
      </w:r>
      <w:r w:rsidR="00532924">
        <w:t>of</w:t>
      </w:r>
      <w:r w:rsidR="00591871">
        <w:t xml:space="preserve"> a contribution, their inclusion </w:t>
      </w:r>
      <w:r w:rsidR="5F5BBAFB">
        <w:t xml:space="preserve">should </w:t>
      </w:r>
      <w:r w:rsidR="00591871">
        <w:t xml:space="preserve">be avoided in the adopted final </w:t>
      </w:r>
      <w:r w:rsidR="00871439">
        <w:t>r</w:t>
      </w:r>
      <w:r w:rsidR="00591871">
        <w:t>esolution</w:t>
      </w:r>
      <w:r w:rsidR="00D7341B">
        <w:t>/</w:t>
      </w:r>
      <w:r w:rsidR="00871439">
        <w:t>d</w:t>
      </w:r>
      <w:r w:rsidR="00D7341B">
        <w:t>ecision</w:t>
      </w:r>
      <w:r w:rsidR="00591871">
        <w:t xml:space="preserve"> text.</w:t>
      </w:r>
    </w:p>
    <w:p w14:paraId="3AA84AB7" w14:textId="7BB43761" w:rsidR="00A87815" w:rsidRPr="007B3CF1" w:rsidRDefault="007B3CF1" w:rsidP="007B3CF1">
      <w:pPr>
        <w:pStyle w:val="enumlev1"/>
        <w:jc w:val="both"/>
      </w:pPr>
      <w:r w:rsidRPr="007B3CF1">
        <w:t>3</w:t>
      </w:r>
      <w:r w:rsidRPr="007B3CF1">
        <w:tab/>
      </w:r>
      <w:r w:rsidR="00591871" w:rsidRPr="007B3CF1">
        <w:t xml:space="preserve">Cross-reference to other ITU </w:t>
      </w:r>
      <w:r w:rsidR="00871439" w:rsidRPr="007B3CF1">
        <w:t>r</w:t>
      </w:r>
      <w:r w:rsidR="00591871" w:rsidRPr="007B3CF1">
        <w:t>esolutions should be kept to a minimum as necessary ("minimum cross-reference principle"), while striking a balance to avoid inserting material copied from other instruments.</w:t>
      </w:r>
    </w:p>
    <w:p w14:paraId="4449F0CC" w14:textId="16D0C23C" w:rsidR="00247A47" w:rsidRPr="007B3CF1" w:rsidRDefault="007B3CF1" w:rsidP="007B3CF1">
      <w:pPr>
        <w:pStyle w:val="enumlev1"/>
        <w:jc w:val="both"/>
      </w:pPr>
      <w:r w:rsidRPr="007B3CF1">
        <w:t>4</w:t>
      </w:r>
      <w:r w:rsidRPr="007B3CF1">
        <w:tab/>
      </w:r>
      <w:r w:rsidR="00591871" w:rsidRPr="007B3CF1">
        <w:t xml:space="preserve">Once </w:t>
      </w:r>
      <w:r w:rsidR="00633B32" w:rsidRPr="007B3CF1">
        <w:t>a</w:t>
      </w:r>
      <w:r w:rsidR="00591871" w:rsidRPr="007B3CF1">
        <w:t xml:space="preserve"> </w:t>
      </w:r>
      <w:r w:rsidR="00871439" w:rsidRPr="007B3CF1">
        <w:t>r</w:t>
      </w:r>
      <w:r w:rsidR="00591871" w:rsidRPr="007B3CF1">
        <w:t>esolution</w:t>
      </w:r>
      <w:r w:rsidR="00633B32" w:rsidRPr="007B3CF1">
        <w:t>/</w:t>
      </w:r>
      <w:r w:rsidR="00871439" w:rsidRPr="007B3CF1">
        <w:t>d</w:t>
      </w:r>
      <w:r w:rsidR="00633B32" w:rsidRPr="007B3CF1">
        <w:t>ecision</w:t>
      </w:r>
      <w:r w:rsidR="00591871" w:rsidRPr="007B3CF1">
        <w:t xml:space="preserve"> on the same or relevant subject is referenced, any identical justification or rational text should be minimized whereas additional specific justification or rational could be added to this </w:t>
      </w:r>
      <w:r w:rsidR="00871439" w:rsidRPr="007B3CF1">
        <w:t>r</w:t>
      </w:r>
      <w:r w:rsidR="00591871" w:rsidRPr="007B3CF1">
        <w:t>esolution</w:t>
      </w:r>
      <w:r w:rsidR="00247A47" w:rsidRPr="007B3CF1">
        <w:t>/</w:t>
      </w:r>
      <w:r w:rsidR="00871439" w:rsidRPr="007B3CF1">
        <w:t>d</w:t>
      </w:r>
      <w:r w:rsidR="00247A47" w:rsidRPr="007B3CF1">
        <w:t>ecision</w:t>
      </w:r>
      <w:r w:rsidR="00591871" w:rsidRPr="007B3CF1">
        <w:t xml:space="preserve"> ("no repetition principle")</w:t>
      </w:r>
      <w:r w:rsidR="0007744C">
        <w:t>.</w:t>
      </w:r>
      <w:r w:rsidR="00247A47" w:rsidRPr="007B3CF1">
        <w:t xml:space="preserve"> </w:t>
      </w:r>
    </w:p>
    <w:p w14:paraId="56F21D5E" w14:textId="3E303003" w:rsidR="00C315CD" w:rsidRPr="007B3CF1" w:rsidRDefault="007B3CF1" w:rsidP="007B3CF1">
      <w:pPr>
        <w:pStyle w:val="enumlev1"/>
        <w:jc w:val="both"/>
      </w:pPr>
      <w:r w:rsidRPr="007B3CF1">
        <w:t>5</w:t>
      </w:r>
      <w:r w:rsidRPr="007B3CF1">
        <w:tab/>
      </w:r>
      <w:r w:rsidR="00591871" w:rsidRPr="007B3CF1">
        <w:t xml:space="preserve">Reference to the ITU Constitution, Convention and the General Rules should prevail a reference to a </w:t>
      </w:r>
      <w:r w:rsidR="00871439" w:rsidRPr="007B3CF1">
        <w:t>r</w:t>
      </w:r>
      <w:r w:rsidR="00591871" w:rsidRPr="007B3CF1">
        <w:t>esolution</w:t>
      </w:r>
      <w:r w:rsidR="00C315CD" w:rsidRPr="007B3CF1">
        <w:t>/</w:t>
      </w:r>
      <w:r w:rsidR="00871439" w:rsidRPr="007B3CF1">
        <w:t>d</w:t>
      </w:r>
      <w:r w:rsidR="00C315CD" w:rsidRPr="007B3CF1">
        <w:t>ecision</w:t>
      </w:r>
      <w:r w:rsidR="00591871" w:rsidRPr="007B3CF1">
        <w:t xml:space="preserve"> of a Plenipotentiary </w:t>
      </w:r>
      <w:r w:rsidR="00C315CD" w:rsidRPr="007B3CF1">
        <w:t>C</w:t>
      </w:r>
      <w:r w:rsidR="00591871" w:rsidRPr="007B3CF1">
        <w:t xml:space="preserve">onference </w:t>
      </w:r>
      <w:r w:rsidR="00C315CD" w:rsidRPr="007B3CF1">
        <w:t xml:space="preserve">only, </w:t>
      </w:r>
      <w:r w:rsidR="00591871" w:rsidRPr="007B3CF1">
        <w:t xml:space="preserve">when applicable. </w:t>
      </w:r>
    </w:p>
    <w:p w14:paraId="6266F9D0" w14:textId="59AEAFAA" w:rsidR="001138C2" w:rsidRPr="007B3CF1" w:rsidRDefault="007B3CF1" w:rsidP="007B3CF1">
      <w:pPr>
        <w:pStyle w:val="enumlev1"/>
        <w:jc w:val="both"/>
      </w:pPr>
      <w:r w:rsidRPr="007B3CF1">
        <w:t>6</w:t>
      </w:r>
      <w:r w:rsidRPr="007B3CF1">
        <w:tab/>
      </w:r>
      <w:r w:rsidR="00591871" w:rsidRPr="007B3CF1">
        <w:t>When reference to the conclusion or output of an event is deemed necessary, the reference should be meaningful and in substance to specify its relevance, avoiding only listing the event per se ("no chronicle of events principle").</w:t>
      </w:r>
    </w:p>
    <w:p w14:paraId="02AE441A" w14:textId="1D95FF07" w:rsidR="00631350" w:rsidRPr="007B3CF1" w:rsidRDefault="007B3CF1" w:rsidP="007B3CF1">
      <w:pPr>
        <w:pStyle w:val="enumlev1"/>
        <w:jc w:val="both"/>
      </w:pPr>
      <w:r w:rsidRPr="007B3CF1">
        <w:t>7</w:t>
      </w:r>
      <w:r w:rsidRPr="007B3CF1">
        <w:tab/>
      </w:r>
      <w:r w:rsidR="00591871" w:rsidRPr="007B3CF1">
        <w:t xml:space="preserve">Any reference to documents should be meaningful and substantive to specify its relevance to the purpose of the </w:t>
      </w:r>
      <w:r w:rsidR="00871439" w:rsidRPr="007B3CF1">
        <w:t>r</w:t>
      </w:r>
      <w:r w:rsidR="00591871" w:rsidRPr="007B3CF1">
        <w:t>esolution</w:t>
      </w:r>
      <w:r w:rsidR="00631350" w:rsidRPr="007B3CF1">
        <w:t>/</w:t>
      </w:r>
      <w:r w:rsidR="00871439" w:rsidRPr="007B3CF1">
        <w:t>d</w:t>
      </w:r>
      <w:r w:rsidR="00631350" w:rsidRPr="007B3CF1">
        <w:t>ecision</w:t>
      </w:r>
      <w:r w:rsidR="00591871" w:rsidRPr="007B3CF1">
        <w:t xml:space="preserve"> ("no bibliography principle").</w:t>
      </w:r>
    </w:p>
    <w:p w14:paraId="52235DF5" w14:textId="1E656319" w:rsidR="003C68D6" w:rsidRPr="007B3CF1" w:rsidRDefault="007B3CF1" w:rsidP="007B3CF1">
      <w:pPr>
        <w:pStyle w:val="enumlev1"/>
        <w:jc w:val="both"/>
      </w:pPr>
      <w:r w:rsidRPr="007B3CF1">
        <w:t>8</w:t>
      </w:r>
      <w:r w:rsidRPr="007B3CF1">
        <w:tab/>
      </w:r>
      <w:r w:rsidR="00591871" w:rsidRPr="007B3CF1">
        <w:t xml:space="preserve">When drafting the "operational" part of a </w:t>
      </w:r>
      <w:r w:rsidR="00871439" w:rsidRPr="007B3CF1">
        <w:t>r</w:t>
      </w:r>
      <w:r w:rsidR="00591871" w:rsidRPr="007B3CF1">
        <w:t>esolution</w:t>
      </w:r>
      <w:r w:rsidR="00631350" w:rsidRPr="007B3CF1">
        <w:t>/</w:t>
      </w:r>
      <w:r w:rsidR="00871439" w:rsidRPr="007B3CF1">
        <w:t>d</w:t>
      </w:r>
      <w:r w:rsidR="00631350" w:rsidRPr="007B3CF1">
        <w:t>ecision</w:t>
      </w:r>
      <w:r w:rsidR="00591871" w:rsidRPr="007B3CF1">
        <w:t>, the following should be kept in mind:</w:t>
      </w:r>
    </w:p>
    <w:p w14:paraId="209985FC" w14:textId="758B66B0" w:rsidR="00EF32DA" w:rsidRPr="007B3CF1" w:rsidRDefault="007B3CF1" w:rsidP="008458B3">
      <w:pPr>
        <w:pStyle w:val="enumlev2"/>
        <w:jc w:val="both"/>
      </w:pPr>
      <w:r w:rsidRPr="007B3CF1">
        <w:t>a</w:t>
      </w:r>
      <w:r w:rsidR="00B84D7E">
        <w:t>)</w:t>
      </w:r>
      <w:r w:rsidRPr="007B3CF1">
        <w:tab/>
      </w:r>
      <w:r w:rsidR="00591871" w:rsidRPr="007B3CF1">
        <w:t>use an appropriate verb to specify an implementable action by a respective entity according to its proper mandate ("identified entity and specific action principle");</w:t>
      </w:r>
    </w:p>
    <w:p w14:paraId="389FE01B" w14:textId="1DB2003A" w:rsidR="0048201D" w:rsidRPr="007B3CF1" w:rsidRDefault="007B3CF1" w:rsidP="008458B3">
      <w:pPr>
        <w:pStyle w:val="enumlev2"/>
        <w:jc w:val="both"/>
      </w:pPr>
      <w:r w:rsidRPr="007B3CF1">
        <w:t>b</w:t>
      </w:r>
      <w:r w:rsidR="00B84D7E">
        <w:t>)</w:t>
      </w:r>
      <w:r w:rsidRPr="007B3CF1">
        <w:tab/>
      </w:r>
      <w:r w:rsidR="00591871" w:rsidRPr="007B3CF1">
        <w:t>specify an expected result (s) so that the achievement in implementing this action can be measurable as much as possible using objective measurement methodologies ("measurable result principle");</w:t>
      </w:r>
    </w:p>
    <w:p w14:paraId="24AA596D" w14:textId="5B24CDA6" w:rsidR="0048201D" w:rsidRPr="007B3CF1" w:rsidRDefault="007B3CF1" w:rsidP="008458B3">
      <w:pPr>
        <w:pStyle w:val="enumlev2"/>
        <w:jc w:val="both"/>
      </w:pPr>
      <w:r w:rsidRPr="007B3CF1">
        <w:t>c</w:t>
      </w:r>
      <w:r w:rsidR="00B84D7E">
        <w:t>)</w:t>
      </w:r>
      <w:r w:rsidRPr="007B3CF1">
        <w:tab/>
      </w:r>
      <w:r w:rsidR="00591871" w:rsidRPr="007B3CF1">
        <w:t xml:space="preserve">plan or recommend a course of actions with milestones and/or </w:t>
      </w:r>
      <w:r w:rsidR="006E1DEE" w:rsidRPr="007B3CF1">
        <w:t>checkpoints</w:t>
      </w:r>
      <w:r w:rsidR="00591871" w:rsidRPr="007B3CF1">
        <w:t xml:space="preserve"> as appropriate ("planning principle");</w:t>
      </w:r>
    </w:p>
    <w:p w14:paraId="065CD724" w14:textId="41614FF0" w:rsidR="0048201D" w:rsidRPr="007B3CF1" w:rsidRDefault="19B96A59" w:rsidP="008458B3">
      <w:pPr>
        <w:pStyle w:val="enumlev2"/>
        <w:jc w:val="both"/>
      </w:pPr>
      <w:r>
        <w:t>d</w:t>
      </w:r>
      <w:r w:rsidR="00B84D7E">
        <w:t>)</w:t>
      </w:r>
      <w:r w:rsidR="007B3CF1">
        <w:tab/>
      </w:r>
      <w:r w:rsidR="1DA7553B">
        <w:t>specify a reporting and expiration mechanism as appropriate ("report/expire principle");</w:t>
      </w:r>
      <w:r w:rsidR="0C2576FF">
        <w:t xml:space="preserve"> and</w:t>
      </w:r>
    </w:p>
    <w:p w14:paraId="27B370ED" w14:textId="59DD02F4" w:rsidR="00F0226F" w:rsidRPr="007B3CF1" w:rsidRDefault="19B96A59" w:rsidP="008458B3">
      <w:pPr>
        <w:pStyle w:val="enumlev2"/>
        <w:jc w:val="both"/>
      </w:pPr>
      <w:r>
        <w:t>e</w:t>
      </w:r>
      <w:r w:rsidR="00B84D7E">
        <w:t>)</w:t>
      </w:r>
      <w:r w:rsidR="007B3CF1">
        <w:tab/>
      </w:r>
      <w:r w:rsidR="1DA7553B">
        <w:t xml:space="preserve">specify concrete instructions </w:t>
      </w:r>
      <w:r w:rsidR="5732FE48">
        <w:t>to the</w:t>
      </w:r>
      <w:r w:rsidR="1DA7553B">
        <w:t xml:space="preserve"> relevant </w:t>
      </w:r>
      <w:r w:rsidR="5732FE48">
        <w:t xml:space="preserve">actors </w:t>
      </w:r>
      <w:r w:rsidR="1DA7553B">
        <w:t xml:space="preserve">for the implementation of the </w:t>
      </w:r>
      <w:r w:rsidR="41AF7CD5">
        <w:t>r</w:t>
      </w:r>
      <w:r w:rsidR="1DA7553B">
        <w:t>esolution</w:t>
      </w:r>
      <w:r w:rsidR="5732FE48">
        <w:t>/</w:t>
      </w:r>
      <w:r w:rsidR="41AF7CD5">
        <w:t>d</w:t>
      </w:r>
      <w:r w:rsidR="5732FE48">
        <w:t>ecision</w:t>
      </w:r>
      <w:r w:rsidR="1DA7553B">
        <w:t>, if required</w:t>
      </w:r>
      <w:r w:rsidR="0788F5B7">
        <w:t>.</w:t>
      </w:r>
    </w:p>
    <w:p w14:paraId="4088E4AC" w14:textId="0EC73079" w:rsidR="00633B9E" w:rsidRDefault="006E1DEE" w:rsidP="006E1DEE">
      <w:pPr>
        <w:pStyle w:val="enumlev2"/>
        <w:ind w:left="0" w:firstLine="0"/>
        <w:jc w:val="both"/>
      </w:pPr>
      <w:r>
        <w:t>9</w:t>
      </w:r>
      <w:r>
        <w:tab/>
        <w:t xml:space="preserve">Take into account that </w:t>
      </w:r>
      <w:r w:rsidR="00633B9E">
        <w:t>an instruction given to the membership is non-binding.</w:t>
      </w:r>
    </w:p>
    <w:p w14:paraId="5C786DB2" w14:textId="0A9B3FAB" w:rsidR="00C908C3" w:rsidRPr="007B3CF1" w:rsidRDefault="006E1DEE" w:rsidP="007B3CF1">
      <w:pPr>
        <w:pStyle w:val="enumlev1"/>
        <w:jc w:val="both"/>
      </w:pPr>
      <w:r>
        <w:t>10</w:t>
      </w:r>
      <w:r w:rsidR="007B3CF1" w:rsidRPr="007B3CF1">
        <w:tab/>
      </w:r>
      <w:r w:rsidR="00C908C3" w:rsidRPr="007B3CF1">
        <w:t>Member States are requested to use CPI</w:t>
      </w:r>
      <w:r w:rsidR="00797568" w:rsidRPr="007B3CF1">
        <w:t xml:space="preserve"> </w:t>
      </w:r>
      <w:r w:rsidR="00C908C3" w:rsidRPr="007B3CF1">
        <w:t xml:space="preserve">to create the skeleton of their contribution(s), mainly because </w:t>
      </w:r>
      <w:r w:rsidR="004D04EA" w:rsidRPr="007B3CF1">
        <w:t>it</w:t>
      </w:r>
      <w:r w:rsidR="00C908C3" w:rsidRPr="007B3CF1">
        <w:t xml:space="preserve"> contains the correct “styles” (</w:t>
      </w:r>
      <w:r w:rsidR="0053445C" w:rsidRPr="007B3CF1">
        <w:t xml:space="preserve">i.e. </w:t>
      </w:r>
      <w:r w:rsidR="00C908C3" w:rsidRPr="007B3CF1">
        <w:t>Annex number, annex title, etc.).</w:t>
      </w:r>
    </w:p>
    <w:p w14:paraId="5FA3470B" w14:textId="2EEA7BCB" w:rsidR="003B2DF8" w:rsidRPr="00B84D7E" w:rsidRDefault="54482032" w:rsidP="00B84D7E">
      <w:pPr>
        <w:jc w:val="both"/>
      </w:pPr>
      <w:r w:rsidRPr="001E2D4E">
        <w:t>For more information</w:t>
      </w:r>
      <w:r w:rsidR="4DFA927B" w:rsidRPr="001E2D4E">
        <w:t xml:space="preserve"> on how to draft </w:t>
      </w:r>
      <w:r w:rsidR="41AF7CD5" w:rsidRPr="001E2D4E">
        <w:t>r</w:t>
      </w:r>
      <w:r w:rsidR="4DFA927B" w:rsidRPr="001E2D4E">
        <w:t>esolutions/</w:t>
      </w:r>
      <w:r w:rsidR="41AF7CD5" w:rsidRPr="001E2D4E">
        <w:t>d</w:t>
      </w:r>
      <w:r w:rsidR="4DFA927B" w:rsidRPr="001E2D4E">
        <w:t>ecisions</w:t>
      </w:r>
      <w:r w:rsidRPr="001E2D4E">
        <w:t>, please visit the</w:t>
      </w:r>
      <w:r w:rsidR="4972604A" w:rsidRPr="001E2D4E">
        <w:t xml:space="preserve"> ITU </w:t>
      </w:r>
      <w:hyperlink r:id="rId16" w:history="1">
        <w:r w:rsidR="4972604A" w:rsidRPr="00B84D7E">
          <w:rPr>
            <w:rStyle w:val="Hyperlink"/>
          </w:rPr>
          <w:t>Plenipotentiary Conference</w:t>
        </w:r>
      </w:hyperlink>
      <w:r w:rsidR="4972604A" w:rsidRPr="00B84D7E">
        <w:t xml:space="preserve"> and the</w:t>
      </w:r>
      <w:r w:rsidRPr="00B84D7E">
        <w:t xml:space="preserve"> </w:t>
      </w:r>
      <w:hyperlink r:id="rId17">
        <w:r w:rsidRPr="00B84D7E">
          <w:rPr>
            <w:rStyle w:val="Hyperlink"/>
          </w:rPr>
          <w:t xml:space="preserve">ITU </w:t>
        </w:r>
        <w:r w:rsidR="4515C275" w:rsidRPr="00B84D7E">
          <w:rPr>
            <w:rStyle w:val="Hyperlink"/>
          </w:rPr>
          <w:t>Language Tools</w:t>
        </w:r>
      </w:hyperlink>
      <w:r w:rsidR="4515C275" w:rsidRPr="00B84D7E">
        <w:t xml:space="preserve"> website</w:t>
      </w:r>
      <w:r w:rsidR="4C572FE1" w:rsidRPr="00B84D7E">
        <w:t>s</w:t>
      </w:r>
      <w:r w:rsidR="4515C275" w:rsidRPr="00B84D7E">
        <w:t>.</w:t>
      </w:r>
    </w:p>
    <w:p w14:paraId="75D2F51F" w14:textId="19A42A73" w:rsidR="00BF3928" w:rsidRPr="007B3CF1" w:rsidRDefault="00B371DE" w:rsidP="00B84D7E">
      <w:pPr>
        <w:jc w:val="both"/>
      </w:pPr>
      <w:r w:rsidRPr="007B3CF1">
        <w:lastRenderedPageBreak/>
        <w:t>Furthermore, t</w:t>
      </w:r>
      <w:r w:rsidR="00BF3928" w:rsidRPr="007B3CF1">
        <w:t xml:space="preserve">he secretariat is developing a </w:t>
      </w:r>
      <w:r w:rsidR="00161EF6" w:rsidRPr="007B3CF1">
        <w:t xml:space="preserve">platform </w:t>
      </w:r>
      <w:r w:rsidR="00CD781A" w:rsidRPr="007B3CF1">
        <w:t>to help Member States analyse the in</w:t>
      </w:r>
      <w:r w:rsidR="00B84D7E">
        <w:noBreakHyphen/>
      </w:r>
      <w:r w:rsidR="00CD781A" w:rsidRPr="007B3CF1">
        <w:t xml:space="preserve">force </w:t>
      </w:r>
      <w:r w:rsidR="0093713A" w:rsidRPr="007B3CF1">
        <w:t>PP</w:t>
      </w:r>
      <w:r w:rsidR="00871439">
        <w:t xml:space="preserve"> </w:t>
      </w:r>
      <w:r w:rsidR="00871439" w:rsidRPr="007B3CF1">
        <w:t>r</w:t>
      </w:r>
      <w:r w:rsidR="0093713A" w:rsidRPr="007B3CF1">
        <w:t>esolutions/</w:t>
      </w:r>
      <w:r w:rsidR="00871439" w:rsidRPr="007B3CF1">
        <w:t>d</w:t>
      </w:r>
      <w:r w:rsidR="0093713A" w:rsidRPr="007B3CF1">
        <w:t>ecisions</w:t>
      </w:r>
      <w:r w:rsidRPr="007B3CF1">
        <w:t xml:space="preserve"> that will be presented to the CWG-SFP meeting.</w:t>
      </w:r>
    </w:p>
    <w:p w14:paraId="7E19B0F4" w14:textId="4EE0C925" w:rsidR="00CD781A" w:rsidRDefault="00CD781A" w:rsidP="00B84D7E">
      <w:pPr>
        <w:jc w:val="both"/>
      </w:pPr>
      <w:r>
        <w:t>The CWG</w:t>
      </w:r>
      <w:r w:rsidR="00B371DE">
        <w:t xml:space="preserve">-SFP members are invited to consider the guidelines proposed </w:t>
      </w:r>
      <w:r w:rsidR="006E1DEE">
        <w:t xml:space="preserve">in the preparation for PP-26. And, if </w:t>
      </w:r>
      <w:r w:rsidR="00B371DE">
        <w:t>a</w:t>
      </w:r>
      <w:r w:rsidR="00821706">
        <w:t>gree</w:t>
      </w:r>
      <w:r w:rsidR="006E1DEE">
        <w:t>d, the CWG-SFP members are invited to recommend Council 2025 to approve the proposed guidelines</w:t>
      </w:r>
      <w:r w:rsidR="00821706">
        <w:t>.</w:t>
      </w:r>
    </w:p>
    <w:p w14:paraId="1385B196" w14:textId="6229950C" w:rsidR="007B3CF1" w:rsidRPr="00F069A1" w:rsidRDefault="007B3CF1" w:rsidP="007B3CF1">
      <w:pPr>
        <w:spacing w:before="480"/>
        <w:jc w:val="center"/>
      </w:pPr>
      <w:r>
        <w:t>______________</w:t>
      </w:r>
    </w:p>
    <w:sectPr w:rsidR="007B3CF1" w:rsidRPr="00F069A1" w:rsidSect="00AD3606">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95A0D" w14:textId="77777777" w:rsidR="00EB528B" w:rsidRDefault="00EB528B">
      <w:r>
        <w:separator/>
      </w:r>
    </w:p>
  </w:endnote>
  <w:endnote w:type="continuationSeparator" w:id="0">
    <w:p w14:paraId="69BDCA81" w14:textId="77777777" w:rsidR="00EB528B" w:rsidRDefault="00EB528B">
      <w:r>
        <w:continuationSeparator/>
      </w:r>
    </w:p>
  </w:endnote>
  <w:endnote w:type="continuationNotice" w:id="1">
    <w:p w14:paraId="18C64490" w14:textId="77777777" w:rsidR="00EB528B" w:rsidRDefault="00EB52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232820CC" w14:textId="77777777" w:rsidTr="0042469C">
      <w:trPr>
        <w:jc w:val="center"/>
      </w:trPr>
      <w:tc>
        <w:tcPr>
          <w:tcW w:w="1803" w:type="dxa"/>
          <w:vAlign w:val="center"/>
        </w:tcPr>
        <w:p w14:paraId="55C84B8A" w14:textId="77777777" w:rsidR="00EE49E8" w:rsidRDefault="00EE49E8" w:rsidP="00EE49E8">
          <w:pPr>
            <w:pStyle w:val="Header"/>
            <w:jc w:val="left"/>
            <w:rPr>
              <w:noProof/>
            </w:rPr>
          </w:pPr>
        </w:p>
      </w:tc>
      <w:tc>
        <w:tcPr>
          <w:tcW w:w="8261" w:type="dxa"/>
        </w:tcPr>
        <w:p w14:paraId="0006E266" w14:textId="45425FEA"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sidR="00B82C1B">
            <w:rPr>
              <w:bCs/>
              <w:lang w:val="es-ES"/>
            </w:rPr>
            <w:t>CWG-SFP</w:t>
          </w:r>
          <w:r w:rsidR="00B82C1B" w:rsidRPr="00870C17">
            <w:rPr>
              <w:bCs/>
              <w:lang w:val="es-ES"/>
            </w:rPr>
            <w:t>-</w:t>
          </w:r>
          <w:r w:rsidR="00B82C1B">
            <w:rPr>
              <w:bCs/>
              <w:lang w:val="es-ES"/>
            </w:rPr>
            <w:t>2/</w:t>
          </w:r>
          <w:r w:rsidR="007B3CF1">
            <w:rPr>
              <w:bCs/>
              <w:lang w:val="es-ES"/>
            </w:rPr>
            <w:t>4</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57EFF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660B5049" w14:textId="77777777" w:rsidTr="00A52C84">
      <w:trPr>
        <w:jc w:val="center"/>
      </w:trPr>
      <w:tc>
        <w:tcPr>
          <w:tcW w:w="3107" w:type="dxa"/>
          <w:vAlign w:val="center"/>
        </w:tcPr>
        <w:p w14:paraId="3ABDA1AA" w14:textId="77777777" w:rsidR="00EE49E8" w:rsidRPr="0025570E" w:rsidRDefault="0025570E" w:rsidP="00EE49E8">
          <w:pPr>
            <w:pStyle w:val="Header"/>
            <w:jc w:val="left"/>
            <w:rPr>
              <w:noProof/>
              <w:u w:val="single"/>
            </w:rPr>
          </w:pPr>
          <w:hyperlink r:id="rId1" w:history="1">
            <w:r w:rsidRPr="0025570E">
              <w:rPr>
                <w:rStyle w:val="Hyperlink"/>
              </w:rPr>
              <w:t>https://council.itu.int/working-groups</w:t>
            </w:r>
          </w:hyperlink>
        </w:p>
      </w:tc>
      <w:tc>
        <w:tcPr>
          <w:tcW w:w="6957" w:type="dxa"/>
        </w:tcPr>
        <w:p w14:paraId="17EFD000" w14:textId="64954401"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r w:rsidR="00B82C1B">
            <w:rPr>
              <w:bCs/>
              <w:lang w:val="es-ES"/>
            </w:rPr>
            <w:t>CWG-SFP</w:t>
          </w:r>
          <w:r w:rsidR="00F73B2C" w:rsidRPr="00870C17">
            <w:rPr>
              <w:bCs/>
              <w:lang w:val="es-ES"/>
            </w:rPr>
            <w:t>-</w:t>
          </w:r>
          <w:r w:rsidR="00B82C1B">
            <w:rPr>
              <w:bCs/>
              <w:lang w:val="es-ES"/>
            </w:rPr>
            <w:t>2</w:t>
          </w:r>
          <w:r w:rsidR="00205D4E">
            <w:rPr>
              <w:bCs/>
              <w:lang w:val="es-ES"/>
            </w:rPr>
            <w:t>/</w:t>
          </w:r>
          <w:r w:rsidR="007B3CF1">
            <w:rPr>
              <w:bCs/>
              <w:lang w:val="es-ES"/>
            </w:rPr>
            <w:t>4</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B13FAE0"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9DAD2" w14:textId="77777777" w:rsidR="00EB528B" w:rsidRDefault="00EB528B">
      <w:r>
        <w:t>____________________</w:t>
      </w:r>
    </w:p>
  </w:footnote>
  <w:footnote w:type="continuationSeparator" w:id="0">
    <w:p w14:paraId="5702D1A3" w14:textId="77777777" w:rsidR="00EB528B" w:rsidRDefault="00EB528B">
      <w:r>
        <w:continuationSeparator/>
      </w:r>
    </w:p>
  </w:footnote>
  <w:footnote w:type="continuationNotice" w:id="1">
    <w:p w14:paraId="56FCB3DB" w14:textId="77777777" w:rsidR="00EB528B" w:rsidRDefault="00EB528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85C97" w:rsidRPr="00784011" w14:paraId="023C4028" w14:textId="77777777" w:rsidTr="002F314B">
      <w:trPr>
        <w:trHeight w:val="1304"/>
        <w:jc w:val="center"/>
      </w:trPr>
      <w:tc>
        <w:tcPr>
          <w:tcW w:w="6546" w:type="dxa"/>
        </w:tcPr>
        <w:bookmarkStart w:id="11" w:name="_Hlk133422111"/>
        <w:p w14:paraId="0463463C" w14:textId="77777777" w:rsidR="00485C97" w:rsidRPr="009621F8" w:rsidRDefault="00485C97" w:rsidP="00485C97">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273582E" wp14:editId="0E0AAACA">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5BF3BBB" w14:textId="77777777" w:rsidR="00485C97" w:rsidRDefault="00485C97" w:rsidP="00485C97">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3582E" id="_x0000_t202" coordsize="21600,21600" o:spt="202" path="m,l,21600r21600,l21600,xe">
                    <v:stroke joinstyle="miter"/>
                    <v:path gradientshapeok="t" o:connecttype="rect"/>
                  </v:shapetype>
                  <v:shape id="Text Box 2" o:spid="_x0000_s1026" type="#_x0000_t202" style="position:absolute;margin-left:112.5pt;margin-top:.2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35BF3BBB" w14:textId="77777777" w:rsidR="00485C97" w:rsidRDefault="00485C97" w:rsidP="00485C97">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v:textbox>
                  </v:shape>
                </w:pict>
              </mc:Fallback>
            </mc:AlternateContent>
          </w:r>
          <w:r>
            <w:rPr>
              <w:rFonts w:ascii="Arial" w:hAnsi="Arial" w:cs="Arial"/>
              <w:b/>
              <w:bCs/>
              <w:noProof/>
              <w:color w:val="009CD6"/>
              <w:sz w:val="36"/>
              <w:szCs w:val="36"/>
            </w:rPr>
            <w:drawing>
              <wp:inline distT="0" distB="0" distL="0" distR="0" wp14:anchorId="4A46C533" wp14:editId="180809C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F8A2258" w14:textId="77777777" w:rsidR="00485C97" w:rsidRDefault="00485C97" w:rsidP="00485C97">
          <w:pPr>
            <w:pStyle w:val="Header"/>
            <w:jc w:val="right"/>
            <w:rPr>
              <w:rFonts w:ascii="Arial" w:hAnsi="Arial" w:cs="Arial"/>
              <w:b/>
              <w:bCs/>
              <w:color w:val="009CD6"/>
              <w:szCs w:val="18"/>
            </w:rPr>
          </w:pPr>
        </w:p>
        <w:p w14:paraId="21546CCD" w14:textId="77777777" w:rsidR="00485C97" w:rsidRDefault="00485C97" w:rsidP="00485C97">
          <w:pPr>
            <w:pStyle w:val="Header"/>
            <w:jc w:val="right"/>
            <w:rPr>
              <w:rFonts w:ascii="Arial" w:hAnsi="Arial" w:cs="Arial"/>
              <w:b/>
              <w:bCs/>
              <w:color w:val="009CD6"/>
              <w:szCs w:val="18"/>
            </w:rPr>
          </w:pPr>
        </w:p>
        <w:p w14:paraId="3EDEBE6D" w14:textId="77777777" w:rsidR="00485C97" w:rsidRPr="00784011" w:rsidRDefault="00485C97" w:rsidP="00485C9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C75E8DD" w14:textId="77777777" w:rsidR="00485C97" w:rsidRDefault="00485C97" w:rsidP="00485C9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76AC486" wp14:editId="2601FDE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3090B"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836CB9"/>
    <w:multiLevelType w:val="hybridMultilevel"/>
    <w:tmpl w:val="BD96AAC0"/>
    <w:lvl w:ilvl="0" w:tplc="366C4752">
      <w:start w:val="1"/>
      <w:numFmt w:val="bullet"/>
      <w:lvlText w:val=""/>
      <w:lvlJc w:val="left"/>
      <w:pPr>
        <w:ind w:left="720" w:hanging="360"/>
      </w:pPr>
      <w:rPr>
        <w:rFonts w:ascii="Symbol" w:hAnsi="Symbol" w:hint="default"/>
      </w:rPr>
    </w:lvl>
    <w:lvl w:ilvl="1" w:tplc="74E88C30">
      <w:start w:val="1"/>
      <w:numFmt w:val="bullet"/>
      <w:lvlText w:val="o"/>
      <w:lvlJc w:val="left"/>
      <w:pPr>
        <w:ind w:left="1440" w:hanging="360"/>
      </w:pPr>
      <w:rPr>
        <w:rFonts w:ascii="Courier New" w:hAnsi="Courier New" w:hint="default"/>
      </w:rPr>
    </w:lvl>
    <w:lvl w:ilvl="2" w:tplc="A2A87570">
      <w:start w:val="1"/>
      <w:numFmt w:val="bullet"/>
      <w:lvlText w:val=""/>
      <w:lvlJc w:val="left"/>
      <w:pPr>
        <w:ind w:left="2160" w:hanging="360"/>
      </w:pPr>
      <w:rPr>
        <w:rFonts w:ascii="Wingdings" w:hAnsi="Wingdings" w:hint="default"/>
      </w:rPr>
    </w:lvl>
    <w:lvl w:ilvl="3" w:tplc="AE102DDE">
      <w:start w:val="1"/>
      <w:numFmt w:val="bullet"/>
      <w:lvlText w:val=""/>
      <w:lvlJc w:val="left"/>
      <w:pPr>
        <w:ind w:left="2880" w:hanging="360"/>
      </w:pPr>
      <w:rPr>
        <w:rFonts w:ascii="Symbol" w:hAnsi="Symbol" w:hint="default"/>
      </w:rPr>
    </w:lvl>
    <w:lvl w:ilvl="4" w:tplc="F81CEFE4">
      <w:start w:val="1"/>
      <w:numFmt w:val="bullet"/>
      <w:lvlText w:val="o"/>
      <w:lvlJc w:val="left"/>
      <w:pPr>
        <w:ind w:left="3600" w:hanging="360"/>
      </w:pPr>
      <w:rPr>
        <w:rFonts w:ascii="Courier New" w:hAnsi="Courier New" w:hint="default"/>
      </w:rPr>
    </w:lvl>
    <w:lvl w:ilvl="5" w:tplc="85FED852">
      <w:start w:val="1"/>
      <w:numFmt w:val="bullet"/>
      <w:lvlText w:val=""/>
      <w:lvlJc w:val="left"/>
      <w:pPr>
        <w:ind w:left="4320" w:hanging="360"/>
      </w:pPr>
      <w:rPr>
        <w:rFonts w:ascii="Wingdings" w:hAnsi="Wingdings" w:hint="default"/>
      </w:rPr>
    </w:lvl>
    <w:lvl w:ilvl="6" w:tplc="81C4D6F6">
      <w:start w:val="1"/>
      <w:numFmt w:val="bullet"/>
      <w:lvlText w:val=""/>
      <w:lvlJc w:val="left"/>
      <w:pPr>
        <w:ind w:left="5040" w:hanging="360"/>
      </w:pPr>
      <w:rPr>
        <w:rFonts w:ascii="Symbol" w:hAnsi="Symbol" w:hint="default"/>
      </w:rPr>
    </w:lvl>
    <w:lvl w:ilvl="7" w:tplc="4CE2DF38">
      <w:start w:val="1"/>
      <w:numFmt w:val="bullet"/>
      <w:lvlText w:val="o"/>
      <w:lvlJc w:val="left"/>
      <w:pPr>
        <w:ind w:left="5760" w:hanging="360"/>
      </w:pPr>
      <w:rPr>
        <w:rFonts w:ascii="Courier New" w:hAnsi="Courier New" w:hint="default"/>
      </w:rPr>
    </w:lvl>
    <w:lvl w:ilvl="8" w:tplc="F456397E">
      <w:start w:val="1"/>
      <w:numFmt w:val="bullet"/>
      <w:lvlText w:val=""/>
      <w:lvlJc w:val="left"/>
      <w:pPr>
        <w:ind w:left="6480" w:hanging="360"/>
      </w:pPr>
      <w:rPr>
        <w:rFonts w:ascii="Wingdings" w:hAnsi="Wingdings" w:hint="default"/>
      </w:rPr>
    </w:lvl>
  </w:abstractNum>
  <w:abstractNum w:abstractNumId="2" w15:restartNumberingAfterBreak="0">
    <w:nsid w:val="569850A9"/>
    <w:multiLevelType w:val="hybridMultilevel"/>
    <w:tmpl w:val="7ECA8C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5D1D86"/>
    <w:multiLevelType w:val="hybridMultilevel"/>
    <w:tmpl w:val="567C4F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18119A"/>
    <w:multiLevelType w:val="hybridMultilevel"/>
    <w:tmpl w:val="1E3EA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7E6C3A"/>
    <w:multiLevelType w:val="hybridMultilevel"/>
    <w:tmpl w:val="2FAA06BA"/>
    <w:lvl w:ilvl="0" w:tplc="ED2C6A1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818220">
    <w:abstractNumId w:val="1"/>
  </w:num>
  <w:num w:numId="2" w16cid:durableId="1374816267">
    <w:abstractNumId w:val="0"/>
  </w:num>
  <w:num w:numId="3" w16cid:durableId="381759360">
    <w:abstractNumId w:val="4"/>
  </w:num>
  <w:num w:numId="4" w16cid:durableId="1072044022">
    <w:abstractNumId w:val="5"/>
  </w:num>
  <w:num w:numId="5" w16cid:durableId="1817721711">
    <w:abstractNumId w:val="2"/>
  </w:num>
  <w:num w:numId="6" w16cid:durableId="783765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73"/>
    <w:rsid w:val="00001CD9"/>
    <w:rsid w:val="00003A6D"/>
    <w:rsid w:val="000041A9"/>
    <w:rsid w:val="00004C8C"/>
    <w:rsid w:val="000120E4"/>
    <w:rsid w:val="00015984"/>
    <w:rsid w:val="000210D4"/>
    <w:rsid w:val="00032082"/>
    <w:rsid w:val="000332FE"/>
    <w:rsid w:val="00034497"/>
    <w:rsid w:val="00047183"/>
    <w:rsid w:val="00051DD1"/>
    <w:rsid w:val="000525A1"/>
    <w:rsid w:val="00053B56"/>
    <w:rsid w:val="00063016"/>
    <w:rsid w:val="00065727"/>
    <w:rsid w:val="00066795"/>
    <w:rsid w:val="00076AF6"/>
    <w:rsid w:val="0007744C"/>
    <w:rsid w:val="000801CD"/>
    <w:rsid w:val="00085CF2"/>
    <w:rsid w:val="00090F2F"/>
    <w:rsid w:val="000A1525"/>
    <w:rsid w:val="000A2C75"/>
    <w:rsid w:val="000B0962"/>
    <w:rsid w:val="000B1705"/>
    <w:rsid w:val="000B194B"/>
    <w:rsid w:val="000D091F"/>
    <w:rsid w:val="000D5262"/>
    <w:rsid w:val="000D75B2"/>
    <w:rsid w:val="000E5DE9"/>
    <w:rsid w:val="000F6AB8"/>
    <w:rsid w:val="001071DA"/>
    <w:rsid w:val="00110339"/>
    <w:rsid w:val="001121F5"/>
    <w:rsid w:val="001136B8"/>
    <w:rsid w:val="001138C2"/>
    <w:rsid w:val="00114604"/>
    <w:rsid w:val="00130599"/>
    <w:rsid w:val="00131E18"/>
    <w:rsid w:val="00133E47"/>
    <w:rsid w:val="00137708"/>
    <w:rsid w:val="001400DC"/>
    <w:rsid w:val="00140CE1"/>
    <w:rsid w:val="00141191"/>
    <w:rsid w:val="001427D1"/>
    <w:rsid w:val="00145802"/>
    <w:rsid w:val="00147C54"/>
    <w:rsid w:val="00157B48"/>
    <w:rsid w:val="00161EF6"/>
    <w:rsid w:val="0017197E"/>
    <w:rsid w:val="0017539C"/>
    <w:rsid w:val="00175AC2"/>
    <w:rsid w:val="0017609F"/>
    <w:rsid w:val="00183BA4"/>
    <w:rsid w:val="00184A96"/>
    <w:rsid w:val="0018711A"/>
    <w:rsid w:val="001A451E"/>
    <w:rsid w:val="001A7D1D"/>
    <w:rsid w:val="001B0595"/>
    <w:rsid w:val="001B0B15"/>
    <w:rsid w:val="001B107C"/>
    <w:rsid w:val="001B4893"/>
    <w:rsid w:val="001B51DD"/>
    <w:rsid w:val="001C628E"/>
    <w:rsid w:val="001D62DF"/>
    <w:rsid w:val="001E0F7B"/>
    <w:rsid w:val="001E0FBE"/>
    <w:rsid w:val="001E2D4E"/>
    <w:rsid w:val="001E5FE7"/>
    <w:rsid w:val="00201C13"/>
    <w:rsid w:val="00205D4E"/>
    <w:rsid w:val="00206FA7"/>
    <w:rsid w:val="002119FD"/>
    <w:rsid w:val="00211A02"/>
    <w:rsid w:val="00212FB9"/>
    <w:rsid w:val="002130E0"/>
    <w:rsid w:val="002137FE"/>
    <w:rsid w:val="00227AAB"/>
    <w:rsid w:val="002320A5"/>
    <w:rsid w:val="0023416D"/>
    <w:rsid w:val="00236B49"/>
    <w:rsid w:val="00244D92"/>
    <w:rsid w:val="00244F7F"/>
    <w:rsid w:val="0024514A"/>
    <w:rsid w:val="0024610D"/>
    <w:rsid w:val="00247A47"/>
    <w:rsid w:val="0025570E"/>
    <w:rsid w:val="002608B7"/>
    <w:rsid w:val="00260D6F"/>
    <w:rsid w:val="00264425"/>
    <w:rsid w:val="00265875"/>
    <w:rsid w:val="00266149"/>
    <w:rsid w:val="0027303B"/>
    <w:rsid w:val="0028109B"/>
    <w:rsid w:val="00296798"/>
    <w:rsid w:val="002A2188"/>
    <w:rsid w:val="002A2EB7"/>
    <w:rsid w:val="002A7847"/>
    <w:rsid w:val="002B1F58"/>
    <w:rsid w:val="002C1C7A"/>
    <w:rsid w:val="002C48BA"/>
    <w:rsid w:val="002C54E2"/>
    <w:rsid w:val="002D2DCE"/>
    <w:rsid w:val="002E0AC3"/>
    <w:rsid w:val="002E21BA"/>
    <w:rsid w:val="002F2D06"/>
    <w:rsid w:val="002F52D9"/>
    <w:rsid w:val="0030160F"/>
    <w:rsid w:val="00301AEE"/>
    <w:rsid w:val="003145DF"/>
    <w:rsid w:val="00320223"/>
    <w:rsid w:val="00322D0D"/>
    <w:rsid w:val="003277EA"/>
    <w:rsid w:val="00331D8D"/>
    <w:rsid w:val="00336999"/>
    <w:rsid w:val="00341E20"/>
    <w:rsid w:val="00361465"/>
    <w:rsid w:val="003630C4"/>
    <w:rsid w:val="0036542D"/>
    <w:rsid w:val="0037236C"/>
    <w:rsid w:val="003772A3"/>
    <w:rsid w:val="003877F5"/>
    <w:rsid w:val="0039106D"/>
    <w:rsid w:val="003928A5"/>
    <w:rsid w:val="00393872"/>
    <w:rsid w:val="003942D4"/>
    <w:rsid w:val="0039514F"/>
    <w:rsid w:val="003958A8"/>
    <w:rsid w:val="003971BB"/>
    <w:rsid w:val="003B29C2"/>
    <w:rsid w:val="003B2DF8"/>
    <w:rsid w:val="003C20CA"/>
    <w:rsid w:val="003C2533"/>
    <w:rsid w:val="003C68D6"/>
    <w:rsid w:val="003D2E43"/>
    <w:rsid w:val="003D2E5C"/>
    <w:rsid w:val="003D5A7F"/>
    <w:rsid w:val="003D635C"/>
    <w:rsid w:val="003D71D8"/>
    <w:rsid w:val="00401251"/>
    <w:rsid w:val="004016E2"/>
    <w:rsid w:val="00401732"/>
    <w:rsid w:val="0040435A"/>
    <w:rsid w:val="00416A24"/>
    <w:rsid w:val="00416A30"/>
    <w:rsid w:val="0042059E"/>
    <w:rsid w:val="00431D9E"/>
    <w:rsid w:val="004329BD"/>
    <w:rsid w:val="00433CE8"/>
    <w:rsid w:val="00434A5C"/>
    <w:rsid w:val="0043553E"/>
    <w:rsid w:val="00435671"/>
    <w:rsid w:val="00440927"/>
    <w:rsid w:val="0045044B"/>
    <w:rsid w:val="00450EC7"/>
    <w:rsid w:val="0045148C"/>
    <w:rsid w:val="004544D9"/>
    <w:rsid w:val="00465832"/>
    <w:rsid w:val="00467E98"/>
    <w:rsid w:val="00472BAD"/>
    <w:rsid w:val="00476D29"/>
    <w:rsid w:val="0048201D"/>
    <w:rsid w:val="00484009"/>
    <w:rsid w:val="00485C97"/>
    <w:rsid w:val="00490E72"/>
    <w:rsid w:val="00491157"/>
    <w:rsid w:val="004921C8"/>
    <w:rsid w:val="0049405D"/>
    <w:rsid w:val="00495B0B"/>
    <w:rsid w:val="004A0BD7"/>
    <w:rsid w:val="004A1B8B"/>
    <w:rsid w:val="004B4C6A"/>
    <w:rsid w:val="004B51C8"/>
    <w:rsid w:val="004C3E40"/>
    <w:rsid w:val="004D04EA"/>
    <w:rsid w:val="004D1851"/>
    <w:rsid w:val="004D599D"/>
    <w:rsid w:val="004E06D1"/>
    <w:rsid w:val="004E2EA5"/>
    <w:rsid w:val="004E3AEB"/>
    <w:rsid w:val="004E7905"/>
    <w:rsid w:val="004F06F3"/>
    <w:rsid w:val="004F2045"/>
    <w:rsid w:val="004F2E9C"/>
    <w:rsid w:val="00500CA4"/>
    <w:rsid w:val="0050223C"/>
    <w:rsid w:val="005170FD"/>
    <w:rsid w:val="005243FF"/>
    <w:rsid w:val="00524E9C"/>
    <w:rsid w:val="005311D6"/>
    <w:rsid w:val="00532924"/>
    <w:rsid w:val="0053445C"/>
    <w:rsid w:val="00536422"/>
    <w:rsid w:val="0054526E"/>
    <w:rsid w:val="005536C2"/>
    <w:rsid w:val="00564FBC"/>
    <w:rsid w:val="00574E91"/>
    <w:rsid w:val="005800BC"/>
    <w:rsid w:val="00582340"/>
    <w:rsid w:val="00582442"/>
    <w:rsid w:val="00584AE9"/>
    <w:rsid w:val="00584D22"/>
    <w:rsid w:val="00591871"/>
    <w:rsid w:val="005A335D"/>
    <w:rsid w:val="005A61FC"/>
    <w:rsid w:val="005B0869"/>
    <w:rsid w:val="005B3A0E"/>
    <w:rsid w:val="005C0992"/>
    <w:rsid w:val="005C13D4"/>
    <w:rsid w:val="005C7F29"/>
    <w:rsid w:val="005D4422"/>
    <w:rsid w:val="005D5651"/>
    <w:rsid w:val="005D664F"/>
    <w:rsid w:val="005E2BD5"/>
    <w:rsid w:val="005E4F47"/>
    <w:rsid w:val="005F3269"/>
    <w:rsid w:val="00612123"/>
    <w:rsid w:val="00615961"/>
    <w:rsid w:val="0061597E"/>
    <w:rsid w:val="006219C0"/>
    <w:rsid w:val="00623AE3"/>
    <w:rsid w:val="006261F4"/>
    <w:rsid w:val="006279AB"/>
    <w:rsid w:val="00631350"/>
    <w:rsid w:val="00633B32"/>
    <w:rsid w:val="00633B9E"/>
    <w:rsid w:val="00643974"/>
    <w:rsid w:val="0064737F"/>
    <w:rsid w:val="00652314"/>
    <w:rsid w:val="006535F1"/>
    <w:rsid w:val="0065557D"/>
    <w:rsid w:val="00660D50"/>
    <w:rsid w:val="00662984"/>
    <w:rsid w:val="00663050"/>
    <w:rsid w:val="00665ACD"/>
    <w:rsid w:val="006675B4"/>
    <w:rsid w:val="00667A13"/>
    <w:rsid w:val="006716BB"/>
    <w:rsid w:val="006821A4"/>
    <w:rsid w:val="00683F3A"/>
    <w:rsid w:val="006973C8"/>
    <w:rsid w:val="006A4862"/>
    <w:rsid w:val="006B1859"/>
    <w:rsid w:val="006B6680"/>
    <w:rsid w:val="006B6DCC"/>
    <w:rsid w:val="006D310C"/>
    <w:rsid w:val="006D414B"/>
    <w:rsid w:val="006E1DEE"/>
    <w:rsid w:val="006E4595"/>
    <w:rsid w:val="00701C70"/>
    <w:rsid w:val="00702DEF"/>
    <w:rsid w:val="00706861"/>
    <w:rsid w:val="007247CF"/>
    <w:rsid w:val="00726B8C"/>
    <w:rsid w:val="00727C44"/>
    <w:rsid w:val="0075051B"/>
    <w:rsid w:val="00751500"/>
    <w:rsid w:val="0077110E"/>
    <w:rsid w:val="00775655"/>
    <w:rsid w:val="007766EB"/>
    <w:rsid w:val="007849D5"/>
    <w:rsid w:val="00786DC9"/>
    <w:rsid w:val="00793188"/>
    <w:rsid w:val="00794D34"/>
    <w:rsid w:val="00797568"/>
    <w:rsid w:val="007B3CF1"/>
    <w:rsid w:val="007C741A"/>
    <w:rsid w:val="007D0761"/>
    <w:rsid w:val="007D3CE9"/>
    <w:rsid w:val="007D5843"/>
    <w:rsid w:val="007F21FC"/>
    <w:rsid w:val="008038CD"/>
    <w:rsid w:val="008055EE"/>
    <w:rsid w:val="00806833"/>
    <w:rsid w:val="00806E3C"/>
    <w:rsid w:val="00813E5E"/>
    <w:rsid w:val="00816C2C"/>
    <w:rsid w:val="00821706"/>
    <w:rsid w:val="008275DB"/>
    <w:rsid w:val="0083581B"/>
    <w:rsid w:val="008458B3"/>
    <w:rsid w:val="00860EED"/>
    <w:rsid w:val="0086299D"/>
    <w:rsid w:val="00863874"/>
    <w:rsid w:val="00864AFF"/>
    <w:rsid w:val="00865925"/>
    <w:rsid w:val="00870C17"/>
    <w:rsid w:val="00871439"/>
    <w:rsid w:val="00872B5C"/>
    <w:rsid w:val="00877BF2"/>
    <w:rsid w:val="00884F3A"/>
    <w:rsid w:val="008911AD"/>
    <w:rsid w:val="00891503"/>
    <w:rsid w:val="008A2F06"/>
    <w:rsid w:val="008B4A6A"/>
    <w:rsid w:val="008B4B53"/>
    <w:rsid w:val="008C260B"/>
    <w:rsid w:val="008C7E27"/>
    <w:rsid w:val="008D5C9B"/>
    <w:rsid w:val="008F3822"/>
    <w:rsid w:val="008F7448"/>
    <w:rsid w:val="0090147A"/>
    <w:rsid w:val="0090389B"/>
    <w:rsid w:val="00912B1A"/>
    <w:rsid w:val="009173EF"/>
    <w:rsid w:val="00927466"/>
    <w:rsid w:val="00932906"/>
    <w:rsid w:val="00932F73"/>
    <w:rsid w:val="00935722"/>
    <w:rsid w:val="0093713A"/>
    <w:rsid w:val="0094281F"/>
    <w:rsid w:val="00961860"/>
    <w:rsid w:val="00961B0B"/>
    <w:rsid w:val="00962D33"/>
    <w:rsid w:val="00965BC9"/>
    <w:rsid w:val="00976EAB"/>
    <w:rsid w:val="00977EC6"/>
    <w:rsid w:val="00983198"/>
    <w:rsid w:val="00997373"/>
    <w:rsid w:val="009A0CD6"/>
    <w:rsid w:val="009B38C3"/>
    <w:rsid w:val="009B44BD"/>
    <w:rsid w:val="009C50CF"/>
    <w:rsid w:val="009E17BD"/>
    <w:rsid w:val="009E3BA2"/>
    <w:rsid w:val="009E485A"/>
    <w:rsid w:val="009F05D2"/>
    <w:rsid w:val="00A04CEC"/>
    <w:rsid w:val="00A063DD"/>
    <w:rsid w:val="00A267AE"/>
    <w:rsid w:val="00A27F92"/>
    <w:rsid w:val="00A32257"/>
    <w:rsid w:val="00A36D20"/>
    <w:rsid w:val="00A43C03"/>
    <w:rsid w:val="00A46CD0"/>
    <w:rsid w:val="00A514A4"/>
    <w:rsid w:val="00A52C84"/>
    <w:rsid w:val="00A52F3F"/>
    <w:rsid w:val="00A55622"/>
    <w:rsid w:val="00A55AA2"/>
    <w:rsid w:val="00A657F2"/>
    <w:rsid w:val="00A83502"/>
    <w:rsid w:val="00A87815"/>
    <w:rsid w:val="00A96F20"/>
    <w:rsid w:val="00A97BDB"/>
    <w:rsid w:val="00AA2205"/>
    <w:rsid w:val="00AA669E"/>
    <w:rsid w:val="00AC1DD4"/>
    <w:rsid w:val="00AC6BFA"/>
    <w:rsid w:val="00AC7646"/>
    <w:rsid w:val="00AD15B3"/>
    <w:rsid w:val="00AD3606"/>
    <w:rsid w:val="00AD4A3D"/>
    <w:rsid w:val="00AF6E49"/>
    <w:rsid w:val="00B04A67"/>
    <w:rsid w:val="00B0583C"/>
    <w:rsid w:val="00B05F03"/>
    <w:rsid w:val="00B248BC"/>
    <w:rsid w:val="00B255C9"/>
    <w:rsid w:val="00B358B2"/>
    <w:rsid w:val="00B371DE"/>
    <w:rsid w:val="00B40A81"/>
    <w:rsid w:val="00B43BC7"/>
    <w:rsid w:val="00B44910"/>
    <w:rsid w:val="00B46520"/>
    <w:rsid w:val="00B472BF"/>
    <w:rsid w:val="00B53245"/>
    <w:rsid w:val="00B71638"/>
    <w:rsid w:val="00B72267"/>
    <w:rsid w:val="00B73DD1"/>
    <w:rsid w:val="00B76DCA"/>
    <w:rsid w:val="00B76EB6"/>
    <w:rsid w:val="00B7737B"/>
    <w:rsid w:val="00B80FBE"/>
    <w:rsid w:val="00B824C8"/>
    <w:rsid w:val="00B82C1B"/>
    <w:rsid w:val="00B849D3"/>
    <w:rsid w:val="00B84B9D"/>
    <w:rsid w:val="00B84D7E"/>
    <w:rsid w:val="00B8649B"/>
    <w:rsid w:val="00B94E24"/>
    <w:rsid w:val="00BA3A51"/>
    <w:rsid w:val="00BC251A"/>
    <w:rsid w:val="00BD032B"/>
    <w:rsid w:val="00BD0614"/>
    <w:rsid w:val="00BD094B"/>
    <w:rsid w:val="00BD15AD"/>
    <w:rsid w:val="00BD452E"/>
    <w:rsid w:val="00BE2640"/>
    <w:rsid w:val="00BF064B"/>
    <w:rsid w:val="00BF0D79"/>
    <w:rsid w:val="00BF3928"/>
    <w:rsid w:val="00C01189"/>
    <w:rsid w:val="00C16A7A"/>
    <w:rsid w:val="00C20B2D"/>
    <w:rsid w:val="00C315CD"/>
    <w:rsid w:val="00C374DE"/>
    <w:rsid w:val="00C47AD4"/>
    <w:rsid w:val="00C52D81"/>
    <w:rsid w:val="00C55198"/>
    <w:rsid w:val="00C71096"/>
    <w:rsid w:val="00C725C6"/>
    <w:rsid w:val="00C83DA4"/>
    <w:rsid w:val="00C84B59"/>
    <w:rsid w:val="00C908C3"/>
    <w:rsid w:val="00C922C7"/>
    <w:rsid w:val="00C930B6"/>
    <w:rsid w:val="00CA52D5"/>
    <w:rsid w:val="00CA6393"/>
    <w:rsid w:val="00CA7BD5"/>
    <w:rsid w:val="00CA7FF5"/>
    <w:rsid w:val="00CB18FF"/>
    <w:rsid w:val="00CB24AA"/>
    <w:rsid w:val="00CD0C08"/>
    <w:rsid w:val="00CD2DE6"/>
    <w:rsid w:val="00CD3C91"/>
    <w:rsid w:val="00CD781A"/>
    <w:rsid w:val="00CE03FB"/>
    <w:rsid w:val="00CE433C"/>
    <w:rsid w:val="00CF0161"/>
    <w:rsid w:val="00CF0364"/>
    <w:rsid w:val="00CF33F3"/>
    <w:rsid w:val="00D020EA"/>
    <w:rsid w:val="00D06183"/>
    <w:rsid w:val="00D143DF"/>
    <w:rsid w:val="00D1671D"/>
    <w:rsid w:val="00D22C42"/>
    <w:rsid w:val="00D25DF5"/>
    <w:rsid w:val="00D35ADB"/>
    <w:rsid w:val="00D45669"/>
    <w:rsid w:val="00D464CC"/>
    <w:rsid w:val="00D50745"/>
    <w:rsid w:val="00D522F6"/>
    <w:rsid w:val="00D65041"/>
    <w:rsid w:val="00D67039"/>
    <w:rsid w:val="00D7341B"/>
    <w:rsid w:val="00D86E6C"/>
    <w:rsid w:val="00DA5A0C"/>
    <w:rsid w:val="00DA5A27"/>
    <w:rsid w:val="00DB00D5"/>
    <w:rsid w:val="00DB10A9"/>
    <w:rsid w:val="00DB1936"/>
    <w:rsid w:val="00DB384B"/>
    <w:rsid w:val="00DB7270"/>
    <w:rsid w:val="00DC4BFA"/>
    <w:rsid w:val="00DF0189"/>
    <w:rsid w:val="00E06FD5"/>
    <w:rsid w:val="00E10E80"/>
    <w:rsid w:val="00E124F0"/>
    <w:rsid w:val="00E140CB"/>
    <w:rsid w:val="00E2052F"/>
    <w:rsid w:val="00E227F3"/>
    <w:rsid w:val="00E46673"/>
    <w:rsid w:val="00E4728B"/>
    <w:rsid w:val="00E545C6"/>
    <w:rsid w:val="00E60F04"/>
    <w:rsid w:val="00E6134E"/>
    <w:rsid w:val="00E6247D"/>
    <w:rsid w:val="00E63EFF"/>
    <w:rsid w:val="00E65B24"/>
    <w:rsid w:val="00E65FEC"/>
    <w:rsid w:val="00E706E3"/>
    <w:rsid w:val="00E83A85"/>
    <w:rsid w:val="00E854E4"/>
    <w:rsid w:val="00E85B67"/>
    <w:rsid w:val="00E86DBF"/>
    <w:rsid w:val="00E94128"/>
    <w:rsid w:val="00EA6A41"/>
    <w:rsid w:val="00EB0D6F"/>
    <w:rsid w:val="00EB2232"/>
    <w:rsid w:val="00EB528B"/>
    <w:rsid w:val="00EC3720"/>
    <w:rsid w:val="00EC4EC2"/>
    <w:rsid w:val="00EC5337"/>
    <w:rsid w:val="00EC7C07"/>
    <w:rsid w:val="00ED2CB6"/>
    <w:rsid w:val="00EE49E8"/>
    <w:rsid w:val="00EE5F0F"/>
    <w:rsid w:val="00EF29D0"/>
    <w:rsid w:val="00EF32DA"/>
    <w:rsid w:val="00EF4238"/>
    <w:rsid w:val="00EF4C42"/>
    <w:rsid w:val="00EF7026"/>
    <w:rsid w:val="00EF72C3"/>
    <w:rsid w:val="00EF78BD"/>
    <w:rsid w:val="00EF7DA7"/>
    <w:rsid w:val="00F0226F"/>
    <w:rsid w:val="00F069A1"/>
    <w:rsid w:val="00F10B59"/>
    <w:rsid w:val="00F16BAB"/>
    <w:rsid w:val="00F2150A"/>
    <w:rsid w:val="00F231D8"/>
    <w:rsid w:val="00F44C00"/>
    <w:rsid w:val="00F45D2C"/>
    <w:rsid w:val="00F46C5F"/>
    <w:rsid w:val="00F56744"/>
    <w:rsid w:val="00F632C0"/>
    <w:rsid w:val="00F66A26"/>
    <w:rsid w:val="00F73B2C"/>
    <w:rsid w:val="00F74694"/>
    <w:rsid w:val="00F86596"/>
    <w:rsid w:val="00F93FD4"/>
    <w:rsid w:val="00F94A63"/>
    <w:rsid w:val="00FA1C28"/>
    <w:rsid w:val="00FB1279"/>
    <w:rsid w:val="00FB6B76"/>
    <w:rsid w:val="00FB7596"/>
    <w:rsid w:val="00FB7738"/>
    <w:rsid w:val="00FC4076"/>
    <w:rsid w:val="00FE4077"/>
    <w:rsid w:val="00FE500D"/>
    <w:rsid w:val="00FE77D2"/>
    <w:rsid w:val="00FF7CC8"/>
    <w:rsid w:val="01B64765"/>
    <w:rsid w:val="031E2FCD"/>
    <w:rsid w:val="0381D918"/>
    <w:rsid w:val="046D6F45"/>
    <w:rsid w:val="058B0124"/>
    <w:rsid w:val="072D1FC8"/>
    <w:rsid w:val="0788F5B7"/>
    <w:rsid w:val="09121548"/>
    <w:rsid w:val="09B48344"/>
    <w:rsid w:val="0A2439FA"/>
    <w:rsid w:val="0C2576FF"/>
    <w:rsid w:val="0CC1EB39"/>
    <w:rsid w:val="0CD5815B"/>
    <w:rsid w:val="0DFD4AAD"/>
    <w:rsid w:val="0F3A4A4E"/>
    <w:rsid w:val="1004A743"/>
    <w:rsid w:val="109F99A6"/>
    <w:rsid w:val="13A72116"/>
    <w:rsid w:val="155E959C"/>
    <w:rsid w:val="18BB586C"/>
    <w:rsid w:val="19978F2E"/>
    <w:rsid w:val="19B96A59"/>
    <w:rsid w:val="1ACCA528"/>
    <w:rsid w:val="1D17B1C8"/>
    <w:rsid w:val="1DA7553B"/>
    <w:rsid w:val="1DD6F7E8"/>
    <w:rsid w:val="1E5DB64D"/>
    <w:rsid w:val="1ECDC71B"/>
    <w:rsid w:val="21D235E4"/>
    <w:rsid w:val="227A4D95"/>
    <w:rsid w:val="24835701"/>
    <w:rsid w:val="24AD5B76"/>
    <w:rsid w:val="25658F59"/>
    <w:rsid w:val="25F0B2F0"/>
    <w:rsid w:val="294A4083"/>
    <w:rsid w:val="2A97D261"/>
    <w:rsid w:val="2C6A6278"/>
    <w:rsid w:val="2E879604"/>
    <w:rsid w:val="2FA76D2A"/>
    <w:rsid w:val="31C948F6"/>
    <w:rsid w:val="327B489F"/>
    <w:rsid w:val="34D0FBC5"/>
    <w:rsid w:val="3C0A5749"/>
    <w:rsid w:val="3CEB5941"/>
    <w:rsid w:val="3EBD528D"/>
    <w:rsid w:val="3F82E572"/>
    <w:rsid w:val="406DD1EF"/>
    <w:rsid w:val="40FACCA8"/>
    <w:rsid w:val="41AF7CD5"/>
    <w:rsid w:val="435424C9"/>
    <w:rsid w:val="43969157"/>
    <w:rsid w:val="44A0538A"/>
    <w:rsid w:val="4515C275"/>
    <w:rsid w:val="4722AC86"/>
    <w:rsid w:val="47D358E7"/>
    <w:rsid w:val="4914F263"/>
    <w:rsid w:val="4972604A"/>
    <w:rsid w:val="49ACF701"/>
    <w:rsid w:val="49D271ED"/>
    <w:rsid w:val="4C572FE1"/>
    <w:rsid w:val="4C9EA535"/>
    <w:rsid w:val="4DFA927B"/>
    <w:rsid w:val="507CBE1A"/>
    <w:rsid w:val="50F0638A"/>
    <w:rsid w:val="52A2B385"/>
    <w:rsid w:val="54482032"/>
    <w:rsid w:val="55405214"/>
    <w:rsid w:val="5732FE48"/>
    <w:rsid w:val="5738EC1B"/>
    <w:rsid w:val="57AFD0BC"/>
    <w:rsid w:val="57C889AC"/>
    <w:rsid w:val="5D77C8F1"/>
    <w:rsid w:val="5D9D0CE1"/>
    <w:rsid w:val="5F5BBAFB"/>
    <w:rsid w:val="60E30493"/>
    <w:rsid w:val="645EEE2E"/>
    <w:rsid w:val="65089063"/>
    <w:rsid w:val="65A9D156"/>
    <w:rsid w:val="67C71023"/>
    <w:rsid w:val="681E8F54"/>
    <w:rsid w:val="6849B974"/>
    <w:rsid w:val="690B6180"/>
    <w:rsid w:val="6951143E"/>
    <w:rsid w:val="6A0F5F34"/>
    <w:rsid w:val="6B0E150F"/>
    <w:rsid w:val="6E2425C4"/>
    <w:rsid w:val="6EC384D1"/>
    <w:rsid w:val="71307249"/>
    <w:rsid w:val="736A135C"/>
    <w:rsid w:val="749E3377"/>
    <w:rsid w:val="74DB1F5F"/>
    <w:rsid w:val="7505D7C5"/>
    <w:rsid w:val="791CCB12"/>
    <w:rsid w:val="79381A80"/>
    <w:rsid w:val="7AD8FB98"/>
    <w:rsid w:val="7C077670"/>
    <w:rsid w:val="7DD54AF8"/>
    <w:rsid w:val="7F05BC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DFD8E"/>
  <w15:docId w15:val="{10FB0E86-6120-4A4E-B5A4-80D4AFC8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5148C"/>
    <w:rPr>
      <w:color w:val="666666"/>
    </w:rPr>
  </w:style>
  <w:style w:type="paragraph" w:styleId="ListParagraph">
    <w:name w:val="List Paragraph"/>
    <w:basedOn w:val="Normal"/>
    <w:uiPriority w:val="34"/>
    <w:qFormat/>
    <w:rsid w:val="00183BA4"/>
    <w:pPr>
      <w:ind w:left="720"/>
      <w:contextualSpacing/>
    </w:pPr>
  </w:style>
  <w:style w:type="paragraph" w:styleId="NormalWeb">
    <w:name w:val="Normal (Web)"/>
    <w:basedOn w:val="Normal"/>
    <w:uiPriority w:val="99"/>
    <w:semiHidden/>
    <w:unhideWhenUsed/>
    <w:rsid w:val="009C50C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Reasons">
    <w:name w:val="Reasons"/>
    <w:basedOn w:val="Normal"/>
    <w:qFormat/>
    <w:rsid w:val="007B3CF1"/>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8D5C9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9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general-secretariat/ties/ISCGDocumentLibrary/Liaisons%20Statements%20on%20Inter-Sectoral%20Coordination%20Activities/Mapping-of-Resolutions-Updated%20Dec2024.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4-CL-C-0139/en" TargetMode="External"/><Relationship Id="rId17" Type="http://schemas.openxmlformats.org/officeDocument/2006/relationships/hyperlink" Target="https://www.itu.int/en/general-secretariat/multilingualism/Pages/language-tools.aspx" TargetMode="External"/><Relationship Id="rId2" Type="http://schemas.openxmlformats.org/officeDocument/2006/relationships/customXml" Target="../customXml/item2.xml"/><Relationship Id="rId16" Type="http://schemas.openxmlformats.org/officeDocument/2006/relationships/hyperlink" Target="https://pp22.itu.int/en/en/documents/submission-of-proposa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5" Type="http://schemas.openxmlformats.org/officeDocument/2006/relationships/numbering" Target="numbering.xml"/><Relationship Id="rId15" Type="http://schemas.openxmlformats.org/officeDocument/2006/relationships/hyperlink" Target="https://www.itu.int/itu-t/recommendations/rec.aspx?rec=16142"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22.itu.int/en/en/documents/submission-of-proposal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EC589-7792-404C-819F-8DB3AEF7230E}">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purl.org/dc/dcmitype/"/>
    <ds:schemaRef ds:uri="a1cf676c-2816-4389-ad5d-0f2e7c7e67c4"/>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983A61F-2212-4D5D-8994-9D9C4E1B8145}">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57B08E27-BD0B-436B-B2CE-0CDABF19D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1363</Words>
  <Characters>8991</Characters>
  <Application>Microsoft Office Word</Application>
  <DocSecurity>0</DocSecurity>
  <Lines>166</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harmonizing Plenipotentiary conference resolutions and decisions</dc:title>
  <dc:subject>ITU Council Working Group for strategic and financial plans 2028-2031</dc:subject>
  <dc:creator>Sukenik, Maria Victoria</dc:creator>
  <cp:keywords>CWG-SFP</cp:keywords>
  <dc:description/>
  <cp:lastModifiedBy>LRT</cp:lastModifiedBy>
  <cp:revision>3</cp:revision>
  <dcterms:created xsi:type="dcterms:W3CDTF">2025-02-13T16:35:00Z</dcterms:created>
  <dcterms:modified xsi:type="dcterms:W3CDTF">2025-02-13T16:37:00Z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y fmtid="{D5CDD505-2E9C-101B-9397-08002B2CF9AE}" pid="3" name="MediaServiceImageTags">
    <vt:lpwstr/>
  </property>
  <property fmtid="{D5CDD505-2E9C-101B-9397-08002B2CF9AE}" pid="4" name="Order">
    <vt:r8>275600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GrammarlyDocumentId">
    <vt:lpwstr>a8b34437bba6f3cae81f94f941a5aa8acd20194bf8862d1d269a4bb4c8bc0f03</vt:lpwstr>
  </property>
</Properties>
</file>