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6C621015"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612123">
              <w:rPr>
                <w:b/>
                <w:lang w:val="fr-CH"/>
              </w:rPr>
              <w:t>2</w:t>
            </w:r>
            <w:r w:rsidR="00F66A26">
              <w:rPr>
                <w:b/>
                <w:lang w:val="fr-FR"/>
              </w:rPr>
              <w:t>/</w:t>
            </w:r>
            <w:r w:rsidR="004B1283">
              <w:rPr>
                <w:b/>
                <w:lang w:val="fr-FR"/>
              </w:rPr>
              <w:t>3</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72D08443" w:rsidR="00AD3606" w:rsidRPr="00147C54" w:rsidRDefault="00D52097" w:rsidP="00AD3606">
            <w:pPr>
              <w:tabs>
                <w:tab w:val="left" w:pos="851"/>
              </w:tabs>
              <w:spacing w:before="0"/>
              <w:jc w:val="right"/>
              <w:rPr>
                <w:b/>
              </w:rPr>
            </w:pPr>
            <w:r>
              <w:rPr>
                <w:b/>
              </w:rPr>
              <w:t>16 January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39723656" w:rsidR="00AD3606" w:rsidRPr="00147C54" w:rsidRDefault="00006DB2" w:rsidP="00E4728B">
            <w:pPr>
              <w:pStyle w:val="Source"/>
              <w:framePr w:hSpace="0" w:wrap="auto" w:vAnchor="margin" w:hAnchor="text" w:xAlign="left" w:yAlign="inline"/>
            </w:pPr>
            <w:bookmarkStart w:id="8" w:name="dsource" w:colFirst="0" w:colLast="0"/>
            <w:bookmarkEnd w:id="7"/>
            <w:r w:rsidRPr="005E413D">
              <w:t xml:space="preserve">Contribution </w:t>
            </w:r>
            <w:r>
              <w:t>by</w:t>
            </w:r>
            <w:r w:rsidRPr="005E413D">
              <w:t xml:space="preserve"> </w:t>
            </w:r>
            <w:r w:rsidR="00D52097" w:rsidRPr="00D52097">
              <w:t>Jordan</w:t>
            </w:r>
          </w:p>
        </w:tc>
      </w:tr>
      <w:tr w:rsidR="00AD3606" w:rsidRPr="00147C54" w14:paraId="6D9AEDED" w14:textId="77777777" w:rsidTr="00AD3606">
        <w:trPr>
          <w:cantSplit/>
        </w:trPr>
        <w:tc>
          <w:tcPr>
            <w:tcW w:w="9214" w:type="dxa"/>
            <w:gridSpan w:val="2"/>
            <w:tcMar>
              <w:left w:w="0" w:type="dxa"/>
            </w:tcMar>
          </w:tcPr>
          <w:p w14:paraId="154405B0" w14:textId="3A888343" w:rsidR="00AD3606" w:rsidRPr="00147C54" w:rsidRDefault="00D52097" w:rsidP="00E4728B">
            <w:pPr>
              <w:pStyle w:val="Subtitle"/>
              <w:framePr w:hSpace="0" w:wrap="auto" w:xAlign="left" w:yAlign="inline"/>
            </w:pPr>
            <w:bookmarkStart w:id="9" w:name="_Hlk187932536"/>
            <w:bookmarkStart w:id="10" w:name="dtitle1" w:colFirst="0" w:colLast="0"/>
            <w:bookmarkEnd w:id="8"/>
            <w:r w:rsidRPr="00D52097">
              <w:t>ENHANCING ITU’S STRATEGIC PLAN THROUGH FINANCIAL AND OPERATIONAL INNOVATIONS</w:t>
            </w:r>
            <w:bookmarkEnd w:id="9"/>
          </w:p>
        </w:tc>
      </w:tr>
      <w:tr w:rsidR="00AD3606" w:rsidRPr="00147C54"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77777777" w:rsidR="00AD3606" w:rsidRPr="00147C54" w:rsidRDefault="00F16BAB" w:rsidP="00F16BAB">
            <w:pPr>
              <w:spacing w:before="160"/>
              <w:rPr>
                <w:b/>
                <w:bCs/>
                <w:sz w:val="26"/>
                <w:szCs w:val="26"/>
              </w:rPr>
            </w:pPr>
            <w:r w:rsidRPr="00147C54">
              <w:rPr>
                <w:b/>
                <w:bCs/>
                <w:sz w:val="26"/>
                <w:szCs w:val="26"/>
              </w:rPr>
              <w:t>Purpose</w:t>
            </w:r>
          </w:p>
          <w:p w14:paraId="7118AE49" w14:textId="10FEFCDC" w:rsidR="00AD3606" w:rsidRPr="00147C54" w:rsidRDefault="00D52097" w:rsidP="00F16BAB">
            <w:r w:rsidRPr="00D52097">
              <w:t>This contribution proposes strategic enhancements to ITU’s planning, financial management, and operational processes to strengthen its role as a global leader in telecommunications and technology.</w:t>
            </w:r>
          </w:p>
          <w:p w14:paraId="5AE32B5E" w14:textId="77777777" w:rsidR="00AD3606" w:rsidRPr="00147C54" w:rsidRDefault="00AD3606" w:rsidP="00F16BAB">
            <w:pPr>
              <w:spacing w:before="160"/>
              <w:rPr>
                <w:b/>
                <w:bCs/>
                <w:sz w:val="26"/>
                <w:szCs w:val="26"/>
              </w:rPr>
            </w:pPr>
            <w:r w:rsidRPr="00147C54">
              <w:rPr>
                <w:b/>
                <w:bCs/>
                <w:sz w:val="26"/>
                <w:szCs w:val="26"/>
              </w:rPr>
              <w:t>Action required</w:t>
            </w:r>
          </w:p>
          <w:p w14:paraId="580390EF" w14:textId="37E9C507" w:rsidR="00B82C1B" w:rsidRDefault="00006DB2" w:rsidP="00D52097">
            <w:pPr>
              <w:spacing w:before="160"/>
            </w:pPr>
            <w:r>
              <w:t>The</w:t>
            </w:r>
            <w:r w:rsidRPr="00273D16">
              <w:t xml:space="preserve"> Council Working Group </w:t>
            </w:r>
            <w:r>
              <w:t xml:space="preserve">for strategic and financial plans 2028-2031 is invited to </w:t>
            </w:r>
            <w:r w:rsidR="00D52097" w:rsidRPr="00D52097">
              <w:rPr>
                <w:b/>
                <w:bCs/>
                <w:lang w:val="en-US"/>
              </w:rPr>
              <w:t>consider</w:t>
            </w:r>
            <w:r w:rsidR="00D52097" w:rsidRPr="00D52097">
              <w:rPr>
                <w:lang w:val="en-US"/>
              </w:rPr>
              <w:t xml:space="preserve"> these recommendations for incorporation into the ITU’s strategic initiatives.</w:t>
            </w:r>
          </w:p>
          <w:p w14:paraId="1BDC0E39" w14:textId="77777777" w:rsidR="00AD3606" w:rsidRPr="00CD3C91" w:rsidRDefault="00CD3C91" w:rsidP="00CD3C91">
            <w:r>
              <w:t>_______________</w:t>
            </w:r>
          </w:p>
          <w:p w14:paraId="641A5BAC" w14:textId="1E3864CD" w:rsidR="00AD3606" w:rsidRPr="00006DB2" w:rsidRDefault="00AD3606" w:rsidP="00663050">
            <w:pPr>
              <w:spacing w:before="160"/>
              <w:rPr>
                <w:sz w:val="26"/>
                <w:szCs w:val="26"/>
              </w:rPr>
            </w:pPr>
            <w:r w:rsidRPr="00147C54">
              <w:rPr>
                <w:b/>
                <w:bCs/>
                <w:sz w:val="26"/>
                <w:szCs w:val="26"/>
              </w:rPr>
              <w:t>References</w:t>
            </w:r>
            <w:r w:rsidR="00301AEE">
              <w:rPr>
                <w:b/>
                <w:bCs/>
                <w:sz w:val="26"/>
                <w:szCs w:val="26"/>
              </w:rPr>
              <w:t xml:space="preserve"> </w:t>
            </w:r>
          </w:p>
          <w:p w14:paraId="623BD3D0" w14:textId="2BB2CCAE" w:rsidR="00AD3606" w:rsidRPr="00524E9C" w:rsidRDefault="00D52097" w:rsidP="00D52097">
            <w:pPr>
              <w:spacing w:after="160"/>
              <w:rPr>
                <w:i/>
                <w:iCs/>
                <w:sz w:val="22"/>
                <w:szCs w:val="22"/>
              </w:rPr>
            </w:pPr>
            <w:hyperlink r:id="rId8" w:history="1">
              <w:r w:rsidRPr="00D52097">
                <w:rPr>
                  <w:rStyle w:val="Hyperlink"/>
                  <w:i/>
                  <w:iCs/>
                  <w:sz w:val="22"/>
                  <w:szCs w:val="22"/>
                </w:rPr>
                <w:t>CWG-SFP website</w:t>
              </w:r>
            </w:hyperlink>
            <w:r>
              <w:rPr>
                <w:i/>
                <w:iCs/>
                <w:sz w:val="22"/>
                <w:szCs w:val="22"/>
              </w:rPr>
              <w:t xml:space="preserve">; </w:t>
            </w:r>
            <w:r w:rsidRPr="00D52097">
              <w:rPr>
                <w:i/>
                <w:iCs/>
                <w:sz w:val="22"/>
                <w:szCs w:val="22"/>
                <w:lang w:val="en-US"/>
              </w:rPr>
              <w:t>Supporting documents on AI implementation and risk monitoring methodologies</w:t>
            </w:r>
          </w:p>
        </w:tc>
      </w:tr>
    </w:tbl>
    <w:p w14:paraId="3D01ECC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04A4DC7D" w14:textId="77777777" w:rsidR="00D52097" w:rsidRPr="00D52097" w:rsidRDefault="00D52097" w:rsidP="00D52097">
      <w:pPr>
        <w:tabs>
          <w:tab w:val="clear" w:pos="567"/>
          <w:tab w:val="clear" w:pos="1134"/>
          <w:tab w:val="clear" w:pos="1701"/>
          <w:tab w:val="clear" w:pos="2268"/>
          <w:tab w:val="clear" w:pos="2835"/>
        </w:tabs>
        <w:spacing w:after="120"/>
        <w:rPr>
          <w:b/>
          <w:bCs/>
          <w:sz w:val="26"/>
          <w:szCs w:val="26"/>
        </w:rPr>
      </w:pPr>
      <w:r w:rsidRPr="00D52097">
        <w:rPr>
          <w:b/>
          <w:bCs/>
          <w:sz w:val="26"/>
          <w:szCs w:val="26"/>
        </w:rPr>
        <w:lastRenderedPageBreak/>
        <w:t>Key Suggestions for Improvement</w:t>
      </w:r>
    </w:p>
    <w:p w14:paraId="43AB6527" w14:textId="778369C0" w:rsidR="00D52097" w:rsidRPr="00D52097" w:rsidRDefault="00D52097" w:rsidP="00D52097">
      <w:pPr>
        <w:tabs>
          <w:tab w:val="clear" w:pos="567"/>
          <w:tab w:val="clear" w:pos="1134"/>
          <w:tab w:val="clear" w:pos="1701"/>
          <w:tab w:val="clear" w:pos="2268"/>
          <w:tab w:val="clear" w:pos="2835"/>
        </w:tabs>
        <w:spacing w:after="120"/>
        <w:rPr>
          <w:b/>
          <w:bCs/>
        </w:rPr>
      </w:pPr>
      <w:r w:rsidRPr="00D52097">
        <w:rPr>
          <w:b/>
          <w:bCs/>
        </w:rPr>
        <w:t>1.</w:t>
      </w:r>
      <w:r>
        <w:rPr>
          <w:b/>
          <w:bCs/>
        </w:rPr>
        <w:tab/>
      </w:r>
      <w:r w:rsidRPr="00D52097">
        <w:rPr>
          <w:b/>
          <w:bCs/>
        </w:rPr>
        <w:t>Strengthening Departmental Cooperation and Workforce Flexibility</w:t>
      </w:r>
    </w:p>
    <w:p w14:paraId="2154566C" w14:textId="77777777" w:rsidR="00D52097" w:rsidRPr="00D52097" w:rsidRDefault="00D52097" w:rsidP="00D52097">
      <w:pPr>
        <w:tabs>
          <w:tab w:val="clear" w:pos="567"/>
          <w:tab w:val="clear" w:pos="1134"/>
          <w:tab w:val="clear" w:pos="1701"/>
          <w:tab w:val="clear" w:pos="2268"/>
          <w:tab w:val="clear" w:pos="2835"/>
        </w:tabs>
        <w:spacing w:after="120"/>
      </w:pPr>
      <w:r w:rsidRPr="00D52097">
        <w:t>To enhance ITU’s adaptability and efficiency, it is essential to:</w:t>
      </w:r>
    </w:p>
    <w:p w14:paraId="3B842B20"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E12EC3">
        <w:rPr>
          <w:b/>
          <w:bCs/>
          <w:spacing w:val="-2"/>
        </w:rPr>
        <w:t>Identify Key Departments for Collaboration</w:t>
      </w:r>
      <w:r w:rsidRPr="00E12EC3">
        <w:rPr>
          <w:spacing w:val="-2"/>
        </w:rPr>
        <w:t>: Define the specific departments critical to achieving strategic objectives, ensuring seamless coordination and knowledge sharing.</w:t>
      </w:r>
    </w:p>
    <w:p w14:paraId="587745D0"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Assess Workforce Needs Dynamically</w:t>
      </w:r>
      <w:r w:rsidRPr="00D52097">
        <w:t>: Determine the required number of employees, recognizing that workforce needs may evolve over time.</w:t>
      </w:r>
    </w:p>
    <w:p w14:paraId="72BE1892"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Embrace Flexible Work Models</w:t>
      </w:r>
      <w:r w:rsidRPr="00D52097">
        <w:t>: Encourage the use of freelance and remote workers, supported by interactive software and applications to handle specialized tasks efficiently. Automation in hiring processes can optimize resource allocation while maintaining high performance standards.</w:t>
      </w:r>
    </w:p>
    <w:p w14:paraId="7B712DA5" w14:textId="6AFC7A09" w:rsidR="00D52097" w:rsidRPr="00D52097" w:rsidRDefault="00D52097" w:rsidP="00E12EC3">
      <w:pPr>
        <w:tabs>
          <w:tab w:val="clear" w:pos="567"/>
          <w:tab w:val="clear" w:pos="1134"/>
          <w:tab w:val="clear" w:pos="1701"/>
          <w:tab w:val="clear" w:pos="2268"/>
          <w:tab w:val="clear" w:pos="2835"/>
        </w:tabs>
        <w:spacing w:before="360" w:after="120"/>
        <w:rPr>
          <w:b/>
          <w:bCs/>
        </w:rPr>
      </w:pPr>
      <w:r w:rsidRPr="00D52097">
        <w:rPr>
          <w:b/>
          <w:bCs/>
        </w:rPr>
        <w:t>2.</w:t>
      </w:r>
      <w:r w:rsidR="00E12EC3">
        <w:rPr>
          <w:b/>
          <w:bCs/>
        </w:rPr>
        <w:tab/>
      </w:r>
      <w:r w:rsidRPr="00D52097">
        <w:rPr>
          <w:b/>
          <w:bCs/>
        </w:rPr>
        <w:t>Improving Financial Reporting with Artificial Intelligence (AI)</w:t>
      </w:r>
    </w:p>
    <w:p w14:paraId="3FF1195E" w14:textId="77777777" w:rsidR="00D52097" w:rsidRPr="00D52097" w:rsidRDefault="00D52097" w:rsidP="00D52097">
      <w:pPr>
        <w:tabs>
          <w:tab w:val="clear" w:pos="567"/>
          <w:tab w:val="clear" w:pos="1134"/>
          <w:tab w:val="clear" w:pos="1701"/>
          <w:tab w:val="clear" w:pos="2268"/>
          <w:tab w:val="clear" w:pos="2835"/>
        </w:tabs>
        <w:spacing w:after="120"/>
      </w:pPr>
      <w:r w:rsidRPr="00D52097">
        <w:t>Integrating AI into financial processes can significantly improve transparency, accuracy, and confidence in decision-making. Key actions include:</w:t>
      </w:r>
    </w:p>
    <w:p w14:paraId="1F66F076"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AI-Driven Financial Analysis</w:t>
      </w:r>
      <w:r w:rsidRPr="00D52097">
        <w:t>: Utilize AI to process and analyze vast amounts of financial data swiftly and accurately.</w:t>
      </w:r>
    </w:p>
    <w:p w14:paraId="4B239304"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Anomaly Detection</w:t>
      </w:r>
      <w:r w:rsidRPr="00D52097">
        <w:t xml:space="preserve">: Leverage AI’s ability to identify unusual patterns or </w:t>
      </w:r>
      <w:proofErr w:type="spellStart"/>
      <w:r w:rsidRPr="00D52097">
        <w:t>behaviors</w:t>
      </w:r>
      <w:proofErr w:type="spellEnd"/>
      <w:r w:rsidRPr="00D52097">
        <w:t xml:space="preserve"> in financial data, ensuring robust oversight.</w:t>
      </w:r>
    </w:p>
    <w:p w14:paraId="2ECBEA7A"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Enhanced Decision Support</w:t>
      </w:r>
      <w:r w:rsidRPr="00D52097">
        <w:t>: Provide decision-makers with AI-supported insights, fostering transparency and improving trust in financial reports.</w:t>
      </w:r>
    </w:p>
    <w:p w14:paraId="5FEF24FB" w14:textId="70EB3BB0" w:rsidR="00D52097" w:rsidRPr="00D52097" w:rsidRDefault="00D52097" w:rsidP="00E12EC3">
      <w:pPr>
        <w:tabs>
          <w:tab w:val="clear" w:pos="567"/>
          <w:tab w:val="clear" w:pos="1134"/>
          <w:tab w:val="clear" w:pos="1701"/>
          <w:tab w:val="clear" w:pos="2268"/>
          <w:tab w:val="clear" w:pos="2835"/>
        </w:tabs>
        <w:spacing w:before="360" w:after="120"/>
        <w:rPr>
          <w:b/>
          <w:bCs/>
        </w:rPr>
      </w:pPr>
      <w:r w:rsidRPr="00D52097">
        <w:rPr>
          <w:b/>
          <w:bCs/>
        </w:rPr>
        <w:t>3.</w:t>
      </w:r>
      <w:r w:rsidR="00E12EC3">
        <w:rPr>
          <w:b/>
          <w:bCs/>
        </w:rPr>
        <w:tab/>
      </w:r>
      <w:r w:rsidRPr="00D52097">
        <w:rPr>
          <w:b/>
          <w:bCs/>
        </w:rPr>
        <w:t>Advancing Strategic Planning and Budgeting Processes</w:t>
      </w:r>
    </w:p>
    <w:p w14:paraId="746AA924" w14:textId="77777777" w:rsidR="00D52097" w:rsidRPr="00D52097" w:rsidRDefault="00D52097" w:rsidP="00D52097">
      <w:pPr>
        <w:tabs>
          <w:tab w:val="clear" w:pos="567"/>
          <w:tab w:val="clear" w:pos="1134"/>
          <w:tab w:val="clear" w:pos="1701"/>
          <w:tab w:val="clear" w:pos="2268"/>
          <w:tab w:val="clear" w:pos="2835"/>
        </w:tabs>
        <w:spacing w:after="120"/>
      </w:pPr>
      <w:r w:rsidRPr="00D52097">
        <w:t>Risk monitoring is a cornerstone of effective strategic planning and budgeting. By implementing robust risk management practices, ITU can ensure proactive and adaptive responses to challenges. Recommendations include:</w:t>
      </w:r>
    </w:p>
    <w:p w14:paraId="3AE7C2DD"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rPr>
          <w:b/>
          <w:bCs/>
        </w:rPr>
        <w:tab/>
        <w:t>Periodic Reviews</w:t>
      </w:r>
      <w:r w:rsidRPr="00D52097">
        <w:t>: Conduct regular evaluations of risks and the efficacy of mitigation strategies.</w:t>
      </w:r>
    </w:p>
    <w:p w14:paraId="682B6AA1"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Immediate Reporting</w:t>
      </w:r>
      <w:r w:rsidRPr="00D52097">
        <w:t>: Establish mechanisms for prompt reporting of emerging risks or changes.</w:t>
      </w:r>
    </w:p>
    <w:p w14:paraId="64A6943A"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Technological Tools</w:t>
      </w:r>
      <w:r w:rsidRPr="00D52097">
        <w:t>: Employ advanced tools to track risks and analyze data, ensuring a data-driven approach to decision-making.</w:t>
      </w:r>
    </w:p>
    <w:p w14:paraId="65916AEE" w14:textId="77777777" w:rsidR="00D52097" w:rsidRPr="00D52097" w:rsidRDefault="00D52097" w:rsidP="00E12EC3">
      <w:pPr>
        <w:tabs>
          <w:tab w:val="clear" w:pos="567"/>
          <w:tab w:val="clear" w:pos="1134"/>
          <w:tab w:val="clear" w:pos="1701"/>
          <w:tab w:val="clear" w:pos="2268"/>
          <w:tab w:val="clear" w:pos="2835"/>
        </w:tabs>
        <w:spacing w:after="120"/>
        <w:ind w:left="709" w:hanging="425"/>
      </w:pPr>
      <w:r w:rsidRPr="00D52097">
        <w:t>•</w:t>
      </w:r>
      <w:r w:rsidRPr="00D52097">
        <w:tab/>
      </w:r>
      <w:r w:rsidRPr="00D52097">
        <w:rPr>
          <w:b/>
          <w:bCs/>
        </w:rPr>
        <w:t>Continuous Learning</w:t>
      </w:r>
      <w:r w:rsidRPr="00D52097">
        <w:t>: Incorporate lessons from past experiences to refine strategies and improve outcomes.</w:t>
      </w:r>
    </w:p>
    <w:p w14:paraId="63E339EC" w14:textId="77777777" w:rsidR="00D52097" w:rsidRPr="00E12EC3" w:rsidRDefault="00D52097" w:rsidP="00E12EC3">
      <w:pPr>
        <w:tabs>
          <w:tab w:val="clear" w:pos="567"/>
          <w:tab w:val="clear" w:pos="1134"/>
          <w:tab w:val="clear" w:pos="1701"/>
          <w:tab w:val="clear" w:pos="2268"/>
          <w:tab w:val="clear" w:pos="2835"/>
        </w:tabs>
        <w:spacing w:before="240" w:after="120"/>
        <w:rPr>
          <w:b/>
          <w:bCs/>
          <w:sz w:val="26"/>
          <w:szCs w:val="26"/>
        </w:rPr>
      </w:pPr>
      <w:r w:rsidRPr="00E12EC3">
        <w:rPr>
          <w:b/>
          <w:bCs/>
          <w:sz w:val="26"/>
          <w:szCs w:val="26"/>
        </w:rPr>
        <w:t>Conclusion</w:t>
      </w:r>
    </w:p>
    <w:p w14:paraId="4E728B29" w14:textId="1F31F9FD" w:rsidR="00A514A4" w:rsidRDefault="00D52097" w:rsidP="00E12EC3">
      <w:pPr>
        <w:tabs>
          <w:tab w:val="clear" w:pos="567"/>
          <w:tab w:val="clear" w:pos="1134"/>
          <w:tab w:val="clear" w:pos="1701"/>
          <w:tab w:val="clear" w:pos="2268"/>
          <w:tab w:val="clear" w:pos="2835"/>
        </w:tabs>
      </w:pPr>
      <w:r w:rsidRPr="00D52097">
        <w:t>These recommendations aim to position ITU as a forward-looking organization capable of addressing emerging challenges in the dynamic telecommunications landscape. By fostering departmental collaboration, leveraging cutting-edge technologies, and enhancing strategic risk management, ITU can reinforce its leadership and operational excellence.</w:t>
      </w:r>
    </w:p>
    <w:p w14:paraId="28FFA128" w14:textId="15642382" w:rsidR="00E12EC3" w:rsidRPr="00D52097" w:rsidRDefault="00E12EC3" w:rsidP="00E12EC3">
      <w:pPr>
        <w:tabs>
          <w:tab w:val="clear" w:pos="567"/>
          <w:tab w:val="clear" w:pos="1134"/>
          <w:tab w:val="clear" w:pos="1701"/>
          <w:tab w:val="clear" w:pos="2268"/>
          <w:tab w:val="clear" w:pos="2835"/>
        </w:tabs>
        <w:spacing w:before="40"/>
        <w:jc w:val="center"/>
      </w:pPr>
      <w:r>
        <w:t>________________</w:t>
      </w:r>
    </w:p>
    <w:sectPr w:rsidR="00E12EC3" w:rsidRPr="00D52097"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D79AA" w:rsidRDefault="005D79AA">
      <w:r>
        <w:separator/>
      </w:r>
    </w:p>
  </w:endnote>
  <w:endnote w:type="continuationSeparator" w:id="0">
    <w:p w14:paraId="1DC7E31B" w14:textId="77777777" w:rsidR="005D79AA" w:rsidRDefault="005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13589FFE"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B82C1B">
            <w:rPr>
              <w:bCs/>
              <w:lang w:val="es-ES"/>
            </w:rPr>
            <w:t>2/</w:t>
          </w:r>
          <w:r w:rsidR="004B1283">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53A00ACB" w14:textId="3FA81421"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B82C1B">
            <w:rPr>
              <w:bCs/>
              <w:lang w:val="es-ES"/>
            </w:rPr>
            <w:t>2</w:t>
          </w:r>
          <w:r w:rsidR="00205D4E">
            <w:rPr>
              <w:bCs/>
              <w:lang w:val="es-ES"/>
            </w:rPr>
            <w:t>/</w:t>
          </w:r>
          <w:r w:rsidR="004B1283">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D79AA" w:rsidRDefault="005D79AA">
      <w:r>
        <w:t>____________________</w:t>
      </w:r>
    </w:p>
  </w:footnote>
  <w:footnote w:type="continuationSeparator" w:id="0">
    <w:p w14:paraId="6B16372A" w14:textId="77777777" w:rsidR="005D79AA" w:rsidRDefault="005D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p w14:paraId="01988454" w14:textId="77777777" w:rsidR="00B676E3" w:rsidRPr="009621F8" w:rsidRDefault="00B676E3" w:rsidP="00B676E3">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77777777"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77777777"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A"/>
    <w:rsid w:val="00003A6D"/>
    <w:rsid w:val="000041A9"/>
    <w:rsid w:val="00004C8C"/>
    <w:rsid w:val="00006DB2"/>
    <w:rsid w:val="000120E4"/>
    <w:rsid w:val="000210D4"/>
    <w:rsid w:val="000525A1"/>
    <w:rsid w:val="00063016"/>
    <w:rsid w:val="00066795"/>
    <w:rsid w:val="00076AF6"/>
    <w:rsid w:val="000820A8"/>
    <w:rsid w:val="00085CF2"/>
    <w:rsid w:val="00092A1B"/>
    <w:rsid w:val="000A1525"/>
    <w:rsid w:val="000B1705"/>
    <w:rsid w:val="000D75B2"/>
    <w:rsid w:val="000F6AB8"/>
    <w:rsid w:val="001121F5"/>
    <w:rsid w:val="00130599"/>
    <w:rsid w:val="00131E18"/>
    <w:rsid w:val="001400DC"/>
    <w:rsid w:val="00140CE1"/>
    <w:rsid w:val="00147C54"/>
    <w:rsid w:val="0016259B"/>
    <w:rsid w:val="0017390F"/>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1283"/>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C13D4"/>
    <w:rsid w:val="005D79AA"/>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247CF"/>
    <w:rsid w:val="00726B8C"/>
    <w:rsid w:val="00727C44"/>
    <w:rsid w:val="0075051B"/>
    <w:rsid w:val="0077110E"/>
    <w:rsid w:val="00775655"/>
    <w:rsid w:val="007849D5"/>
    <w:rsid w:val="00793188"/>
    <w:rsid w:val="00794D34"/>
    <w:rsid w:val="00806E3C"/>
    <w:rsid w:val="00813E5E"/>
    <w:rsid w:val="00816C2C"/>
    <w:rsid w:val="0083581B"/>
    <w:rsid w:val="00860EED"/>
    <w:rsid w:val="00863874"/>
    <w:rsid w:val="00864AFF"/>
    <w:rsid w:val="00865925"/>
    <w:rsid w:val="00870C17"/>
    <w:rsid w:val="00872B5C"/>
    <w:rsid w:val="00875FD1"/>
    <w:rsid w:val="00877BF2"/>
    <w:rsid w:val="00884F3A"/>
    <w:rsid w:val="00891503"/>
    <w:rsid w:val="008A2F06"/>
    <w:rsid w:val="008B4A6A"/>
    <w:rsid w:val="008C7E27"/>
    <w:rsid w:val="008F3822"/>
    <w:rsid w:val="008F7448"/>
    <w:rsid w:val="0090147A"/>
    <w:rsid w:val="0090389B"/>
    <w:rsid w:val="009173EF"/>
    <w:rsid w:val="00926B90"/>
    <w:rsid w:val="00932906"/>
    <w:rsid w:val="00961860"/>
    <w:rsid w:val="00961B0B"/>
    <w:rsid w:val="00962D33"/>
    <w:rsid w:val="009B38C3"/>
    <w:rsid w:val="009B44BD"/>
    <w:rsid w:val="009E17BD"/>
    <w:rsid w:val="009E485A"/>
    <w:rsid w:val="00A04CEC"/>
    <w:rsid w:val="00A27F92"/>
    <w:rsid w:val="00A32257"/>
    <w:rsid w:val="00A36D20"/>
    <w:rsid w:val="00A424A3"/>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676E3"/>
    <w:rsid w:val="00B72267"/>
    <w:rsid w:val="00B73DD1"/>
    <w:rsid w:val="00B76EB6"/>
    <w:rsid w:val="00B7737B"/>
    <w:rsid w:val="00B824C8"/>
    <w:rsid w:val="00B82C1B"/>
    <w:rsid w:val="00B849D3"/>
    <w:rsid w:val="00B84B9D"/>
    <w:rsid w:val="00BA3A51"/>
    <w:rsid w:val="00BC251A"/>
    <w:rsid w:val="00BD032B"/>
    <w:rsid w:val="00BD0614"/>
    <w:rsid w:val="00BD094B"/>
    <w:rsid w:val="00BE2640"/>
    <w:rsid w:val="00C01189"/>
    <w:rsid w:val="00C306F2"/>
    <w:rsid w:val="00C374DE"/>
    <w:rsid w:val="00C47AD4"/>
    <w:rsid w:val="00C52D81"/>
    <w:rsid w:val="00C55198"/>
    <w:rsid w:val="00C622F5"/>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097"/>
    <w:rsid w:val="00D522F6"/>
    <w:rsid w:val="00D65041"/>
    <w:rsid w:val="00D67039"/>
    <w:rsid w:val="00D86E6C"/>
    <w:rsid w:val="00DA44CE"/>
    <w:rsid w:val="00DB00D5"/>
    <w:rsid w:val="00DB1936"/>
    <w:rsid w:val="00DB384B"/>
    <w:rsid w:val="00DF0189"/>
    <w:rsid w:val="00E06FD5"/>
    <w:rsid w:val="00E10E80"/>
    <w:rsid w:val="00E124F0"/>
    <w:rsid w:val="00E12EC3"/>
    <w:rsid w:val="00E227F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19D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styleId="ListParagraph">
    <w:name w:val="List Paragraph"/>
    <w:basedOn w:val="Normal"/>
    <w:uiPriority w:val="34"/>
    <w:qFormat/>
    <w:rsid w:val="00D52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385</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Enhancing ITU’s strategic plan through financial and operational innovations</vt:lpstr>
    </vt:vector>
  </TitlesOfParts>
  <Manager/>
  <Company/>
  <LinksUpToDate>false</LinksUpToDate>
  <CharactersWithSpaces>3209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ITU’s strategic plan through financial and operational innovations</dc:title>
  <dc:subject>ITU Council Working Group for strategic and financial plans 2028-2031</dc:subject>
  <dc:creator>LRT</dc:creator>
  <cp:keywords>CWG-SFP</cp:keywords>
  <dc:description/>
  <cp:lastModifiedBy>GBS</cp:lastModifiedBy>
  <cp:revision>3</cp:revision>
  <dcterms:created xsi:type="dcterms:W3CDTF">2025-01-16T14:12:00Z</dcterms:created>
  <dcterms:modified xsi:type="dcterms:W3CDTF">2025-01-20T13:58:00Z</dcterms:modified>
  <cp:category>Conference document</cp:category>
</cp:coreProperties>
</file>