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5F1F81F2" w14:textId="77777777" w:rsidTr="2D4CDE34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6DC1941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4C18532" w14:textId="55CC4E25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>Document C</w:t>
            </w:r>
            <w:r w:rsidR="00A52C84" w:rsidRPr="00301AEE">
              <w:rPr>
                <w:b/>
                <w:lang w:val="fr-FR"/>
              </w:rPr>
              <w:t>WG-</w:t>
            </w:r>
            <w:r w:rsidR="000F6AB8">
              <w:rPr>
                <w:b/>
                <w:lang w:val="fr-FR"/>
              </w:rPr>
              <w:t>FHR</w:t>
            </w:r>
            <w:r w:rsidR="00A52C84" w:rsidRPr="00301AEE">
              <w:rPr>
                <w:b/>
                <w:lang w:val="fr-FR"/>
              </w:rPr>
              <w:t>-</w:t>
            </w:r>
            <w:r w:rsidR="00101C44">
              <w:rPr>
                <w:b/>
                <w:lang w:val="fr-FR"/>
              </w:rPr>
              <w:t>21</w:t>
            </w:r>
            <w:r w:rsidR="00301AEE" w:rsidRPr="00301AEE">
              <w:rPr>
                <w:b/>
                <w:lang w:val="fr-FR"/>
              </w:rPr>
              <w:t>/</w:t>
            </w:r>
            <w:r w:rsidR="003761B3">
              <w:rPr>
                <w:b/>
                <w:lang w:val="fr-FR"/>
              </w:rPr>
              <w:t>23</w:t>
            </w:r>
          </w:p>
        </w:tc>
      </w:tr>
      <w:tr w:rsidR="00AD3606" w:rsidRPr="00147C54" w14:paraId="6E85BAE5" w14:textId="77777777" w:rsidTr="2D4CDE34">
        <w:trPr>
          <w:cantSplit/>
        </w:trPr>
        <w:tc>
          <w:tcPr>
            <w:tcW w:w="3969" w:type="dxa"/>
            <w:vMerge/>
          </w:tcPr>
          <w:p w14:paraId="56C90872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955E02B" w14:textId="509D5504" w:rsidR="00AD3606" w:rsidRPr="00147C54" w:rsidRDefault="00706A27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27 August 2025</w:t>
            </w:r>
          </w:p>
        </w:tc>
      </w:tr>
      <w:tr w:rsidR="00AD3606" w:rsidRPr="00147C54" w14:paraId="5CB1986F" w14:textId="77777777" w:rsidTr="2D4CDE34">
        <w:trPr>
          <w:cantSplit/>
          <w:trHeight w:val="23"/>
        </w:trPr>
        <w:tc>
          <w:tcPr>
            <w:tcW w:w="3969" w:type="dxa"/>
            <w:vMerge/>
          </w:tcPr>
          <w:p w14:paraId="1B5FC4FA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4145FF2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083860DE" w14:textId="77777777" w:rsidTr="2D4CDE34">
        <w:trPr>
          <w:cantSplit/>
          <w:trHeight w:val="23"/>
        </w:trPr>
        <w:tc>
          <w:tcPr>
            <w:tcW w:w="3969" w:type="dxa"/>
          </w:tcPr>
          <w:p w14:paraId="2431CC24" w14:textId="77777777" w:rsidR="00472BAD" w:rsidRPr="00147C5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571578C" w14:textId="77777777" w:rsidR="00472BAD" w:rsidRPr="00147C5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7FB28110" w14:textId="77777777" w:rsidTr="2D4CDE3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E8D14E" w14:textId="4973CB5D" w:rsidR="00AD3606" w:rsidRPr="00147C54" w:rsidRDefault="006973C8" w:rsidP="00E4728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B01BD6">
              <w:t xml:space="preserve">Contribution </w:t>
            </w:r>
            <w:r>
              <w:t>by</w:t>
            </w:r>
            <w:r w:rsidRPr="00B01BD6">
              <w:t xml:space="preserve"> </w:t>
            </w:r>
            <w:r w:rsidR="00056A12">
              <w:t>the United States</w:t>
            </w:r>
          </w:p>
        </w:tc>
      </w:tr>
      <w:tr w:rsidR="00AD3606" w:rsidRPr="00147C54" w14:paraId="02D4D1B9" w14:textId="77777777" w:rsidTr="2D4CDE34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E0E3A05" w14:textId="34F3CEC0" w:rsidR="00AD3606" w:rsidRPr="00101C44" w:rsidRDefault="003761B3" w:rsidP="00E4728B">
            <w:pPr>
              <w:pStyle w:val="Subtitle"/>
              <w:framePr w:hSpace="0" w:wrap="auto" w:xAlign="left" w:yAlign="inline"/>
              <w:rPr>
                <w:highlight w:val="yellow"/>
              </w:rPr>
            </w:pPr>
            <w:bookmarkStart w:id="9" w:name="dtitle1" w:colFirst="0" w:colLast="0"/>
            <w:bookmarkEnd w:id="8"/>
            <w:r w:rsidRPr="00ED10BD">
              <w:t xml:space="preserve">CONSIDERATIONS FOR THE </w:t>
            </w:r>
            <w:r>
              <w:t>DEVELOPMENT OF FORMAL PROCESSES AND PROCEDURES FOR BIDDING TO HOST ITU CONFERENCES &amp; ASSEMBLIES</w:t>
            </w:r>
          </w:p>
        </w:tc>
      </w:tr>
      <w:tr w:rsidR="00AD3606" w:rsidRPr="00147C54" w14:paraId="22154373" w14:textId="77777777" w:rsidTr="2D4CDE34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7E5C15" w14:textId="77777777" w:rsidR="00AD3606" w:rsidRPr="00147C54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</w:p>
          <w:p w14:paraId="6B34CB8E" w14:textId="302001A3" w:rsidR="00695D32" w:rsidRDefault="00695D32" w:rsidP="00C81665">
            <w:pPr>
              <w:spacing w:before="160"/>
              <w:jc w:val="both"/>
            </w:pPr>
            <w:r>
              <w:t xml:space="preserve">This contribution proposes </w:t>
            </w:r>
            <w:r w:rsidR="00FC3320">
              <w:t xml:space="preserve">that the ITU conduct the bidding process for hosting ITU conferences and assemblies via a Request for Proposals </w:t>
            </w:r>
            <w:r w:rsidR="009E54E3">
              <w:t>(RFPs). It highlights some considerations for key elements of RFPs and proposes next steps to finalize bidding processes and procedures by the 2026 session of ITU Council.</w:t>
            </w:r>
          </w:p>
          <w:p w14:paraId="5F9D7DC7" w14:textId="0802B70B" w:rsidR="00AD3606" w:rsidRPr="00147C54" w:rsidRDefault="00AD3606" w:rsidP="00C81665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Action required</w:t>
            </w:r>
          </w:p>
          <w:p w14:paraId="37EF32CE" w14:textId="58B0C74C" w:rsidR="0025570E" w:rsidRPr="004405AB" w:rsidRDefault="006973C8" w:rsidP="00C81665">
            <w:pPr>
              <w:spacing w:before="160"/>
              <w:jc w:val="both"/>
            </w:pPr>
            <w:r w:rsidRPr="002D5DBD">
              <w:t>The Council Working Group on financial and human resources is invited to</w:t>
            </w:r>
            <w:r>
              <w:t xml:space="preserve"> </w:t>
            </w:r>
            <w:r w:rsidR="004630A7" w:rsidRPr="004630A7">
              <w:rPr>
                <w:b/>
                <w:bCs/>
              </w:rPr>
              <w:t>consider</w:t>
            </w:r>
            <w:r>
              <w:t xml:space="preserve"> this document</w:t>
            </w:r>
            <w:r w:rsidR="004630A7">
              <w:t xml:space="preserve"> and </w:t>
            </w:r>
            <w:r w:rsidR="004630A7" w:rsidRPr="004630A7">
              <w:rPr>
                <w:b/>
                <w:bCs/>
              </w:rPr>
              <w:t>take appropriate action</w:t>
            </w:r>
            <w:r w:rsidR="004630A7">
              <w:t>.</w:t>
            </w:r>
          </w:p>
          <w:p w14:paraId="6E7CD7CF" w14:textId="77777777" w:rsidR="00AD3606" w:rsidRPr="00CD3C91" w:rsidRDefault="00CD3C91" w:rsidP="00CD3C91">
            <w:r>
              <w:t>_______________</w:t>
            </w:r>
          </w:p>
          <w:p w14:paraId="46700B46" w14:textId="0D90974E" w:rsidR="00AD3606" w:rsidRPr="00147C54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References</w:t>
            </w:r>
          </w:p>
          <w:p w14:paraId="08A2C827" w14:textId="30BC27B5" w:rsidR="00914C3A" w:rsidRPr="00C81665" w:rsidRDefault="00C81665" w:rsidP="00C81665">
            <w:pPr>
              <w:spacing w:after="160"/>
              <w:rPr>
                <w:rFonts w:eastAsia="Calibri" w:cs="Calibri"/>
                <w:i/>
                <w:iCs/>
                <w:sz w:val="22"/>
                <w:szCs w:val="22"/>
              </w:rPr>
            </w:pPr>
            <w:r w:rsidRPr="00C81665">
              <w:rPr>
                <w:i/>
                <w:iCs/>
                <w:sz w:val="22"/>
                <w:szCs w:val="22"/>
              </w:rPr>
              <w:t xml:space="preserve">Council Documents </w:t>
            </w:r>
            <w:hyperlink r:id="rId11" w:history="1">
              <w:r w:rsidR="0002231D" w:rsidRPr="00C81665">
                <w:rPr>
                  <w:rStyle w:val="Hyperlink"/>
                  <w:i/>
                  <w:iCs/>
                  <w:sz w:val="22"/>
                  <w:szCs w:val="22"/>
                </w:rPr>
                <w:t>C25/101</w:t>
              </w:r>
            </w:hyperlink>
            <w:r w:rsidRPr="00C81665">
              <w:rPr>
                <w:i/>
                <w:iCs/>
                <w:sz w:val="22"/>
                <w:szCs w:val="22"/>
              </w:rPr>
              <w:t xml:space="preserve">, </w:t>
            </w:r>
            <w:hyperlink r:id="rId12" w:history="1">
              <w:r w:rsidR="0002231D" w:rsidRPr="00C81665">
                <w:rPr>
                  <w:rStyle w:val="Hyperlink"/>
                  <w:i/>
                  <w:iCs/>
                  <w:sz w:val="22"/>
                  <w:szCs w:val="22"/>
                </w:rPr>
                <w:t>C25/113</w:t>
              </w:r>
            </w:hyperlink>
            <w:r w:rsidRPr="00C81665">
              <w:rPr>
                <w:i/>
                <w:iCs/>
                <w:sz w:val="22"/>
                <w:szCs w:val="22"/>
              </w:rPr>
              <w:t xml:space="preserve">, </w:t>
            </w:r>
            <w:hyperlink r:id="rId13" w:history="1">
              <w:r w:rsidRPr="00C81665">
                <w:rPr>
                  <w:rStyle w:val="Hyperlink"/>
                  <w:i/>
                  <w:iCs/>
                  <w:sz w:val="22"/>
                  <w:szCs w:val="22"/>
                </w:rPr>
                <w:t>C22/INF/9</w:t>
              </w:r>
            </w:hyperlink>
            <w:r w:rsidRPr="00C81665">
              <w:rPr>
                <w:i/>
                <w:iCs/>
                <w:sz w:val="22"/>
                <w:szCs w:val="22"/>
              </w:rPr>
              <w:t xml:space="preserve">; </w:t>
            </w:r>
            <w:hyperlink r:id="rId14" w:history="1">
              <w:r w:rsidRPr="00C81665">
                <w:rPr>
                  <w:rStyle w:val="Hyperlink"/>
                  <w:i/>
                  <w:iCs/>
                  <w:sz w:val="22"/>
                  <w:szCs w:val="22"/>
                </w:rPr>
                <w:t>C07/22(Rev.1)</w:t>
              </w:r>
            </w:hyperlink>
            <w:r w:rsidRPr="00C81665">
              <w:rPr>
                <w:i/>
                <w:iCs/>
                <w:sz w:val="22"/>
                <w:szCs w:val="22"/>
              </w:rPr>
              <w:t xml:space="preserve"> (Model Host Country Agreement); CWG-FHR Documents </w:t>
            </w:r>
            <w:hyperlink r:id="rId15">
              <w:r w:rsidR="00365B59" w:rsidRPr="00C81665">
                <w:rPr>
                  <w:rStyle w:val="Hyperlink"/>
                  <w:i/>
                  <w:iCs/>
                  <w:sz w:val="22"/>
                  <w:szCs w:val="22"/>
                </w:rPr>
                <w:t>CWG-FHR-21/7</w:t>
              </w:r>
            </w:hyperlink>
            <w:r w:rsidRPr="00C81665">
              <w:rPr>
                <w:i/>
                <w:iCs/>
                <w:sz w:val="22"/>
                <w:szCs w:val="22"/>
              </w:rPr>
              <w:t xml:space="preserve">, </w:t>
            </w:r>
            <w:hyperlink r:id="rId16" w:history="1">
              <w:r w:rsidRPr="00C81665">
                <w:rPr>
                  <w:rStyle w:val="Hyperlink"/>
                  <w:bCs/>
                  <w:i/>
                  <w:iCs/>
                  <w:sz w:val="22"/>
                  <w:szCs w:val="22"/>
                </w:rPr>
                <w:t>CWG-FHR-21/8</w:t>
              </w:r>
            </w:hyperlink>
            <w:r w:rsidRPr="00C81665">
              <w:rPr>
                <w:i/>
                <w:iCs/>
                <w:sz w:val="22"/>
                <w:szCs w:val="22"/>
              </w:rPr>
              <w:t xml:space="preserve">; </w:t>
            </w:r>
            <w:hyperlink r:id="rId17" w:history="1">
              <w:r w:rsidR="00914C3A" w:rsidRPr="00C81665">
                <w:rPr>
                  <w:rStyle w:val="Hyperlink"/>
                  <w:rFonts w:eastAsia="Calibri" w:cs="Calibri"/>
                  <w:i/>
                  <w:iCs/>
                  <w:sz w:val="22"/>
                  <w:szCs w:val="22"/>
                </w:rPr>
                <w:t>ITU-R WRC C23/05</w:t>
              </w:r>
            </w:hyperlink>
            <w:r>
              <w:rPr>
                <w:i/>
                <w:iCs/>
                <w:sz w:val="22"/>
                <w:szCs w:val="22"/>
              </w:rPr>
              <w:t>.</w:t>
            </w:r>
          </w:p>
          <w:p w14:paraId="536D45A2" w14:textId="1619994F" w:rsidR="001045AA" w:rsidRPr="00365B59" w:rsidRDefault="001045AA" w:rsidP="00F16BAB">
            <w:pPr>
              <w:spacing w:after="160"/>
              <w:rPr>
                <w:i/>
                <w:iCs/>
                <w:sz w:val="22"/>
                <w:szCs w:val="22"/>
              </w:rPr>
            </w:pPr>
          </w:p>
        </w:tc>
      </w:tr>
    </w:tbl>
    <w:p w14:paraId="24C96653" w14:textId="77777777" w:rsidR="00E227F3" w:rsidRPr="00147C54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D6745EF" w14:textId="77777777" w:rsidR="0090147A" w:rsidRPr="00147C54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47C54">
        <w:br w:type="page"/>
      </w:r>
    </w:p>
    <w:bookmarkEnd w:id="5"/>
    <w:bookmarkEnd w:id="10"/>
    <w:p w14:paraId="4F6E1909" w14:textId="14E6116E" w:rsidR="00E33AD5" w:rsidRDefault="00A76CFD" w:rsidP="00C8166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b/>
          <w:bCs/>
        </w:rPr>
      </w:pPr>
      <w:r w:rsidRPr="00A76CFD">
        <w:rPr>
          <w:b/>
          <w:bCs/>
        </w:rPr>
        <w:lastRenderedPageBreak/>
        <w:t>Background</w:t>
      </w:r>
      <w:r w:rsidR="00FF4B5C">
        <w:rPr>
          <w:b/>
          <w:bCs/>
        </w:rPr>
        <w:t xml:space="preserve"> &amp;</w:t>
      </w:r>
      <w:r w:rsidR="00150CBB">
        <w:rPr>
          <w:b/>
          <w:bCs/>
        </w:rPr>
        <w:t xml:space="preserve"> Summary</w:t>
      </w:r>
    </w:p>
    <w:p w14:paraId="19179C31" w14:textId="56EB9DE9" w:rsidR="00BA5849" w:rsidRPr="00BC2A70" w:rsidRDefault="689D2A31" w:rsidP="00563942">
      <w:pPr>
        <w:spacing w:before="240" w:after="120"/>
        <w:jc w:val="both"/>
        <w:rPr>
          <w:lang w:val="en-US"/>
        </w:rPr>
      </w:pPr>
      <w:r w:rsidRPr="0FBE7E83">
        <w:rPr>
          <w:lang w:val="en-US"/>
        </w:rPr>
        <w:t xml:space="preserve">At the 2025 session of ITU Council, the United States proposed </w:t>
      </w:r>
      <w:r w:rsidR="2ED4A6AE" w:rsidRPr="0FBE7E83">
        <w:rPr>
          <w:rFonts w:cstheme="minorBidi"/>
          <w:lang w:val="en-US"/>
        </w:rPr>
        <w:t>the need for the development of a formal, collaborative, and transparent bidding process for hosting future ITU conferences, and for selecting among multiple bids</w:t>
      </w:r>
      <w:r w:rsidR="522B4C4C" w:rsidRPr="0FBE7E83">
        <w:rPr>
          <w:lang w:val="en-US"/>
        </w:rPr>
        <w:t xml:space="preserve"> (</w:t>
      </w:r>
      <w:r w:rsidR="0030CAC2" w:rsidRPr="0FBE7E83">
        <w:rPr>
          <w:lang w:val="en-US"/>
        </w:rPr>
        <w:t xml:space="preserve">Document </w:t>
      </w:r>
      <w:hyperlink r:id="rId18">
        <w:r w:rsidR="522B4C4C" w:rsidRPr="0FBE7E83">
          <w:rPr>
            <w:rStyle w:val="Hyperlink"/>
          </w:rPr>
          <w:t>C25/101</w:t>
        </w:r>
      </w:hyperlink>
      <w:r w:rsidR="522B4C4C" w:rsidRPr="0FBE7E83">
        <w:rPr>
          <w:lang w:val="en-US"/>
        </w:rPr>
        <w:t>).</w:t>
      </w:r>
      <w:r w:rsidR="3A1F17FC" w:rsidRPr="0FBE7E83">
        <w:rPr>
          <w:lang w:val="en-US"/>
        </w:rPr>
        <w:t xml:space="preserve"> </w:t>
      </w:r>
      <w:r w:rsidR="1D1908EF">
        <w:t xml:space="preserve">Council </w:t>
      </w:r>
      <w:r w:rsidR="75947EA2">
        <w:t>decided</w:t>
      </w:r>
      <w:r w:rsidR="3BBB8CF7">
        <w:t xml:space="preserve"> that</w:t>
      </w:r>
      <w:r w:rsidR="1D1908EF">
        <w:t xml:space="preserve"> CWG-FHR</w:t>
      </w:r>
      <w:r w:rsidR="07DFD388">
        <w:t xml:space="preserve"> </w:t>
      </w:r>
      <w:r w:rsidR="3BBB8CF7">
        <w:t>would take up this task (</w:t>
      </w:r>
      <w:r w:rsidR="0030CAC2">
        <w:t xml:space="preserve">Document </w:t>
      </w:r>
      <w:hyperlink r:id="rId19">
        <w:r w:rsidR="3BBB8CF7" w:rsidRPr="0FBE7E83">
          <w:rPr>
            <w:rStyle w:val="Hyperlink"/>
          </w:rPr>
          <w:t>C25/113</w:t>
        </w:r>
      </w:hyperlink>
      <w:r w:rsidR="3BBB8CF7">
        <w:t>),</w:t>
      </w:r>
      <w:r w:rsidR="101C110D">
        <w:t xml:space="preserve"> and the Secretariat has provided initial information to this meeting to assist in this effort (</w:t>
      </w:r>
      <w:r w:rsidR="1573D34F">
        <w:t xml:space="preserve">Document </w:t>
      </w:r>
      <w:hyperlink r:id="rId20">
        <w:r w:rsidR="101C110D" w:rsidRPr="0FBE7E83">
          <w:rPr>
            <w:rStyle w:val="Hyperlink"/>
            <w:lang w:val="en-US"/>
          </w:rPr>
          <w:t>CWG-FHR-21/7</w:t>
        </w:r>
      </w:hyperlink>
      <w:r w:rsidR="101C110D" w:rsidRPr="0FBE7E83">
        <w:rPr>
          <w:lang w:val="en-US"/>
        </w:rPr>
        <w:t>).</w:t>
      </w:r>
    </w:p>
    <w:p w14:paraId="338BBD65" w14:textId="47E917E6" w:rsidR="0046427C" w:rsidRPr="003761B3" w:rsidRDefault="00BA5849" w:rsidP="00C81665">
      <w:pPr>
        <w:spacing w:after="120"/>
        <w:jc w:val="both"/>
      </w:pPr>
      <w:r>
        <w:t>To progress this work,</w:t>
      </w:r>
      <w:r w:rsidR="005E3FD9">
        <w:t xml:space="preserve"> t</w:t>
      </w:r>
      <w:r w:rsidR="00D96652">
        <w:t>his contribution proposes</w:t>
      </w:r>
      <w:r w:rsidR="0046427C">
        <w:t xml:space="preserve"> that the ITU conduct the bidding process for hosting ITU conferences</w:t>
      </w:r>
      <w:r w:rsidR="00D96652">
        <w:t xml:space="preserve"> and assemblies</w:t>
      </w:r>
      <w:r w:rsidR="0046427C">
        <w:t xml:space="preserve"> via a Request for Proposals (RFP), a common and well-known mechanism for soliciting bids.</w:t>
      </w:r>
      <w:r w:rsidR="006A10C0">
        <w:t xml:space="preserve"> </w:t>
      </w:r>
      <w:r w:rsidR="00DE7C33">
        <w:t>(</w:t>
      </w:r>
      <w:r w:rsidR="000E72A0">
        <w:t>In other words, o</w:t>
      </w:r>
      <w:r w:rsidR="00DE7C33">
        <w:t>f the other UN agencies included in the benchmarking exercise in</w:t>
      </w:r>
      <w:r w:rsidR="00E16F8B" w:rsidRPr="00E16F8B">
        <w:t xml:space="preserve"> </w:t>
      </w:r>
      <w:r w:rsidR="00E16F8B">
        <w:t xml:space="preserve">Document </w:t>
      </w:r>
      <w:hyperlink r:id="rId21" w:history="1">
        <w:r w:rsidR="00E16F8B" w:rsidRPr="00BC2A70">
          <w:rPr>
            <w:rStyle w:val="Hyperlink"/>
            <w:lang w:val="en-US"/>
          </w:rPr>
          <w:t>CWG-FHR-21/7</w:t>
        </w:r>
      </w:hyperlink>
      <w:r w:rsidR="00D4388B">
        <w:t xml:space="preserve">, we propose a process most similar to that of the World Bank.) </w:t>
      </w:r>
      <w:r w:rsidR="006A10C0">
        <w:t xml:space="preserve">It highlights </w:t>
      </w:r>
      <w:r w:rsidR="009B577E">
        <w:t xml:space="preserve">some considerations </w:t>
      </w:r>
      <w:r w:rsidR="00831F36">
        <w:t>for key elements of RFPs</w:t>
      </w:r>
      <w:r w:rsidR="00A10CA1">
        <w:t xml:space="preserve"> (</w:t>
      </w:r>
      <w:r w:rsidR="00C62F3B">
        <w:t>including the</w:t>
      </w:r>
      <w:r w:rsidR="00A10CA1">
        <w:t xml:space="preserve"> relationship to Host Country Agreements)</w:t>
      </w:r>
      <w:r w:rsidR="00C62600">
        <w:t xml:space="preserve"> and proposes next steps to finalize </w:t>
      </w:r>
      <w:r w:rsidR="00D360B8">
        <w:t xml:space="preserve">bidding processes and procedures by the 2026 session of ITU Council. </w:t>
      </w:r>
    </w:p>
    <w:p w14:paraId="5DF2BC1C" w14:textId="08689B71" w:rsidR="00A514A4" w:rsidRPr="00A76CFD" w:rsidRDefault="00FF4B5C" w:rsidP="0056394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 w:after="120"/>
        <w:jc w:val="both"/>
        <w:textAlignment w:val="auto"/>
        <w:rPr>
          <w:b/>
          <w:bCs/>
        </w:rPr>
      </w:pPr>
      <w:r>
        <w:rPr>
          <w:b/>
          <w:bCs/>
        </w:rPr>
        <w:t>Discussion</w:t>
      </w:r>
    </w:p>
    <w:p w14:paraId="2DF26801" w14:textId="06D5C1DC" w:rsidR="009A3AC3" w:rsidRPr="00F34883" w:rsidRDefault="007D3041" w:rsidP="0056394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jc w:val="both"/>
        <w:textAlignment w:val="auto"/>
      </w:pPr>
      <w:r w:rsidRPr="00F34883">
        <w:t xml:space="preserve">Typical RFPs </w:t>
      </w:r>
      <w:r w:rsidR="00DA0271">
        <w:t>commonly contain</w:t>
      </w:r>
      <w:r w:rsidRPr="00F34883">
        <w:t xml:space="preserve"> elements such</w:t>
      </w:r>
      <w:r w:rsidR="005A15BB">
        <w:t xml:space="preserve"> </w:t>
      </w:r>
      <w:r w:rsidRPr="00F34883">
        <w:t xml:space="preserve">as </w:t>
      </w:r>
      <w:r w:rsidR="005A15BB">
        <w:t xml:space="preserve">deliverables and specifications, </w:t>
      </w:r>
      <w:r w:rsidR="00BA06AD">
        <w:t>payment terms</w:t>
      </w:r>
      <w:r w:rsidR="007C3FEB">
        <w:t xml:space="preserve"> and </w:t>
      </w:r>
      <w:r w:rsidR="005640EC">
        <w:t>financial obligations</w:t>
      </w:r>
      <w:r w:rsidR="00BA06AD">
        <w:t xml:space="preserve">, </w:t>
      </w:r>
      <w:r w:rsidR="00F0422D">
        <w:t>deadlines</w:t>
      </w:r>
      <w:r w:rsidR="00FF2CC7">
        <w:t xml:space="preserve">, and proposal format </w:t>
      </w:r>
      <w:r w:rsidR="00616870">
        <w:t>(among others)</w:t>
      </w:r>
      <w:r w:rsidR="00F0422D">
        <w:t>.</w:t>
      </w:r>
    </w:p>
    <w:p w14:paraId="63BB0E37" w14:textId="344DE783" w:rsidR="00B80680" w:rsidRDefault="0061046B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60" w:after="120"/>
        <w:ind w:left="360"/>
        <w:contextualSpacing w:val="0"/>
        <w:jc w:val="both"/>
        <w:textAlignment w:val="auto"/>
      </w:pPr>
      <w:r w:rsidRPr="00571F75">
        <w:rPr>
          <w:b/>
          <w:bCs/>
          <w:i/>
          <w:iCs/>
        </w:rPr>
        <w:t>Deliverables and specifications:</w:t>
      </w:r>
      <w:r>
        <w:t xml:space="preserve"> </w:t>
      </w:r>
      <w:r w:rsidR="00382C66">
        <w:t>The</w:t>
      </w:r>
      <w:r w:rsidR="00992A17" w:rsidRPr="00493BA3">
        <w:t xml:space="preserve"> Secretariat already maintains much, if not all, of this information as part of Host Country Agreement</w:t>
      </w:r>
      <w:r w:rsidR="00992A17">
        <w:t>s</w:t>
      </w:r>
      <w:r w:rsidR="00FF5BE9">
        <w:t xml:space="preserve"> </w:t>
      </w:r>
      <w:r w:rsidR="00642308">
        <w:t xml:space="preserve">(HCAs) </w:t>
      </w:r>
      <w:r w:rsidR="00FF5BE9">
        <w:t xml:space="preserve">and </w:t>
      </w:r>
      <w:r w:rsidR="009654A0">
        <w:t>related</w:t>
      </w:r>
      <w:r w:rsidR="00FF5BE9">
        <w:t xml:space="preserve"> processes, such</w:t>
      </w:r>
      <w:r w:rsidR="00D73904">
        <w:t xml:space="preserve"> as the factors assessed during</w:t>
      </w:r>
      <w:r w:rsidR="00FF5BE9">
        <w:t xml:space="preserve"> site visits. </w:t>
      </w:r>
      <w:r w:rsidR="001A22C4">
        <w:t xml:space="preserve">HCAs, however, are negotiated </w:t>
      </w:r>
      <w:r w:rsidR="001121EB">
        <w:t>directly between the ITU and the prospective host country</w:t>
      </w:r>
      <w:r w:rsidR="00705055">
        <w:t xml:space="preserve">, and only </w:t>
      </w:r>
      <w:r w:rsidR="00705055" w:rsidRPr="00705055">
        <w:rPr>
          <w:i/>
          <w:iCs/>
        </w:rPr>
        <w:t xml:space="preserve">after </w:t>
      </w:r>
      <w:r w:rsidR="00705055">
        <w:t xml:space="preserve">the prospective host country is already selected. </w:t>
      </w:r>
      <w:r w:rsidR="000132B6">
        <w:t>S</w:t>
      </w:r>
      <w:r w:rsidR="009853E4">
        <w:t xml:space="preserve">haring </w:t>
      </w:r>
      <w:r w:rsidR="004B4043">
        <w:t>overall requirements</w:t>
      </w:r>
      <w:r w:rsidR="009853E4">
        <w:t xml:space="preserve"> </w:t>
      </w:r>
      <w:r w:rsidR="00142597">
        <w:t xml:space="preserve">in advance </w:t>
      </w:r>
      <w:r w:rsidR="009853E4">
        <w:t>as part of the RFP</w:t>
      </w:r>
      <w:r w:rsidR="0086655C">
        <w:t xml:space="preserve"> </w:t>
      </w:r>
      <w:r w:rsidR="009853E4">
        <w:t>w</w:t>
      </w:r>
      <w:r w:rsidR="00992A17">
        <w:t xml:space="preserve">ill increase transparency </w:t>
      </w:r>
      <w:r w:rsidR="00B035C5">
        <w:t xml:space="preserve">and accountability </w:t>
      </w:r>
      <w:r w:rsidR="00C30C44">
        <w:t xml:space="preserve">and build </w:t>
      </w:r>
      <w:r w:rsidR="00D757A0">
        <w:t xml:space="preserve">greater </w:t>
      </w:r>
      <w:r w:rsidR="00C30C44">
        <w:t xml:space="preserve">understanding among </w:t>
      </w:r>
      <w:r w:rsidR="00D757A0">
        <w:t>potential bidders</w:t>
      </w:r>
      <w:r w:rsidR="00C30C44">
        <w:t xml:space="preserve"> as to the responsibilities</w:t>
      </w:r>
      <w:r w:rsidR="00142597">
        <w:t xml:space="preserve"> </w:t>
      </w:r>
      <w:r w:rsidR="00C30C44">
        <w:t>associated with hosting an ITU conference.</w:t>
      </w:r>
    </w:p>
    <w:p w14:paraId="42943F62" w14:textId="1E8F102A" w:rsidR="005650B3" w:rsidRPr="008D68C5" w:rsidRDefault="47D3897E" w:rsidP="00C81665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360"/>
        <w:contextualSpacing w:val="0"/>
        <w:jc w:val="both"/>
        <w:textAlignment w:val="auto"/>
      </w:pPr>
      <w:r>
        <w:t xml:space="preserve">Building </w:t>
      </w:r>
      <w:r w:rsidR="3062BC1D">
        <w:t>on the</w:t>
      </w:r>
      <w:r w:rsidR="6CD4E9E6">
        <w:t xml:space="preserve"> </w:t>
      </w:r>
      <w:hyperlink r:id="rId22">
        <w:r w:rsidR="6CD4E9E6" w:rsidRPr="003761B3">
          <w:rPr>
            <w:rStyle w:val="Hyperlink"/>
          </w:rPr>
          <w:t>Model Host Country Agreement (</w:t>
        </w:r>
        <w:r w:rsidR="00F53769">
          <w:rPr>
            <w:rStyle w:val="Hyperlink"/>
          </w:rPr>
          <w:t>C-</w:t>
        </w:r>
        <w:r w:rsidR="6CD4E9E6" w:rsidRPr="003761B3">
          <w:rPr>
            <w:rStyle w:val="Hyperlink"/>
          </w:rPr>
          <w:t>07/22(Rev.1))</w:t>
        </w:r>
      </w:hyperlink>
      <w:r w:rsidR="0F608DA2">
        <w:t xml:space="preserve">, </w:t>
      </w:r>
      <w:r w:rsidR="2CD5BA31">
        <w:t>r</w:t>
      </w:r>
      <w:r w:rsidR="1540CABD">
        <w:t>ecent HCAs</w:t>
      </w:r>
      <w:r w:rsidR="6F300120">
        <w:t xml:space="preserve"> with Romania (</w:t>
      </w:r>
      <w:r w:rsidR="2BBA9616">
        <w:t xml:space="preserve">Document </w:t>
      </w:r>
      <w:hyperlink r:id="rId23">
        <w:r w:rsidR="2BBA9616" w:rsidRPr="0FBE7E83">
          <w:rPr>
            <w:rStyle w:val="Hyperlink"/>
          </w:rPr>
          <w:t>C22/INF/9</w:t>
        </w:r>
      </w:hyperlink>
      <w:r w:rsidR="6F300120">
        <w:t xml:space="preserve">) and </w:t>
      </w:r>
      <w:r w:rsidR="6990BAB6">
        <w:t xml:space="preserve">the </w:t>
      </w:r>
      <w:r w:rsidR="6F300120">
        <w:t>United Arab Emirates (</w:t>
      </w:r>
      <w:hyperlink r:id="rId24">
        <w:r w:rsidR="37EDA137" w:rsidRPr="0FBE7E83">
          <w:rPr>
            <w:rStyle w:val="Hyperlink"/>
            <w:rFonts w:eastAsia="Calibri" w:cs="Calibri"/>
          </w:rPr>
          <w:t>ITU-R WRC C23/05</w:t>
        </w:r>
      </w:hyperlink>
      <w:r w:rsidR="6F300120">
        <w:t xml:space="preserve">) have </w:t>
      </w:r>
      <w:r w:rsidR="0ED56407">
        <w:t xml:space="preserve">successfully </w:t>
      </w:r>
      <w:r w:rsidR="6F300120">
        <w:t xml:space="preserve">demonstrated evolving best practices in host country support. </w:t>
      </w:r>
      <w:r w:rsidR="10002868">
        <w:t xml:space="preserve">Putting aside the </w:t>
      </w:r>
      <w:r w:rsidR="134B80AA">
        <w:t>question</w:t>
      </w:r>
      <w:r w:rsidR="10002868">
        <w:t xml:space="preserve"> </w:t>
      </w:r>
      <w:r w:rsidR="58F46FF3">
        <w:t>of revising the Model Host Country Agreement directly,</w:t>
      </w:r>
      <w:r w:rsidR="10002868">
        <w:t xml:space="preserve"> the</w:t>
      </w:r>
      <w:r w:rsidR="78DF48BC">
        <w:t xml:space="preserve"> </w:t>
      </w:r>
      <w:r w:rsidR="052D480D">
        <w:t xml:space="preserve">development of deliverables and specifications for the RFP </w:t>
      </w:r>
      <w:r w:rsidR="134B80AA">
        <w:t xml:space="preserve">also </w:t>
      </w:r>
      <w:r w:rsidR="10002868">
        <w:t xml:space="preserve">provides </w:t>
      </w:r>
      <w:r w:rsidR="63505108">
        <w:t>a</w:t>
      </w:r>
      <w:r w:rsidR="12B6E9E3">
        <w:t xml:space="preserve"> valuable opportunity to </w:t>
      </w:r>
      <w:r w:rsidR="052D480D">
        <w:t>further strengthen</w:t>
      </w:r>
      <w:r w:rsidR="37BCD12D">
        <w:t xml:space="preserve"> the protocols for conferences </w:t>
      </w:r>
      <w:r w:rsidR="052D480D">
        <w:t xml:space="preserve">and </w:t>
      </w:r>
      <w:r w:rsidR="397CCCFF">
        <w:t xml:space="preserve">help </w:t>
      </w:r>
      <w:r w:rsidR="673B5AA9">
        <w:t>ensure safety, accessibility, and operational integrity for all participants</w:t>
      </w:r>
      <w:r w:rsidR="052D480D">
        <w:t xml:space="preserve">.  </w:t>
      </w:r>
      <w:r w:rsidR="7CA301D3">
        <w:t xml:space="preserve">Using </w:t>
      </w:r>
      <w:r w:rsidR="3F5F5246">
        <w:t xml:space="preserve">recent HCAs as a starting point, we propose </w:t>
      </w:r>
      <w:r w:rsidR="2E68E944">
        <w:t>that the</w:t>
      </w:r>
      <w:r w:rsidR="40248C90">
        <w:t xml:space="preserve"> draft RF</w:t>
      </w:r>
      <w:r w:rsidR="007B2DEB">
        <w:t>P</w:t>
      </w:r>
      <w:r w:rsidR="40248C90">
        <w:t xml:space="preserve"> </w:t>
      </w:r>
      <w:r w:rsidR="2E68E944">
        <w:t xml:space="preserve">should </w:t>
      </w:r>
      <w:r w:rsidR="40248C90">
        <w:t>build on best practices from recent conferences and address factors such as</w:t>
      </w:r>
      <w:r w:rsidR="7BDF3948">
        <w:t xml:space="preserve"> the venue and facilit</w:t>
      </w:r>
      <w:r w:rsidR="395D5A01">
        <w:t>y;</w:t>
      </w:r>
      <w:r w:rsidR="7BDF3948">
        <w:t xml:space="preserve"> visas</w:t>
      </w:r>
      <w:r w:rsidR="6CD4E9E6">
        <w:t xml:space="preserve"> (including entry </w:t>
      </w:r>
      <w:r w:rsidR="77B1A593">
        <w:t>and</w:t>
      </w:r>
      <w:r w:rsidR="6CD4E9E6">
        <w:t xml:space="preserve"> exit)</w:t>
      </w:r>
      <w:r w:rsidR="6DCCD537">
        <w:t xml:space="preserve">; </w:t>
      </w:r>
      <w:r w:rsidR="7BDF3948">
        <w:t>safety, health an</w:t>
      </w:r>
      <w:r w:rsidR="7A63B58C">
        <w:t xml:space="preserve">d security; telecommunications access and </w:t>
      </w:r>
      <w:r w:rsidR="6CD4E9E6">
        <w:t>cyber</w:t>
      </w:r>
      <w:r w:rsidR="7A63B58C">
        <w:t>security;</w:t>
      </w:r>
      <w:r w:rsidR="7BDF3948">
        <w:t xml:space="preserve"> </w:t>
      </w:r>
      <w:r w:rsidR="3FFEE13B">
        <w:t>and media engagement.</w:t>
      </w:r>
    </w:p>
    <w:p w14:paraId="5E741B12" w14:textId="716BE6C8" w:rsidR="00E13492" w:rsidRPr="00E13492" w:rsidRDefault="26EC31D2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60" w:after="120"/>
        <w:ind w:left="360"/>
        <w:contextualSpacing w:val="0"/>
        <w:jc w:val="both"/>
        <w:textAlignment w:val="auto"/>
        <w:rPr>
          <w:b/>
          <w:bCs/>
          <w:i/>
          <w:iCs/>
        </w:rPr>
      </w:pPr>
      <w:r w:rsidRPr="0FBE7E83">
        <w:rPr>
          <w:b/>
          <w:bCs/>
          <w:i/>
          <w:iCs/>
        </w:rPr>
        <w:t>Payment terms</w:t>
      </w:r>
      <w:r w:rsidR="2A711077" w:rsidRPr="0FBE7E83">
        <w:rPr>
          <w:b/>
          <w:bCs/>
          <w:i/>
          <w:iCs/>
        </w:rPr>
        <w:t xml:space="preserve"> and financial obligations</w:t>
      </w:r>
      <w:r w:rsidRPr="0FBE7E83">
        <w:rPr>
          <w:b/>
          <w:bCs/>
          <w:i/>
          <w:iCs/>
        </w:rPr>
        <w:t xml:space="preserve">: </w:t>
      </w:r>
      <w:r w:rsidR="7A4AF13C" w:rsidRPr="0FBE7E83">
        <w:rPr>
          <w:rFonts w:cs="Calibri"/>
        </w:rPr>
        <w:t>The RFP should clearly delineate the</w:t>
      </w:r>
      <w:r w:rsidR="277B8CEA" w:rsidRPr="0FBE7E83">
        <w:rPr>
          <w:rFonts w:cs="Calibri"/>
        </w:rPr>
        <w:t xml:space="preserve"> financial responsibilities </w:t>
      </w:r>
      <w:r w:rsidR="755AF7D5" w:rsidRPr="0FBE7E83">
        <w:rPr>
          <w:rFonts w:cs="Calibri"/>
        </w:rPr>
        <w:t xml:space="preserve">of the host country </w:t>
      </w:r>
      <w:r w:rsidR="6475BA3F" w:rsidRPr="0FBE7E83">
        <w:rPr>
          <w:rFonts w:cs="Calibri"/>
        </w:rPr>
        <w:t>and of</w:t>
      </w:r>
      <w:r w:rsidR="755AF7D5" w:rsidRPr="0FBE7E83">
        <w:rPr>
          <w:rFonts w:cs="Calibri"/>
        </w:rPr>
        <w:t xml:space="preserve"> the ITU.</w:t>
      </w:r>
      <w:r w:rsidR="539AF98F" w:rsidRPr="0FBE7E83">
        <w:rPr>
          <w:rFonts w:cs="Calibri"/>
        </w:rPr>
        <w:t xml:space="preserve"> (T</w:t>
      </w:r>
      <w:r w:rsidR="539AF98F" w:rsidRPr="0FBE7E83">
        <w:rPr>
          <w:rStyle w:val="normaltextrun"/>
          <w:rFonts w:cs="Calibri"/>
        </w:rPr>
        <w:t>he ITU budgets for its major conferences based on each being held in Geneva; when it is hosted outside of Geneva, the host country does not pay for all expenses</w:t>
      </w:r>
      <w:r w:rsidR="43FB8779" w:rsidRPr="0FBE7E83">
        <w:rPr>
          <w:rStyle w:val="normaltextrun"/>
          <w:rFonts w:cs="Calibri"/>
        </w:rPr>
        <w:t>;</w:t>
      </w:r>
      <w:r w:rsidR="539AF98F" w:rsidRPr="0FBE7E83">
        <w:rPr>
          <w:rStyle w:val="normaltextrun"/>
          <w:rFonts w:cs="Calibri"/>
        </w:rPr>
        <w:t xml:space="preserve"> </w:t>
      </w:r>
      <w:r w:rsidR="081CF422" w:rsidRPr="0FBE7E83">
        <w:rPr>
          <w:rStyle w:val="normaltextrun"/>
          <w:rFonts w:cs="Calibri"/>
        </w:rPr>
        <w:t xml:space="preserve">it </w:t>
      </w:r>
      <w:r w:rsidR="539AF98F" w:rsidRPr="0FBE7E83">
        <w:rPr>
          <w:rStyle w:val="normaltextrun"/>
          <w:rFonts w:cs="Calibri"/>
        </w:rPr>
        <w:t xml:space="preserve">just </w:t>
      </w:r>
      <w:r w:rsidR="732A998D" w:rsidRPr="0FBE7E83">
        <w:rPr>
          <w:rStyle w:val="normaltextrun"/>
          <w:rFonts w:cs="Calibri"/>
        </w:rPr>
        <w:t xml:space="preserve">pays </w:t>
      </w:r>
      <w:r w:rsidR="539AF98F" w:rsidRPr="0FBE7E83">
        <w:rPr>
          <w:rStyle w:val="normaltextrun"/>
          <w:rFonts w:cs="Calibri"/>
        </w:rPr>
        <w:t>the difference in cost between Geneva and the host.)</w:t>
      </w:r>
    </w:p>
    <w:p w14:paraId="71EE3413" w14:textId="53818A74" w:rsidR="00116152" w:rsidRDefault="0096014D" w:rsidP="00563942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60" w:after="120"/>
        <w:ind w:left="360"/>
        <w:contextualSpacing w:val="0"/>
        <w:jc w:val="both"/>
        <w:textAlignment w:val="auto"/>
        <w:rPr>
          <w:bCs/>
          <w:lang w:val="en-US"/>
        </w:rPr>
      </w:pPr>
      <w:r>
        <w:lastRenderedPageBreak/>
        <w:t xml:space="preserve">We also emphasize the important linkage with related efforts underway to reduce financial burdens </w:t>
      </w:r>
      <w:r w:rsidR="00E24A19">
        <w:t xml:space="preserve">on host countries </w:t>
      </w:r>
      <w:r w:rsidR="00884C86">
        <w:t>(</w:t>
      </w:r>
      <w:r w:rsidR="00884C86" w:rsidRPr="003761B3">
        <w:rPr>
          <w:bCs/>
        </w:rPr>
        <w:t xml:space="preserve">Document </w:t>
      </w:r>
      <w:hyperlink r:id="rId25" w:history="1">
        <w:r w:rsidR="00884C86" w:rsidRPr="003761B3">
          <w:rPr>
            <w:rStyle w:val="Hyperlink"/>
            <w:bCs/>
          </w:rPr>
          <w:t>CWG-FHR-21/8</w:t>
        </w:r>
      </w:hyperlink>
      <w:r w:rsidR="00884C86" w:rsidRPr="003761B3">
        <w:rPr>
          <w:bCs/>
        </w:rPr>
        <w:t>)</w:t>
      </w:r>
      <w:r w:rsidR="00A343B7" w:rsidRPr="003761B3">
        <w:rPr>
          <w:bCs/>
        </w:rPr>
        <w:t xml:space="preserve">. </w:t>
      </w:r>
      <w:r w:rsidR="00ED473F">
        <w:rPr>
          <w:bCs/>
          <w:lang w:val="en-US"/>
        </w:rPr>
        <w:t>The</w:t>
      </w:r>
      <w:r w:rsidR="00ED473F" w:rsidRPr="00636917">
        <w:rPr>
          <w:bCs/>
          <w:lang w:val="en-US"/>
        </w:rPr>
        <w:t xml:space="preserve"> RFP</w:t>
      </w:r>
      <w:r w:rsidR="00A06C4D">
        <w:rPr>
          <w:bCs/>
          <w:lang w:val="en-US"/>
        </w:rPr>
        <w:t xml:space="preserve"> </w:t>
      </w:r>
      <w:r w:rsidR="00ED473F" w:rsidRPr="00636917">
        <w:rPr>
          <w:bCs/>
          <w:lang w:val="en-US"/>
        </w:rPr>
        <w:t xml:space="preserve">should be designed in a manner that broadens </w:t>
      </w:r>
      <w:r w:rsidR="00ED473F">
        <w:rPr>
          <w:bCs/>
          <w:lang w:val="en-US"/>
        </w:rPr>
        <w:t>the base</w:t>
      </w:r>
      <w:r w:rsidR="008F1134">
        <w:rPr>
          <w:bCs/>
          <w:lang w:val="en-US"/>
        </w:rPr>
        <w:t xml:space="preserve"> able to bid</w:t>
      </w:r>
      <w:r w:rsidR="003719D0">
        <w:rPr>
          <w:bCs/>
          <w:lang w:val="en-US"/>
        </w:rPr>
        <w:t xml:space="preserve">.  </w:t>
      </w:r>
      <w:r w:rsidR="00A343B7">
        <w:rPr>
          <w:bCs/>
          <w:lang w:val="en-US"/>
        </w:rPr>
        <w:t xml:space="preserve">Given that increasingly fewer countries </w:t>
      </w:r>
      <w:r w:rsidR="00A06C4D">
        <w:rPr>
          <w:bCs/>
          <w:lang w:val="en-US"/>
        </w:rPr>
        <w:t xml:space="preserve">are </w:t>
      </w:r>
      <w:proofErr w:type="gramStart"/>
      <w:r w:rsidR="00A06C4D">
        <w:rPr>
          <w:bCs/>
          <w:lang w:val="en-US"/>
        </w:rPr>
        <w:t>in a position</w:t>
      </w:r>
      <w:proofErr w:type="gramEnd"/>
      <w:r w:rsidR="00A06C4D">
        <w:rPr>
          <w:bCs/>
          <w:lang w:val="en-US"/>
        </w:rPr>
        <w:t xml:space="preserve"> to</w:t>
      </w:r>
      <w:r w:rsidR="00A343B7">
        <w:rPr>
          <w:bCs/>
          <w:lang w:val="en-US"/>
        </w:rPr>
        <w:t xml:space="preserve"> </w:t>
      </w:r>
      <w:r w:rsidR="00F0055A">
        <w:rPr>
          <w:bCs/>
          <w:lang w:val="en-US"/>
        </w:rPr>
        <w:t>bear</w:t>
      </w:r>
      <w:r w:rsidR="00A343B7">
        <w:rPr>
          <w:bCs/>
          <w:lang w:val="en-US"/>
        </w:rPr>
        <w:t xml:space="preserve"> the cost burden associ</w:t>
      </w:r>
      <w:r w:rsidR="005A0418">
        <w:rPr>
          <w:bCs/>
          <w:lang w:val="en-US"/>
        </w:rPr>
        <w:t>ated with hosting ITU conferences</w:t>
      </w:r>
      <w:r w:rsidR="00A343B7">
        <w:rPr>
          <w:bCs/>
          <w:lang w:val="en-US"/>
        </w:rPr>
        <w:t>,</w:t>
      </w:r>
      <w:r w:rsidR="00636917">
        <w:rPr>
          <w:bCs/>
          <w:lang w:val="en-US"/>
        </w:rPr>
        <w:t xml:space="preserve"> </w:t>
      </w:r>
      <w:r w:rsidR="00EB15D8">
        <w:rPr>
          <w:bCs/>
          <w:lang w:val="en-US"/>
        </w:rPr>
        <w:t xml:space="preserve">we encourage exploring innovative </w:t>
      </w:r>
      <w:r w:rsidR="008F1134">
        <w:rPr>
          <w:bCs/>
          <w:lang w:val="en-US"/>
        </w:rPr>
        <w:t xml:space="preserve">funding </w:t>
      </w:r>
      <w:r w:rsidR="00EB15D8">
        <w:rPr>
          <w:bCs/>
          <w:lang w:val="en-US"/>
        </w:rPr>
        <w:t xml:space="preserve">solutions, such as cost-sharing between multiple </w:t>
      </w:r>
      <w:r w:rsidR="0011607E">
        <w:rPr>
          <w:bCs/>
          <w:lang w:val="en-US"/>
        </w:rPr>
        <w:t>co-</w:t>
      </w:r>
      <w:r w:rsidR="00EB15D8">
        <w:rPr>
          <w:bCs/>
          <w:lang w:val="en-US"/>
        </w:rPr>
        <w:t>hosts.</w:t>
      </w:r>
    </w:p>
    <w:p w14:paraId="0B1936DF" w14:textId="2022EDF1" w:rsidR="006E0A45" w:rsidRPr="006E0A45" w:rsidRDefault="63458AA8" w:rsidP="00C81665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360"/>
        <w:contextualSpacing w:val="0"/>
        <w:jc w:val="both"/>
        <w:textAlignment w:val="auto"/>
        <w:rPr>
          <w:lang w:val="en-US"/>
        </w:rPr>
      </w:pPr>
      <w:r w:rsidRPr="0FBE7E83">
        <w:rPr>
          <w:lang w:val="en-US"/>
        </w:rPr>
        <w:t xml:space="preserve">Relatedly, </w:t>
      </w:r>
      <w:r w:rsidR="74CA0D70" w:rsidRPr="0FBE7E83">
        <w:rPr>
          <w:lang w:val="en-US"/>
        </w:rPr>
        <w:t>to guard against</w:t>
      </w:r>
      <w:r w:rsidR="0D0D41B6" w:rsidRPr="0FBE7E83">
        <w:rPr>
          <w:rFonts w:asciiTheme="minorHAnsi" w:hAnsiTheme="minorHAnsi" w:cstheme="minorBidi"/>
        </w:rPr>
        <w:t xml:space="preserve"> an ethos of “pay to play</w:t>
      </w:r>
      <w:r w:rsidR="6F146BAE" w:rsidRPr="0FBE7E83">
        <w:rPr>
          <w:rFonts w:asciiTheme="minorHAnsi" w:hAnsiTheme="minorHAnsi" w:cstheme="minorBidi"/>
        </w:rPr>
        <w:t xml:space="preserve">” and </w:t>
      </w:r>
      <w:r w:rsidR="19711902" w:rsidRPr="0FBE7E83">
        <w:rPr>
          <w:rFonts w:asciiTheme="minorHAnsi" w:hAnsiTheme="minorHAnsi" w:cstheme="minorBidi"/>
        </w:rPr>
        <w:t>provide</w:t>
      </w:r>
      <w:r w:rsidR="6F146BAE" w:rsidRPr="0FBE7E83">
        <w:rPr>
          <w:rFonts w:asciiTheme="minorHAnsi" w:hAnsiTheme="minorHAnsi" w:cstheme="minorBidi"/>
        </w:rPr>
        <w:t xml:space="preserve"> a level playing field,</w:t>
      </w:r>
      <w:r w:rsidR="74CA0D70" w:rsidRPr="0FBE7E83">
        <w:rPr>
          <w:rFonts w:asciiTheme="minorHAnsi" w:hAnsiTheme="minorHAnsi" w:cstheme="minorBidi"/>
        </w:rPr>
        <w:t xml:space="preserve"> the RFP should also clearly describe funding </w:t>
      </w:r>
      <w:r w:rsidR="6761EFAD" w:rsidRPr="0FBE7E83">
        <w:rPr>
          <w:rFonts w:asciiTheme="minorHAnsi" w:hAnsiTheme="minorHAnsi" w:cstheme="minorBidi"/>
        </w:rPr>
        <w:t xml:space="preserve">and other incentives or perks </w:t>
      </w:r>
      <w:r w:rsidR="74CA0D70" w:rsidRPr="0FBE7E83">
        <w:rPr>
          <w:rFonts w:asciiTheme="minorHAnsi" w:hAnsiTheme="minorHAnsi" w:cstheme="minorBidi"/>
        </w:rPr>
        <w:t xml:space="preserve">that </w:t>
      </w:r>
      <w:r w:rsidR="6761EFAD" w:rsidRPr="0FBE7E83">
        <w:rPr>
          <w:rFonts w:asciiTheme="minorHAnsi" w:hAnsiTheme="minorHAnsi" w:cstheme="minorBidi"/>
        </w:rPr>
        <w:t xml:space="preserve">bidders </w:t>
      </w:r>
      <w:r w:rsidR="74CA0D70" w:rsidRPr="0FBE7E83">
        <w:rPr>
          <w:rFonts w:asciiTheme="minorHAnsi" w:hAnsiTheme="minorHAnsi" w:cstheme="minorBidi"/>
          <w:i/>
          <w:iCs/>
        </w:rPr>
        <w:t xml:space="preserve">cannot </w:t>
      </w:r>
      <w:r w:rsidR="74CA0D70" w:rsidRPr="0FBE7E83">
        <w:rPr>
          <w:rFonts w:asciiTheme="minorHAnsi" w:hAnsiTheme="minorHAnsi" w:cstheme="minorBidi"/>
        </w:rPr>
        <w:t>offer to provide</w:t>
      </w:r>
      <w:r w:rsidR="7B45F633" w:rsidRPr="0FBE7E83">
        <w:rPr>
          <w:rFonts w:asciiTheme="minorHAnsi" w:hAnsiTheme="minorHAnsi" w:cstheme="minorBidi"/>
        </w:rPr>
        <w:t>.</w:t>
      </w:r>
    </w:p>
    <w:p w14:paraId="4D64CD37" w14:textId="1E72963C" w:rsidR="0080378A" w:rsidRDefault="0061046B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60" w:after="120"/>
        <w:ind w:left="360"/>
        <w:contextualSpacing w:val="0"/>
        <w:jc w:val="both"/>
        <w:textAlignment w:val="auto"/>
      </w:pPr>
      <w:r w:rsidRPr="00BD6B1D">
        <w:rPr>
          <w:b/>
          <w:bCs/>
          <w:i/>
          <w:iCs/>
        </w:rPr>
        <w:t>Deadlines:</w:t>
      </w:r>
      <w:r>
        <w:t xml:space="preserve"> </w:t>
      </w:r>
      <w:r w:rsidR="00D528D3">
        <w:t xml:space="preserve">While we recognize that </w:t>
      </w:r>
      <w:r w:rsidR="000A3796">
        <w:t>major ITU conferences require significant</w:t>
      </w:r>
      <w:r w:rsidR="007E5F4C">
        <w:t xml:space="preserve"> advance</w:t>
      </w:r>
      <w:r w:rsidR="000A3796">
        <w:t xml:space="preserve"> planning, </w:t>
      </w:r>
      <w:r w:rsidR="00F06595">
        <w:t xml:space="preserve">the current </w:t>
      </w:r>
      <w:r w:rsidR="007E1EF2">
        <w:t xml:space="preserve">“first-come, first-served” approach </w:t>
      </w:r>
      <w:r w:rsidR="00F06595">
        <w:t xml:space="preserve">has increasingly incentivized </w:t>
      </w:r>
      <w:r w:rsidR="007E1EF2">
        <w:t xml:space="preserve">prospective host countries to extend offers </w:t>
      </w:r>
      <w:r w:rsidR="00C372F4">
        <w:t>exceedingly far in advance.</w:t>
      </w:r>
      <w:r w:rsidR="00334FB4">
        <w:t xml:space="preserve"> </w:t>
      </w:r>
      <w:r w:rsidR="00AE4153">
        <w:t xml:space="preserve">This approach was also clearly disregarded during the most recent WRC-27 decision. </w:t>
      </w:r>
      <w:r w:rsidR="000D14BA">
        <w:t>At the same time, many Member States</w:t>
      </w:r>
      <w:r w:rsidR="0080378A" w:rsidRPr="0080378A">
        <w:t xml:space="preserve"> </w:t>
      </w:r>
      <w:r w:rsidR="0024130C">
        <w:t>face limitations as to how early the</w:t>
      </w:r>
      <w:r w:rsidR="000D14BA">
        <w:t>y can make</w:t>
      </w:r>
      <w:r w:rsidR="0080378A" w:rsidRPr="0080378A">
        <w:t xml:space="preserve"> the </w:t>
      </w:r>
      <w:r w:rsidR="00006F2D">
        <w:t xml:space="preserve">necessary </w:t>
      </w:r>
      <w:r w:rsidR="0080378A">
        <w:t>political and</w:t>
      </w:r>
      <w:r w:rsidR="006561F4">
        <w:t xml:space="preserve"> financial</w:t>
      </w:r>
      <w:r w:rsidR="0080378A">
        <w:t xml:space="preserve"> commitments</w:t>
      </w:r>
      <w:r w:rsidR="000D14BA">
        <w:t>,</w:t>
      </w:r>
      <w:r w:rsidR="00EB6740">
        <w:t xml:space="preserve"> </w:t>
      </w:r>
      <w:r w:rsidR="000D14BA">
        <w:t>which then artificially</w:t>
      </w:r>
      <w:r w:rsidR="00214546">
        <w:t xml:space="preserve"> narrow</w:t>
      </w:r>
      <w:r w:rsidR="000D14BA">
        <w:t>s</w:t>
      </w:r>
      <w:r w:rsidR="00214546">
        <w:t xml:space="preserve"> the </w:t>
      </w:r>
      <w:r w:rsidR="00614C35">
        <w:t xml:space="preserve">field of </w:t>
      </w:r>
      <w:r w:rsidR="006261AC">
        <w:t xml:space="preserve">potential candidates. </w:t>
      </w:r>
      <w:r w:rsidR="008F4689">
        <w:t xml:space="preserve">Moreover, opening the bidding too early </w:t>
      </w:r>
      <w:r w:rsidR="00650B79">
        <w:t>in</w:t>
      </w:r>
      <w:r w:rsidR="00DE310C" w:rsidRPr="00DE310C">
        <w:t xml:space="preserve">creases the chances that a prospective host country may need to </w:t>
      </w:r>
      <w:r w:rsidR="00894C60">
        <w:t>drop out ahead of the conference</w:t>
      </w:r>
      <w:r w:rsidR="00F75494">
        <w:t xml:space="preserve"> due to a change in national circumstances. </w:t>
      </w:r>
    </w:p>
    <w:p w14:paraId="22CBE186" w14:textId="1F05CD30" w:rsidR="00371C30" w:rsidRPr="00DE310C" w:rsidRDefault="00717995" w:rsidP="00C8166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ind w:left="360"/>
        <w:jc w:val="both"/>
        <w:textAlignment w:val="auto"/>
      </w:pPr>
      <w:r>
        <w:t xml:space="preserve">Therefore, we propose </w:t>
      </w:r>
      <w:r w:rsidR="009705CB">
        <w:t>that calls for bids should take place</w:t>
      </w:r>
      <w:r w:rsidR="0012627F">
        <w:t xml:space="preserve"> </w:t>
      </w:r>
      <w:r w:rsidR="001E5142">
        <w:t>3</w:t>
      </w:r>
      <w:r w:rsidR="00371C30">
        <w:t xml:space="preserve"> years ahead</w:t>
      </w:r>
      <w:r w:rsidR="003A6022">
        <w:t xml:space="preserve"> of a conference</w:t>
      </w:r>
      <w:r w:rsidR="008A56F7">
        <w:t xml:space="preserve">; assuming six months for the RFP process, this would allow </w:t>
      </w:r>
      <w:r w:rsidR="004258EB">
        <w:t xml:space="preserve">for </w:t>
      </w:r>
      <w:r w:rsidR="008A56F7">
        <w:t xml:space="preserve">the selection of a host country two years ahead of the </w:t>
      </w:r>
      <w:r w:rsidR="004258EB">
        <w:t>event</w:t>
      </w:r>
      <w:r w:rsidR="00EC260D">
        <w:t xml:space="preserve"> (halfway through the four-year cycle).</w:t>
      </w:r>
    </w:p>
    <w:p w14:paraId="75C80852" w14:textId="2CFA3186" w:rsidR="005E59DA" w:rsidRDefault="005E59DA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60" w:after="120"/>
        <w:ind w:left="360"/>
        <w:contextualSpacing w:val="0"/>
        <w:jc w:val="both"/>
        <w:textAlignment w:val="auto"/>
      </w:pPr>
      <w:r w:rsidRPr="009844A2">
        <w:rPr>
          <w:b/>
          <w:bCs/>
          <w:i/>
          <w:iCs/>
        </w:rPr>
        <w:t>Proposal format:</w:t>
      </w:r>
      <w:r>
        <w:t xml:space="preserve"> We suggest the development of a standard</w:t>
      </w:r>
      <w:r w:rsidR="00A86ACF">
        <w:t xml:space="preserve">ized </w:t>
      </w:r>
      <w:r>
        <w:t xml:space="preserve">template that Member States </w:t>
      </w:r>
      <w:r w:rsidR="008E6A6D">
        <w:t>should</w:t>
      </w:r>
      <w:r>
        <w:t xml:space="preserve"> use to respond to the RFP. This will help </w:t>
      </w:r>
      <w:r w:rsidR="00BD6B1D">
        <w:t>ensure</w:t>
      </w:r>
      <w:r w:rsidR="00D361B0">
        <w:t xml:space="preserve"> that all bids</w:t>
      </w:r>
      <w:r w:rsidR="0029178E">
        <w:t xml:space="preserve"> </w:t>
      </w:r>
      <w:r w:rsidR="00D361B0">
        <w:t>can be considered</w:t>
      </w:r>
      <w:r w:rsidR="00BD6B1D">
        <w:t xml:space="preserve"> </w:t>
      </w:r>
      <w:r w:rsidR="00D361B0">
        <w:t>equally</w:t>
      </w:r>
      <w:r w:rsidR="00FB72C0">
        <w:t xml:space="preserve"> and evaluated against each other</w:t>
      </w:r>
      <w:r w:rsidR="0029178E">
        <w:t>,</w:t>
      </w:r>
      <w:r w:rsidR="00D361B0">
        <w:t xml:space="preserve"> and only </w:t>
      </w:r>
      <w:proofErr w:type="gramStart"/>
      <w:r w:rsidR="00923768">
        <w:t>on the basis of</w:t>
      </w:r>
      <w:proofErr w:type="gramEnd"/>
      <w:r w:rsidR="00D361B0">
        <w:t xml:space="preserve"> the information submitted in the RFP itself.</w:t>
      </w:r>
    </w:p>
    <w:p w14:paraId="28785AA3" w14:textId="6AA4C18D" w:rsidR="00371C30" w:rsidRPr="00493BA3" w:rsidRDefault="00B9219E" w:rsidP="0056394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jc w:val="both"/>
        <w:textAlignment w:val="auto"/>
      </w:pPr>
      <w:r>
        <w:t>Alongside the content of the RFP itself, it is critical to develop o</w:t>
      </w:r>
      <w:r w:rsidR="00DC12BB">
        <w:t xml:space="preserve">bjective criteria </w:t>
      </w:r>
      <w:r>
        <w:t xml:space="preserve">by which </w:t>
      </w:r>
      <w:r w:rsidR="00C74CFE">
        <w:t>to</w:t>
      </w:r>
      <w:r w:rsidR="005F4CB5">
        <w:t xml:space="preserve"> </w:t>
      </w:r>
      <w:r w:rsidR="00DC12BB">
        <w:t>evaluat</w:t>
      </w:r>
      <w:r w:rsidR="005F4CB5">
        <w:t xml:space="preserve">e </w:t>
      </w:r>
      <w:r w:rsidR="00DC12BB">
        <w:t xml:space="preserve">proposals, which would also allow for consideration and selection among </w:t>
      </w:r>
      <w:r w:rsidR="00D72F5F">
        <w:t xml:space="preserve">multiple competing bids. </w:t>
      </w:r>
      <w:r w:rsidR="00407556">
        <w:t>(</w:t>
      </w:r>
      <w:r w:rsidR="00DB74C0">
        <w:t xml:space="preserve">We note that in the benchmarking exercise, </w:t>
      </w:r>
      <w:r w:rsidR="00D77D0B">
        <w:t>the World Bank evaluates proposals “based on defined logistical and technical criteria</w:t>
      </w:r>
      <w:r w:rsidR="00A3042F">
        <w:t>.”</w:t>
      </w:r>
      <w:r w:rsidR="00D77D0B">
        <w:t xml:space="preserve">) </w:t>
      </w:r>
      <w:r w:rsidR="00BB1819">
        <w:t>In</w:t>
      </w:r>
      <w:r w:rsidR="00B532C0">
        <w:t xml:space="preserve"> recognition of the ITU’s longstanding commitment to g</w:t>
      </w:r>
      <w:r w:rsidR="00371C30">
        <w:t>eographic</w:t>
      </w:r>
      <w:r w:rsidR="00B532C0">
        <w:t xml:space="preserve"> </w:t>
      </w:r>
      <w:r w:rsidR="00371C30">
        <w:t>diversity</w:t>
      </w:r>
      <w:r w:rsidR="00B532C0">
        <w:t xml:space="preserve"> and the principle of </w:t>
      </w:r>
      <w:r w:rsidR="000D4186">
        <w:t>rotation among regions</w:t>
      </w:r>
      <w:r w:rsidR="00935CCF">
        <w:t xml:space="preserve">, such </w:t>
      </w:r>
      <w:r w:rsidR="00BB1819">
        <w:t xml:space="preserve">criteria could include, for example, whether a given bidder has previously hosted an ITU conference (so </w:t>
      </w:r>
      <w:r w:rsidR="00935CCF">
        <w:t>that ITU conferences are not always and increasingly held in the same handful of countries</w:t>
      </w:r>
      <w:r w:rsidR="00BB1819">
        <w:t>).</w:t>
      </w:r>
    </w:p>
    <w:p w14:paraId="0BEFBF88" w14:textId="55021521" w:rsidR="00101C44" w:rsidRDefault="00A76CFD" w:rsidP="0056394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480" w:after="120"/>
        <w:jc w:val="both"/>
        <w:textAlignment w:val="auto"/>
        <w:rPr>
          <w:b/>
          <w:bCs/>
        </w:rPr>
      </w:pPr>
      <w:r w:rsidRPr="00A76CFD">
        <w:rPr>
          <w:b/>
          <w:bCs/>
        </w:rPr>
        <w:t>Proposal</w:t>
      </w:r>
    </w:p>
    <w:p w14:paraId="20E31CF1" w14:textId="1F40F801" w:rsidR="003C2BDD" w:rsidRPr="00042175" w:rsidRDefault="0075174C" w:rsidP="0056394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20"/>
        <w:jc w:val="both"/>
        <w:textAlignment w:val="auto"/>
        <w:rPr>
          <w:rFonts w:cs="Calibri"/>
          <w:szCs w:val="24"/>
        </w:rPr>
      </w:pPr>
      <w:r w:rsidRPr="00042175">
        <w:rPr>
          <w:rFonts w:cs="Calibri"/>
          <w:szCs w:val="24"/>
        </w:rPr>
        <w:t xml:space="preserve">In terms of next steps, we propose that </w:t>
      </w:r>
      <w:r w:rsidR="00913BCB" w:rsidRPr="00042175">
        <w:rPr>
          <w:rFonts w:cs="Calibri"/>
          <w:szCs w:val="24"/>
        </w:rPr>
        <w:t xml:space="preserve">CWG-FHR </w:t>
      </w:r>
      <w:r w:rsidR="00867855">
        <w:rPr>
          <w:rFonts w:cs="Calibri"/>
          <w:szCs w:val="24"/>
        </w:rPr>
        <w:t xml:space="preserve">establish a correspondence group to </w:t>
      </w:r>
      <w:r w:rsidR="00B861D7">
        <w:rPr>
          <w:rFonts w:cs="Calibri"/>
          <w:szCs w:val="24"/>
        </w:rPr>
        <w:t xml:space="preserve">expediently take forward this </w:t>
      </w:r>
      <w:r w:rsidR="00AD006A">
        <w:rPr>
          <w:rFonts w:cs="Calibri"/>
          <w:szCs w:val="24"/>
        </w:rPr>
        <w:t>line of effort</w:t>
      </w:r>
      <w:r w:rsidR="00B861D7">
        <w:rPr>
          <w:rFonts w:cs="Calibri"/>
          <w:szCs w:val="24"/>
        </w:rPr>
        <w:t xml:space="preserve"> </w:t>
      </w:r>
      <w:r w:rsidR="005E7B60">
        <w:rPr>
          <w:rFonts w:cs="Calibri"/>
          <w:szCs w:val="24"/>
        </w:rPr>
        <w:t xml:space="preserve">(following the model of other similar recent </w:t>
      </w:r>
      <w:r w:rsidR="00AD006A">
        <w:rPr>
          <w:rFonts w:cs="Calibri"/>
          <w:szCs w:val="24"/>
        </w:rPr>
        <w:t>CWG-FHR correspondence groups</w:t>
      </w:r>
      <w:r w:rsidR="006D6083">
        <w:rPr>
          <w:rFonts w:cs="Calibri"/>
          <w:szCs w:val="24"/>
        </w:rPr>
        <w:t xml:space="preserve">), </w:t>
      </w:r>
      <w:r w:rsidR="00320D4E">
        <w:rPr>
          <w:rFonts w:cs="Calibri"/>
          <w:szCs w:val="24"/>
        </w:rPr>
        <w:t>as follows</w:t>
      </w:r>
      <w:r w:rsidR="00615258">
        <w:rPr>
          <w:rFonts w:cs="Calibri"/>
          <w:szCs w:val="24"/>
        </w:rPr>
        <w:t>:</w:t>
      </w:r>
    </w:p>
    <w:p w14:paraId="5049379A" w14:textId="5F47FB48" w:rsidR="006B0193" w:rsidRDefault="00AD006A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60"/>
        <w:ind w:left="360"/>
        <w:contextualSpacing w:val="0"/>
        <w:jc w:val="both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 xml:space="preserve">Establish the correspondence group </w:t>
      </w:r>
      <w:r w:rsidR="002F1083">
        <w:rPr>
          <w:rFonts w:cs="Calibri"/>
          <w:szCs w:val="24"/>
        </w:rPr>
        <w:t xml:space="preserve">at this </w:t>
      </w:r>
      <w:proofErr w:type="gramStart"/>
      <w:r w:rsidR="002F1083">
        <w:rPr>
          <w:rFonts w:cs="Calibri"/>
          <w:szCs w:val="24"/>
        </w:rPr>
        <w:t>meeting;</w:t>
      </w:r>
      <w:proofErr w:type="gramEnd"/>
      <w:r w:rsidR="002F1083">
        <w:rPr>
          <w:rFonts w:cs="Calibri"/>
          <w:szCs w:val="24"/>
        </w:rPr>
        <w:t xml:space="preserve"> </w:t>
      </w:r>
    </w:p>
    <w:p w14:paraId="7B1163A3" w14:textId="072A0A14" w:rsidR="002F1083" w:rsidRDefault="002F1083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 w:after="60"/>
        <w:ind w:left="360"/>
        <w:contextualSpacing w:val="0"/>
        <w:jc w:val="both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lastRenderedPageBreak/>
        <w:t xml:space="preserve">Request the Secretariat to prepare the baseline draft of the </w:t>
      </w:r>
      <w:r w:rsidR="006C7F58">
        <w:rPr>
          <w:rFonts w:cs="Calibri"/>
          <w:szCs w:val="24"/>
        </w:rPr>
        <w:t>RFP process ahead of the first meeting of the correspondence group</w:t>
      </w:r>
      <w:r w:rsidR="008F1674">
        <w:rPr>
          <w:rFonts w:cs="Calibri"/>
          <w:szCs w:val="24"/>
        </w:rPr>
        <w:t xml:space="preserve">, building on this contribution and the initial discussion at this </w:t>
      </w:r>
      <w:proofErr w:type="gramStart"/>
      <w:r w:rsidR="008F1674">
        <w:rPr>
          <w:rFonts w:cs="Calibri"/>
          <w:szCs w:val="24"/>
        </w:rPr>
        <w:t>meeting</w:t>
      </w:r>
      <w:r w:rsidR="006C7F58">
        <w:rPr>
          <w:rFonts w:cs="Calibri"/>
          <w:szCs w:val="24"/>
        </w:rPr>
        <w:t>;</w:t>
      </w:r>
      <w:proofErr w:type="gramEnd"/>
      <w:r w:rsidR="006C7F58">
        <w:rPr>
          <w:rFonts w:cs="Calibri"/>
          <w:szCs w:val="24"/>
        </w:rPr>
        <w:t xml:space="preserve"> </w:t>
      </w:r>
    </w:p>
    <w:p w14:paraId="61BAD27A" w14:textId="4DE1AF0E" w:rsidR="002F1083" w:rsidRDefault="00F65B4F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 w:after="60"/>
        <w:ind w:left="360"/>
        <w:contextualSpacing w:val="0"/>
        <w:jc w:val="both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 xml:space="preserve">Convene </w:t>
      </w:r>
      <w:r w:rsidR="00166FF6">
        <w:rPr>
          <w:rFonts w:cs="Calibri"/>
          <w:szCs w:val="24"/>
        </w:rPr>
        <w:t>online correspondence group meetings between now and the next</w:t>
      </w:r>
      <w:r>
        <w:rPr>
          <w:rFonts w:cs="Calibri"/>
          <w:szCs w:val="24"/>
        </w:rPr>
        <w:t xml:space="preserve"> CWG-FHR meeting (during the January 2026 cluster of CWGs/EGs) </w:t>
      </w:r>
      <w:r w:rsidR="006B72E1">
        <w:rPr>
          <w:rFonts w:cs="Calibri"/>
          <w:szCs w:val="24"/>
        </w:rPr>
        <w:t xml:space="preserve">to revise the draft </w:t>
      </w:r>
      <w:proofErr w:type="gramStart"/>
      <w:r w:rsidR="006B72E1">
        <w:rPr>
          <w:rFonts w:cs="Calibri"/>
          <w:szCs w:val="24"/>
        </w:rPr>
        <w:t>RFP;</w:t>
      </w:r>
      <w:proofErr w:type="gramEnd"/>
      <w:r>
        <w:rPr>
          <w:rFonts w:cs="Calibri"/>
          <w:szCs w:val="24"/>
        </w:rPr>
        <w:t xml:space="preserve"> </w:t>
      </w:r>
    </w:p>
    <w:p w14:paraId="4ECD8D9B" w14:textId="7B54077C" w:rsidR="002F1083" w:rsidRDefault="002F1083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 w:after="60"/>
        <w:ind w:left="360"/>
        <w:contextualSpacing w:val="0"/>
        <w:jc w:val="both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 xml:space="preserve">Review and finalize </w:t>
      </w:r>
      <w:r w:rsidR="0018206C">
        <w:rPr>
          <w:rFonts w:cs="Calibri"/>
          <w:szCs w:val="24"/>
        </w:rPr>
        <w:t>at the next CWG-FHR</w:t>
      </w:r>
      <w:r w:rsidR="006B72E1">
        <w:rPr>
          <w:rFonts w:cs="Calibri"/>
          <w:szCs w:val="24"/>
        </w:rPr>
        <w:t xml:space="preserve"> meeting</w:t>
      </w:r>
      <w:r w:rsidR="0018206C">
        <w:rPr>
          <w:rFonts w:cs="Calibri"/>
          <w:szCs w:val="24"/>
        </w:rPr>
        <w:t>; and</w:t>
      </w:r>
    </w:p>
    <w:p w14:paraId="64278EB1" w14:textId="6797E089" w:rsidR="002F1083" w:rsidRPr="006D6083" w:rsidRDefault="002F1083" w:rsidP="00563942">
      <w:pPr>
        <w:pStyle w:val="ListParagraph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" w:after="60"/>
        <w:ind w:left="360"/>
        <w:contextualSpacing w:val="0"/>
        <w:jc w:val="both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t xml:space="preserve">Submit to the 2026 session of ITU Council (in April 2026) for approval. </w:t>
      </w:r>
    </w:p>
    <w:p w14:paraId="5786D955" w14:textId="59F6E08A" w:rsidR="006B0193" w:rsidRDefault="273A6BB8" w:rsidP="00C8166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eastAsia="Segoe UI" w:cs="Calibri"/>
          <w:lang w:val="en-US"/>
        </w:rPr>
      </w:pPr>
      <w:r w:rsidRPr="0FBE7E83">
        <w:rPr>
          <w:rFonts w:cs="Calibri"/>
        </w:rPr>
        <w:t>We recognize that this</w:t>
      </w:r>
      <w:r w:rsidR="65849718" w:rsidRPr="0FBE7E83">
        <w:rPr>
          <w:rFonts w:cs="Calibri"/>
        </w:rPr>
        <w:t xml:space="preserve"> proposal</w:t>
      </w:r>
      <w:r w:rsidRPr="0FBE7E83">
        <w:rPr>
          <w:rFonts w:cs="Calibri"/>
        </w:rPr>
        <w:t xml:space="preserve"> accelerates </w:t>
      </w:r>
      <w:r w:rsidR="7BFFE385" w:rsidRPr="0FBE7E83">
        <w:rPr>
          <w:rFonts w:cs="Calibri"/>
        </w:rPr>
        <w:t xml:space="preserve">the </w:t>
      </w:r>
      <w:r w:rsidR="7CA4F446" w:rsidRPr="0FBE7E83">
        <w:rPr>
          <w:rFonts w:cs="Calibri"/>
        </w:rPr>
        <w:t>timeline</w:t>
      </w:r>
      <w:r w:rsidR="65849718" w:rsidRPr="0FBE7E83">
        <w:rPr>
          <w:rFonts w:cs="Calibri"/>
        </w:rPr>
        <w:t xml:space="preserve"> suggested in</w:t>
      </w:r>
      <w:r w:rsidR="65849718">
        <w:t xml:space="preserve"> Document </w:t>
      </w:r>
      <w:hyperlink r:id="rId26">
        <w:r w:rsidR="65849718" w:rsidRPr="003761B3">
          <w:rPr>
            <w:rStyle w:val="Hyperlink"/>
          </w:rPr>
          <w:t>CWG-FHR-21/7</w:t>
        </w:r>
      </w:hyperlink>
      <w:r w:rsidR="65849718" w:rsidRPr="0FBE7E83">
        <w:rPr>
          <w:rFonts w:cs="Calibri"/>
        </w:rPr>
        <w:t xml:space="preserve"> </w:t>
      </w:r>
      <w:r w:rsidR="7CF4380D" w:rsidRPr="0FBE7E83">
        <w:rPr>
          <w:rFonts w:cs="Calibri"/>
        </w:rPr>
        <w:t>(in which the Secretariat would</w:t>
      </w:r>
      <w:r w:rsidR="7CA4F446" w:rsidRPr="0FBE7E83">
        <w:rPr>
          <w:rFonts w:eastAsia="Segoe UI" w:cs="Calibri"/>
          <w:lang w:val="en-US"/>
        </w:rPr>
        <w:t xml:space="preserve"> develop </w:t>
      </w:r>
      <w:r w:rsidR="2EB36F14" w:rsidRPr="0FBE7E83">
        <w:rPr>
          <w:rFonts w:eastAsia="Segoe UI" w:cs="Calibri"/>
          <w:lang w:val="en-US"/>
        </w:rPr>
        <w:t>the</w:t>
      </w:r>
      <w:r w:rsidR="3FE848F8" w:rsidRPr="0FBE7E83">
        <w:rPr>
          <w:rFonts w:eastAsia="Segoe UI" w:cs="Calibri"/>
          <w:lang w:val="en-US"/>
        </w:rPr>
        <w:t xml:space="preserve"> initial </w:t>
      </w:r>
      <w:r w:rsidR="7CA4F446" w:rsidRPr="0FBE7E83">
        <w:rPr>
          <w:rFonts w:eastAsia="Segoe UI" w:cs="Calibri"/>
          <w:lang w:val="en-US"/>
        </w:rPr>
        <w:t>proposed selection process for the consideration of CWG-FHR</w:t>
      </w:r>
      <w:r w:rsidR="61C06781" w:rsidRPr="0FBE7E83">
        <w:rPr>
          <w:rFonts w:eastAsia="Segoe UI" w:cs="Calibri"/>
          <w:lang w:val="en-US"/>
        </w:rPr>
        <w:t xml:space="preserve"> at its</w:t>
      </w:r>
      <w:r w:rsidR="7CA4F446" w:rsidRPr="0FBE7E83">
        <w:rPr>
          <w:rFonts w:eastAsia="Segoe UI" w:cs="Calibri"/>
          <w:lang w:val="en-US"/>
        </w:rPr>
        <w:t xml:space="preserve"> January 2026 session</w:t>
      </w:r>
      <w:r w:rsidR="7CF4380D" w:rsidRPr="0FBE7E83">
        <w:rPr>
          <w:rFonts w:eastAsia="Segoe UI" w:cs="Calibri"/>
          <w:lang w:val="en-US"/>
        </w:rPr>
        <w:t xml:space="preserve">). </w:t>
      </w:r>
      <w:r w:rsidR="77A612EB" w:rsidRPr="0FBE7E83">
        <w:rPr>
          <w:rFonts w:eastAsia="Segoe UI" w:cs="Calibri"/>
          <w:lang w:val="en-US"/>
        </w:rPr>
        <w:t xml:space="preserve">However, we believe </w:t>
      </w:r>
      <w:r w:rsidR="225FCD73" w:rsidRPr="0FBE7E83">
        <w:rPr>
          <w:rFonts w:eastAsia="Segoe UI" w:cs="Calibri"/>
          <w:lang w:val="en-US"/>
        </w:rPr>
        <w:t>this critical topic warrants more immediate attention,</w:t>
      </w:r>
      <w:r w:rsidR="77A612EB" w:rsidRPr="0FBE7E83">
        <w:rPr>
          <w:rFonts w:eastAsia="Segoe UI" w:cs="Calibri"/>
          <w:lang w:val="en-US"/>
        </w:rPr>
        <w:t xml:space="preserve"> given</w:t>
      </w:r>
      <w:r w:rsidR="225FCD73" w:rsidRPr="0FBE7E83">
        <w:rPr>
          <w:rFonts w:eastAsia="Segoe UI" w:cs="Calibri"/>
          <w:lang w:val="en-US"/>
        </w:rPr>
        <w:t xml:space="preserve"> </w:t>
      </w:r>
      <w:r w:rsidR="4CBEB85E" w:rsidRPr="0FBE7E83">
        <w:rPr>
          <w:rFonts w:eastAsia="Segoe UI" w:cs="Calibri"/>
          <w:lang w:val="en-US"/>
        </w:rPr>
        <w:t xml:space="preserve">there are already </w:t>
      </w:r>
      <w:r w:rsidR="4CBD2A5E" w:rsidRPr="0FBE7E83">
        <w:rPr>
          <w:rFonts w:eastAsia="Segoe UI" w:cs="Calibri"/>
          <w:lang w:val="en-US"/>
        </w:rPr>
        <w:t>pending bids awaiting</w:t>
      </w:r>
      <w:r w:rsidR="51CB92C0" w:rsidRPr="0FBE7E83">
        <w:rPr>
          <w:rFonts w:eastAsia="Segoe UI" w:cs="Calibri"/>
          <w:lang w:val="en-US"/>
        </w:rPr>
        <w:t xml:space="preserve"> the results of this work</w:t>
      </w:r>
      <w:r w:rsidR="4DF54C3A" w:rsidRPr="0FBE7E83">
        <w:rPr>
          <w:rFonts w:eastAsia="Segoe UI" w:cs="Calibri"/>
          <w:lang w:val="en-US"/>
        </w:rPr>
        <w:t>.</w:t>
      </w:r>
      <w:r w:rsidR="790BAB1A" w:rsidRPr="0FBE7E83">
        <w:rPr>
          <w:rFonts w:cstheme="minorBidi"/>
          <w:lang w:val="en-US"/>
        </w:rPr>
        <w:t xml:space="preserve"> A formal, collaborative, and transparent bidding process</w:t>
      </w:r>
      <w:r w:rsidR="790BAB1A" w:rsidRPr="0FBE7E83">
        <w:rPr>
          <w:rFonts w:eastAsia="Segoe UI" w:cs="Calibri"/>
          <w:lang w:val="en-US"/>
        </w:rPr>
        <w:t xml:space="preserve"> </w:t>
      </w:r>
      <w:r w:rsidR="2F71A672" w:rsidRPr="0FBE7E83">
        <w:rPr>
          <w:rFonts w:eastAsia="Segoe UI" w:cs="Calibri"/>
          <w:lang w:val="en-US"/>
        </w:rPr>
        <w:t xml:space="preserve">will provide Member </w:t>
      </w:r>
      <w:r w:rsidR="4F6B2377" w:rsidRPr="0FBE7E83">
        <w:rPr>
          <w:rFonts w:eastAsia="Segoe UI" w:cs="Calibri"/>
          <w:lang w:val="en-US"/>
        </w:rPr>
        <w:t>States with</w:t>
      </w:r>
      <w:r w:rsidR="2F71A672" w:rsidRPr="0FBE7E83">
        <w:rPr>
          <w:rFonts w:eastAsia="Segoe UI" w:cs="Calibri"/>
          <w:lang w:val="en-US"/>
        </w:rPr>
        <w:t xml:space="preserve"> </w:t>
      </w:r>
      <w:r w:rsidR="6A6A19B7" w:rsidRPr="0FBE7E83">
        <w:rPr>
          <w:rFonts w:eastAsia="Segoe UI" w:cs="Calibri"/>
          <w:lang w:val="en-US"/>
        </w:rPr>
        <w:t>th</w:t>
      </w:r>
      <w:r w:rsidR="1FF8A370" w:rsidRPr="0FBE7E83">
        <w:rPr>
          <w:rFonts w:eastAsia="Segoe UI" w:cs="Calibri"/>
          <w:lang w:val="en-US"/>
        </w:rPr>
        <w:t xml:space="preserve">e certainty and clarity required to submit, evaluate, and decide on </w:t>
      </w:r>
      <w:r w:rsidR="4F6B2377" w:rsidRPr="0FBE7E83">
        <w:rPr>
          <w:rFonts w:eastAsia="Segoe UI" w:cs="Calibri"/>
          <w:lang w:val="en-US"/>
        </w:rPr>
        <w:t xml:space="preserve">host countries in </w:t>
      </w:r>
      <w:r w:rsidR="61D3C23B" w:rsidRPr="0FBE7E83">
        <w:rPr>
          <w:rFonts w:eastAsia="Segoe UI" w:cs="Calibri"/>
          <w:lang w:val="en-US"/>
        </w:rPr>
        <w:t>the most well-informed way.</w:t>
      </w:r>
    </w:p>
    <w:p w14:paraId="553FAC4A" w14:textId="1ACF8AF3" w:rsidR="00C81665" w:rsidRDefault="00C81665" w:rsidP="00C8166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600"/>
        <w:jc w:val="center"/>
        <w:textAlignment w:val="auto"/>
        <w:rPr>
          <w:rFonts w:eastAsia="Segoe UI" w:cs="Calibri"/>
          <w:lang w:val="en-US"/>
        </w:rPr>
      </w:pPr>
      <w:r>
        <w:rPr>
          <w:rFonts w:eastAsia="Segoe UI" w:cs="Calibri"/>
          <w:lang w:val="en-US"/>
        </w:rPr>
        <w:t>_____________</w:t>
      </w:r>
    </w:p>
    <w:sectPr w:rsidR="00C81665" w:rsidSect="00AD3606">
      <w:footerReference w:type="default" r:id="rId27"/>
      <w:headerReference w:type="first" r:id="rId28"/>
      <w:footerReference w:type="first" r:id="rId2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A238" w14:textId="77777777" w:rsidR="002B55EB" w:rsidRDefault="002B55EB">
      <w:r>
        <w:separator/>
      </w:r>
    </w:p>
  </w:endnote>
  <w:endnote w:type="continuationSeparator" w:id="0">
    <w:p w14:paraId="4D86F0FF" w14:textId="77777777" w:rsidR="002B55EB" w:rsidRDefault="002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45D3022A" w14:textId="77777777" w:rsidTr="0042469C">
      <w:trPr>
        <w:jc w:val="center"/>
      </w:trPr>
      <w:tc>
        <w:tcPr>
          <w:tcW w:w="1803" w:type="dxa"/>
          <w:vAlign w:val="center"/>
        </w:tcPr>
        <w:p w14:paraId="010561C0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683B567" w14:textId="1D748924" w:rsidR="00EE49E8" w:rsidRPr="00BA3A51" w:rsidRDefault="00EE49E8" w:rsidP="000F6AB8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101C44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C81665">
            <w:rPr>
              <w:bCs/>
              <w:lang w:val="fr-CH"/>
            </w:rPr>
            <w:t>23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B06F114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11309930" w14:textId="77777777" w:rsidTr="00A52C84">
      <w:trPr>
        <w:jc w:val="center"/>
      </w:trPr>
      <w:tc>
        <w:tcPr>
          <w:tcW w:w="3107" w:type="dxa"/>
          <w:vAlign w:val="center"/>
        </w:tcPr>
        <w:p w14:paraId="7CD2CDFA" w14:textId="4703D05A" w:rsidR="00EE49E8" w:rsidRPr="00191EA3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191EA3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E34F891" w14:textId="6653CA5F" w:rsidR="00EE49E8" w:rsidRPr="000F6AB8" w:rsidRDefault="00EE49E8" w:rsidP="000F6AB8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101C44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C81665">
            <w:rPr>
              <w:bCs/>
              <w:lang w:val="es-ES"/>
            </w:rPr>
            <w:t>23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07176FF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7464" w14:textId="77777777" w:rsidR="002B55EB" w:rsidRDefault="002B55EB">
      <w:r>
        <w:t>____________________</w:t>
      </w:r>
    </w:p>
  </w:footnote>
  <w:footnote w:type="continuationSeparator" w:id="0">
    <w:p w14:paraId="3B2BE393" w14:textId="77777777" w:rsidR="002B55EB" w:rsidRDefault="002B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4C3446C2" w14:textId="77777777" w:rsidTr="00F74694">
      <w:trPr>
        <w:trHeight w:val="1304"/>
        <w:jc w:val="center"/>
      </w:trPr>
      <w:tc>
        <w:tcPr>
          <w:tcW w:w="6546" w:type="dxa"/>
        </w:tcPr>
        <w:p w14:paraId="23997244" w14:textId="77777777" w:rsidR="00AD3606" w:rsidRPr="009621F8" w:rsidRDefault="00191EA3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11" w:name="_Hlk133422111"/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2E1356A" wp14:editId="54CAED16">
                    <wp:simplePos x="0" y="0"/>
                    <wp:positionH relativeFrom="column">
                      <wp:posOffset>1436426</wp:posOffset>
                    </wp:positionH>
                    <wp:positionV relativeFrom="paragraph">
                      <wp:posOffset>5715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2525B3" w14:textId="3DED7A1F" w:rsidR="00130599" w:rsidRDefault="00A43C03" w:rsidP="0060523F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101C44">
                                  <w:rPr>
                                    <w:sz w:val="20"/>
                                  </w:rPr>
                                  <w:t xml:space="preserve">y-first </w:t>
                                </w:r>
                                <w:r w:rsidRPr="0060523F">
                                  <w:rPr>
                                    <w:sz w:val="20"/>
                                  </w:rPr>
                                  <w:t xml:space="preserve">meeting – </w:t>
                                </w:r>
                                <w:r w:rsidR="0060523F" w:rsidRPr="0060523F">
                                  <w:rPr>
                                    <w:sz w:val="20"/>
                                  </w:rPr>
                                  <w:t>From 10</w:t>
                                </w:r>
                                <w:r w:rsidR="00491A64">
                                  <w:rPr>
                                    <w:sz w:val="20"/>
                                  </w:rPr>
                                  <w:t xml:space="preserve"> (p.m.)</w:t>
                                </w:r>
                                <w:r w:rsidR="0060523F" w:rsidRPr="0060523F">
                                  <w:rPr>
                                    <w:sz w:val="20"/>
                                  </w:rPr>
                                  <w:t xml:space="preserve"> 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E135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1pt;margin-top:.45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" fillcolor="white [3212]" stroked="f">
                    <v:textbox style="mso-fit-shape-to-text:t" inset="1mm,,1mm">
                      <w:txbxContent>
                        <w:p w14:paraId="5C2525B3" w14:textId="3DED7A1F" w:rsidR="00130599" w:rsidRDefault="00A43C03" w:rsidP="0060523F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101C44">
                            <w:rPr>
                              <w:sz w:val="20"/>
                            </w:rPr>
                            <w:t xml:space="preserve">y-first </w:t>
                          </w:r>
                          <w:r w:rsidRPr="0060523F">
                            <w:rPr>
                              <w:sz w:val="20"/>
                            </w:rPr>
                            <w:t xml:space="preserve">meeting – </w:t>
                          </w:r>
                          <w:r w:rsidR="0060523F" w:rsidRPr="0060523F">
                            <w:rPr>
                              <w:sz w:val="20"/>
                            </w:rPr>
                            <w:t>From 10</w:t>
                          </w:r>
                          <w:r w:rsidR="00491A64">
                            <w:rPr>
                              <w:sz w:val="20"/>
                            </w:rPr>
                            <w:t xml:space="preserve"> (p.m.)</w:t>
                          </w:r>
                          <w:r w:rsidR="0060523F" w:rsidRPr="0060523F">
                            <w:rPr>
                              <w:sz w:val="20"/>
                            </w:rPr>
                            <w:t xml:space="preserve"> 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07F64D12" wp14:editId="0EF76A7B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0C14FC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31D69AB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A6B94B2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C8B4F01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BCBA57" wp14:editId="1745644A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50F30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0332B"/>
    <w:multiLevelType w:val="hybridMultilevel"/>
    <w:tmpl w:val="7872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FAE"/>
    <w:multiLevelType w:val="hybridMultilevel"/>
    <w:tmpl w:val="8768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A5655"/>
    <w:multiLevelType w:val="hybridMultilevel"/>
    <w:tmpl w:val="71A2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46E74"/>
    <w:multiLevelType w:val="hybridMultilevel"/>
    <w:tmpl w:val="3E1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04939"/>
    <w:multiLevelType w:val="hybridMultilevel"/>
    <w:tmpl w:val="584E3E1E"/>
    <w:lvl w:ilvl="0" w:tplc="6FBA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03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563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C2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A82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38C2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8C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8BC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A3E8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45A25"/>
    <w:multiLevelType w:val="hybridMultilevel"/>
    <w:tmpl w:val="F6A6CF6A"/>
    <w:lvl w:ilvl="0" w:tplc="AF84F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CA0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34E3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4B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C7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AEF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A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0F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F2A0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511A"/>
    <w:multiLevelType w:val="hybridMultilevel"/>
    <w:tmpl w:val="BDD08588"/>
    <w:lvl w:ilvl="0" w:tplc="281AC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8E6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2E4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25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46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8F0F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87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C04B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67655"/>
    <w:multiLevelType w:val="hybridMultilevel"/>
    <w:tmpl w:val="F5AE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01B6B"/>
    <w:multiLevelType w:val="hybridMultilevel"/>
    <w:tmpl w:val="ABD0EF0C"/>
    <w:lvl w:ilvl="0" w:tplc="53B23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5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34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03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BA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48E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4C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E869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24806"/>
    <w:multiLevelType w:val="hybridMultilevel"/>
    <w:tmpl w:val="6A64E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A4F09"/>
    <w:multiLevelType w:val="hybridMultilevel"/>
    <w:tmpl w:val="79CAD630"/>
    <w:lvl w:ilvl="0" w:tplc="9684F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F1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12B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2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034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8206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8AA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EC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BE0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030A0D"/>
    <w:multiLevelType w:val="hybridMultilevel"/>
    <w:tmpl w:val="40F2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4422A"/>
    <w:multiLevelType w:val="hybridMultilevel"/>
    <w:tmpl w:val="75663B38"/>
    <w:lvl w:ilvl="0" w:tplc="3B743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428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4CA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EE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0A2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4C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62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3C5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381639838">
    <w:abstractNumId w:val="12"/>
  </w:num>
  <w:num w:numId="3" w16cid:durableId="1851872826">
    <w:abstractNumId w:val="9"/>
  </w:num>
  <w:num w:numId="4" w16cid:durableId="1804813941">
    <w:abstractNumId w:val="11"/>
  </w:num>
  <w:num w:numId="5" w16cid:durableId="474881322">
    <w:abstractNumId w:val="5"/>
  </w:num>
  <w:num w:numId="6" w16cid:durableId="1791584080">
    <w:abstractNumId w:val="13"/>
  </w:num>
  <w:num w:numId="7" w16cid:durableId="235634304">
    <w:abstractNumId w:val="6"/>
  </w:num>
  <w:num w:numId="8" w16cid:durableId="1483235553">
    <w:abstractNumId w:val="7"/>
  </w:num>
  <w:num w:numId="9" w16cid:durableId="1713731359">
    <w:abstractNumId w:val="3"/>
  </w:num>
  <w:num w:numId="10" w16cid:durableId="480005879">
    <w:abstractNumId w:val="2"/>
  </w:num>
  <w:num w:numId="11" w16cid:durableId="1716268831">
    <w:abstractNumId w:val="1"/>
  </w:num>
  <w:num w:numId="12" w16cid:durableId="1853301019">
    <w:abstractNumId w:val="8"/>
  </w:num>
  <w:num w:numId="13" w16cid:durableId="1055423282">
    <w:abstractNumId w:val="10"/>
  </w:num>
  <w:num w:numId="14" w16cid:durableId="96392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55"/>
    <w:rsid w:val="00006F2D"/>
    <w:rsid w:val="000120E4"/>
    <w:rsid w:val="000132B6"/>
    <w:rsid w:val="000149D5"/>
    <w:rsid w:val="000210D4"/>
    <w:rsid w:val="0002231D"/>
    <w:rsid w:val="0003624E"/>
    <w:rsid w:val="00040A92"/>
    <w:rsid w:val="000419F3"/>
    <w:rsid w:val="00041BCC"/>
    <w:rsid w:val="00042175"/>
    <w:rsid w:val="00046146"/>
    <w:rsid w:val="00051A18"/>
    <w:rsid w:val="00056A12"/>
    <w:rsid w:val="00063016"/>
    <w:rsid w:val="00065F77"/>
    <w:rsid w:val="00066795"/>
    <w:rsid w:val="00076AF6"/>
    <w:rsid w:val="00085CF2"/>
    <w:rsid w:val="00087E2F"/>
    <w:rsid w:val="000912EC"/>
    <w:rsid w:val="000A3796"/>
    <w:rsid w:val="000B1705"/>
    <w:rsid w:val="000B30E9"/>
    <w:rsid w:val="000C18C3"/>
    <w:rsid w:val="000D14BA"/>
    <w:rsid w:val="000D178E"/>
    <w:rsid w:val="000D4186"/>
    <w:rsid w:val="000D75B2"/>
    <w:rsid w:val="000D787D"/>
    <w:rsid w:val="000E461F"/>
    <w:rsid w:val="000E72A0"/>
    <w:rsid w:val="000F47F3"/>
    <w:rsid w:val="000F6AB8"/>
    <w:rsid w:val="00101C44"/>
    <w:rsid w:val="001045AA"/>
    <w:rsid w:val="001061EF"/>
    <w:rsid w:val="001121EB"/>
    <w:rsid w:val="001121F5"/>
    <w:rsid w:val="0011607E"/>
    <w:rsid w:val="00116152"/>
    <w:rsid w:val="0012627F"/>
    <w:rsid w:val="00127D15"/>
    <w:rsid w:val="00130599"/>
    <w:rsid w:val="00130DF0"/>
    <w:rsid w:val="001400DC"/>
    <w:rsid w:val="00140CE1"/>
    <w:rsid w:val="00141515"/>
    <w:rsid w:val="00142597"/>
    <w:rsid w:val="0014338C"/>
    <w:rsid w:val="00147C54"/>
    <w:rsid w:val="00150CBB"/>
    <w:rsid w:val="00152F93"/>
    <w:rsid w:val="0016366E"/>
    <w:rsid w:val="00166FF6"/>
    <w:rsid w:val="0017539C"/>
    <w:rsid w:val="00175AC2"/>
    <w:rsid w:val="0017609F"/>
    <w:rsid w:val="0018206C"/>
    <w:rsid w:val="00191EA3"/>
    <w:rsid w:val="001A22C4"/>
    <w:rsid w:val="001A7D1D"/>
    <w:rsid w:val="001B51DD"/>
    <w:rsid w:val="001C628E"/>
    <w:rsid w:val="001C77C6"/>
    <w:rsid w:val="001E0F7B"/>
    <w:rsid w:val="001E0FBE"/>
    <w:rsid w:val="001E2201"/>
    <w:rsid w:val="001E5142"/>
    <w:rsid w:val="001E5FE7"/>
    <w:rsid w:val="001E7F04"/>
    <w:rsid w:val="001F7013"/>
    <w:rsid w:val="002022E7"/>
    <w:rsid w:val="002041EC"/>
    <w:rsid w:val="00205777"/>
    <w:rsid w:val="00210E52"/>
    <w:rsid w:val="002112E0"/>
    <w:rsid w:val="002119FD"/>
    <w:rsid w:val="002130E0"/>
    <w:rsid w:val="00214546"/>
    <w:rsid w:val="00227904"/>
    <w:rsid w:val="00234261"/>
    <w:rsid w:val="0024130C"/>
    <w:rsid w:val="00244F7F"/>
    <w:rsid w:val="00247EF7"/>
    <w:rsid w:val="002553FA"/>
    <w:rsid w:val="0025570E"/>
    <w:rsid w:val="002608B7"/>
    <w:rsid w:val="00264425"/>
    <w:rsid w:val="00265580"/>
    <w:rsid w:val="00265875"/>
    <w:rsid w:val="0027303B"/>
    <w:rsid w:val="00280599"/>
    <w:rsid w:val="0028109B"/>
    <w:rsid w:val="0029178E"/>
    <w:rsid w:val="002979C8"/>
    <w:rsid w:val="002A03B4"/>
    <w:rsid w:val="002A2188"/>
    <w:rsid w:val="002A5120"/>
    <w:rsid w:val="002B1F58"/>
    <w:rsid w:val="002B55EB"/>
    <w:rsid w:val="002C1C7A"/>
    <w:rsid w:val="002C48DB"/>
    <w:rsid w:val="002C54E2"/>
    <w:rsid w:val="002C780F"/>
    <w:rsid w:val="002D459E"/>
    <w:rsid w:val="002E0AC3"/>
    <w:rsid w:val="002F1083"/>
    <w:rsid w:val="002F1E21"/>
    <w:rsid w:val="0030160F"/>
    <w:rsid w:val="00301AEE"/>
    <w:rsid w:val="0030CAC2"/>
    <w:rsid w:val="003145DF"/>
    <w:rsid w:val="003160A2"/>
    <w:rsid w:val="00320223"/>
    <w:rsid w:val="00320D4E"/>
    <w:rsid w:val="00322D0D"/>
    <w:rsid w:val="00334FB4"/>
    <w:rsid w:val="00335BA3"/>
    <w:rsid w:val="00341A91"/>
    <w:rsid w:val="00360FA2"/>
    <w:rsid w:val="00361465"/>
    <w:rsid w:val="00365B59"/>
    <w:rsid w:val="003719D0"/>
    <w:rsid w:val="00371C30"/>
    <w:rsid w:val="003761B3"/>
    <w:rsid w:val="00382C66"/>
    <w:rsid w:val="003877F5"/>
    <w:rsid w:val="00391826"/>
    <w:rsid w:val="003942D4"/>
    <w:rsid w:val="0039514F"/>
    <w:rsid w:val="003958A8"/>
    <w:rsid w:val="003A3618"/>
    <w:rsid w:val="003A6022"/>
    <w:rsid w:val="003B29C2"/>
    <w:rsid w:val="003C20CA"/>
    <w:rsid w:val="003C2533"/>
    <w:rsid w:val="003C2BDD"/>
    <w:rsid w:val="003D5A7F"/>
    <w:rsid w:val="003D635C"/>
    <w:rsid w:val="003D6DEA"/>
    <w:rsid w:val="003E4043"/>
    <w:rsid w:val="003F4D39"/>
    <w:rsid w:val="004016E2"/>
    <w:rsid w:val="0040435A"/>
    <w:rsid w:val="0040508B"/>
    <w:rsid w:val="00407556"/>
    <w:rsid w:val="00411DDF"/>
    <w:rsid w:val="00416A24"/>
    <w:rsid w:val="00417868"/>
    <w:rsid w:val="0042059E"/>
    <w:rsid w:val="004258EB"/>
    <w:rsid w:val="0042766B"/>
    <w:rsid w:val="00431D9E"/>
    <w:rsid w:val="0043360B"/>
    <w:rsid w:val="004338AA"/>
    <w:rsid w:val="00433CE8"/>
    <w:rsid w:val="00434A5C"/>
    <w:rsid w:val="004370E2"/>
    <w:rsid w:val="0045096F"/>
    <w:rsid w:val="004544D9"/>
    <w:rsid w:val="0045520A"/>
    <w:rsid w:val="004618C6"/>
    <w:rsid w:val="004630A7"/>
    <w:rsid w:val="00463A51"/>
    <w:rsid w:val="0046427C"/>
    <w:rsid w:val="00466935"/>
    <w:rsid w:val="00472BAD"/>
    <w:rsid w:val="00484009"/>
    <w:rsid w:val="00486F7C"/>
    <w:rsid w:val="0048700F"/>
    <w:rsid w:val="004901C5"/>
    <w:rsid w:val="00490E72"/>
    <w:rsid w:val="00491157"/>
    <w:rsid w:val="004919F6"/>
    <w:rsid w:val="00491A64"/>
    <w:rsid w:val="004921C8"/>
    <w:rsid w:val="00493BA3"/>
    <w:rsid w:val="00495B0B"/>
    <w:rsid w:val="004A1B8B"/>
    <w:rsid w:val="004A7A4E"/>
    <w:rsid w:val="004B4043"/>
    <w:rsid w:val="004C58EC"/>
    <w:rsid w:val="004D1851"/>
    <w:rsid w:val="004D599D"/>
    <w:rsid w:val="004E2EA5"/>
    <w:rsid w:val="004E3AEB"/>
    <w:rsid w:val="004E5E7F"/>
    <w:rsid w:val="004E75A4"/>
    <w:rsid w:val="004F3819"/>
    <w:rsid w:val="0050223C"/>
    <w:rsid w:val="00507750"/>
    <w:rsid w:val="005243FF"/>
    <w:rsid w:val="00525717"/>
    <w:rsid w:val="00530975"/>
    <w:rsid w:val="005311D6"/>
    <w:rsid w:val="00536422"/>
    <w:rsid w:val="0054182B"/>
    <w:rsid w:val="00551151"/>
    <w:rsid w:val="0055401D"/>
    <w:rsid w:val="00555679"/>
    <w:rsid w:val="0055625D"/>
    <w:rsid w:val="005566EF"/>
    <w:rsid w:val="0056131D"/>
    <w:rsid w:val="005627E9"/>
    <w:rsid w:val="00563942"/>
    <w:rsid w:val="005640EC"/>
    <w:rsid w:val="00564FBC"/>
    <w:rsid w:val="005650B3"/>
    <w:rsid w:val="00571F75"/>
    <w:rsid w:val="005800BC"/>
    <w:rsid w:val="00582442"/>
    <w:rsid w:val="00582691"/>
    <w:rsid w:val="00585040"/>
    <w:rsid w:val="00586FCA"/>
    <w:rsid w:val="005928FE"/>
    <w:rsid w:val="00594AA3"/>
    <w:rsid w:val="005A0418"/>
    <w:rsid w:val="005A15BB"/>
    <w:rsid w:val="005A335D"/>
    <w:rsid w:val="005C0E66"/>
    <w:rsid w:val="005C13D4"/>
    <w:rsid w:val="005C77C0"/>
    <w:rsid w:val="005E2BD5"/>
    <w:rsid w:val="005E3FD9"/>
    <w:rsid w:val="005E59DA"/>
    <w:rsid w:val="005E7B60"/>
    <w:rsid w:val="005F0B77"/>
    <w:rsid w:val="005F3269"/>
    <w:rsid w:val="005F4CB5"/>
    <w:rsid w:val="005F548E"/>
    <w:rsid w:val="00600DAF"/>
    <w:rsid w:val="0060327E"/>
    <w:rsid w:val="0060523F"/>
    <w:rsid w:val="0061046B"/>
    <w:rsid w:val="00613B55"/>
    <w:rsid w:val="00614C35"/>
    <w:rsid w:val="00615258"/>
    <w:rsid w:val="00615961"/>
    <w:rsid w:val="00616870"/>
    <w:rsid w:val="00622A8E"/>
    <w:rsid w:val="00623AE3"/>
    <w:rsid w:val="006261AC"/>
    <w:rsid w:val="006261F4"/>
    <w:rsid w:val="00631CAF"/>
    <w:rsid w:val="00631D6A"/>
    <w:rsid w:val="00636917"/>
    <w:rsid w:val="00642308"/>
    <w:rsid w:val="0064737F"/>
    <w:rsid w:val="00650B79"/>
    <w:rsid w:val="006535F1"/>
    <w:rsid w:val="006535F5"/>
    <w:rsid w:val="0065557D"/>
    <w:rsid w:val="0065594D"/>
    <w:rsid w:val="006561F4"/>
    <w:rsid w:val="00660D50"/>
    <w:rsid w:val="00661B8A"/>
    <w:rsid w:val="00662984"/>
    <w:rsid w:val="00663CE2"/>
    <w:rsid w:val="00664E1C"/>
    <w:rsid w:val="006715DF"/>
    <w:rsid w:val="006716BB"/>
    <w:rsid w:val="00674583"/>
    <w:rsid w:val="00680E59"/>
    <w:rsid w:val="00687608"/>
    <w:rsid w:val="00687900"/>
    <w:rsid w:val="00691C85"/>
    <w:rsid w:val="00695D32"/>
    <w:rsid w:val="006973C8"/>
    <w:rsid w:val="006975AA"/>
    <w:rsid w:val="006A10C0"/>
    <w:rsid w:val="006A4394"/>
    <w:rsid w:val="006B0193"/>
    <w:rsid w:val="006B1859"/>
    <w:rsid w:val="006B6680"/>
    <w:rsid w:val="006B6DCC"/>
    <w:rsid w:val="006B72E1"/>
    <w:rsid w:val="006C55DD"/>
    <w:rsid w:val="006C7F58"/>
    <w:rsid w:val="006D6083"/>
    <w:rsid w:val="006E091D"/>
    <w:rsid w:val="006E0A45"/>
    <w:rsid w:val="006F114F"/>
    <w:rsid w:val="006F7ED0"/>
    <w:rsid w:val="0070008F"/>
    <w:rsid w:val="0070284A"/>
    <w:rsid w:val="00702DEF"/>
    <w:rsid w:val="00705055"/>
    <w:rsid w:val="00706861"/>
    <w:rsid w:val="00706A27"/>
    <w:rsid w:val="00717995"/>
    <w:rsid w:val="007223D9"/>
    <w:rsid w:val="0072355C"/>
    <w:rsid w:val="00726B8C"/>
    <w:rsid w:val="0073270F"/>
    <w:rsid w:val="00742F66"/>
    <w:rsid w:val="007438E9"/>
    <w:rsid w:val="0074499E"/>
    <w:rsid w:val="0074742E"/>
    <w:rsid w:val="0075051B"/>
    <w:rsid w:val="0075174C"/>
    <w:rsid w:val="00753FAF"/>
    <w:rsid w:val="00755484"/>
    <w:rsid w:val="007579EA"/>
    <w:rsid w:val="00765D3A"/>
    <w:rsid w:val="0076643C"/>
    <w:rsid w:val="0077110E"/>
    <w:rsid w:val="00775655"/>
    <w:rsid w:val="00783F30"/>
    <w:rsid w:val="00786203"/>
    <w:rsid w:val="00793188"/>
    <w:rsid w:val="00794D34"/>
    <w:rsid w:val="007A0D41"/>
    <w:rsid w:val="007A1ECE"/>
    <w:rsid w:val="007B1790"/>
    <w:rsid w:val="007B2DEB"/>
    <w:rsid w:val="007B4A1E"/>
    <w:rsid w:val="007C3633"/>
    <w:rsid w:val="007C3FEB"/>
    <w:rsid w:val="007C6F97"/>
    <w:rsid w:val="007D3041"/>
    <w:rsid w:val="007E1EF2"/>
    <w:rsid w:val="007E5F4C"/>
    <w:rsid w:val="0080378A"/>
    <w:rsid w:val="00806E3C"/>
    <w:rsid w:val="00811BAF"/>
    <w:rsid w:val="00813E5E"/>
    <w:rsid w:val="00816A22"/>
    <w:rsid w:val="00816C2C"/>
    <w:rsid w:val="0082421C"/>
    <w:rsid w:val="00830EA2"/>
    <w:rsid w:val="00831F36"/>
    <w:rsid w:val="0083581B"/>
    <w:rsid w:val="0084319B"/>
    <w:rsid w:val="008562E9"/>
    <w:rsid w:val="00857DAE"/>
    <w:rsid w:val="00860EED"/>
    <w:rsid w:val="00863874"/>
    <w:rsid w:val="00864AFF"/>
    <w:rsid w:val="00865925"/>
    <w:rsid w:val="0086655C"/>
    <w:rsid w:val="00867855"/>
    <w:rsid w:val="008738E8"/>
    <w:rsid w:val="00883223"/>
    <w:rsid w:val="00884C86"/>
    <w:rsid w:val="00891503"/>
    <w:rsid w:val="00891E27"/>
    <w:rsid w:val="00894C60"/>
    <w:rsid w:val="00895478"/>
    <w:rsid w:val="008A39BB"/>
    <w:rsid w:val="008A4CD9"/>
    <w:rsid w:val="008A56F7"/>
    <w:rsid w:val="008B4A6A"/>
    <w:rsid w:val="008B4CD3"/>
    <w:rsid w:val="008B5476"/>
    <w:rsid w:val="008C7E27"/>
    <w:rsid w:val="008D3F90"/>
    <w:rsid w:val="008D651C"/>
    <w:rsid w:val="008D68C5"/>
    <w:rsid w:val="008E0571"/>
    <w:rsid w:val="008E3FDB"/>
    <w:rsid w:val="008E6A6D"/>
    <w:rsid w:val="008F1134"/>
    <w:rsid w:val="008F1674"/>
    <w:rsid w:val="008F3822"/>
    <w:rsid w:val="008F4689"/>
    <w:rsid w:val="008F7448"/>
    <w:rsid w:val="0090147A"/>
    <w:rsid w:val="00903248"/>
    <w:rsid w:val="0090389B"/>
    <w:rsid w:val="0090416C"/>
    <w:rsid w:val="00913BCB"/>
    <w:rsid w:val="00914C3A"/>
    <w:rsid w:val="009173EF"/>
    <w:rsid w:val="00923768"/>
    <w:rsid w:val="009251EA"/>
    <w:rsid w:val="0092655B"/>
    <w:rsid w:val="00932906"/>
    <w:rsid w:val="009336FF"/>
    <w:rsid w:val="00935CCF"/>
    <w:rsid w:val="00936BF1"/>
    <w:rsid w:val="00943022"/>
    <w:rsid w:val="00950173"/>
    <w:rsid w:val="00950A33"/>
    <w:rsid w:val="00956987"/>
    <w:rsid w:val="0096014D"/>
    <w:rsid w:val="00961860"/>
    <w:rsid w:val="00961B0B"/>
    <w:rsid w:val="00962D33"/>
    <w:rsid w:val="009654A0"/>
    <w:rsid w:val="009705CB"/>
    <w:rsid w:val="00981A14"/>
    <w:rsid w:val="009844A2"/>
    <w:rsid w:val="009853E4"/>
    <w:rsid w:val="00992A17"/>
    <w:rsid w:val="009A3AC3"/>
    <w:rsid w:val="009B261E"/>
    <w:rsid w:val="009B38C3"/>
    <w:rsid w:val="009B577E"/>
    <w:rsid w:val="009C26F6"/>
    <w:rsid w:val="009C280A"/>
    <w:rsid w:val="009D2D90"/>
    <w:rsid w:val="009D305A"/>
    <w:rsid w:val="009D6CA6"/>
    <w:rsid w:val="009E09F2"/>
    <w:rsid w:val="009E17BD"/>
    <w:rsid w:val="009E485A"/>
    <w:rsid w:val="009E54E3"/>
    <w:rsid w:val="009F0DF4"/>
    <w:rsid w:val="009F5E43"/>
    <w:rsid w:val="00A02AD4"/>
    <w:rsid w:val="00A03C6A"/>
    <w:rsid w:val="00A04CEC"/>
    <w:rsid w:val="00A06C4D"/>
    <w:rsid w:val="00A10CA1"/>
    <w:rsid w:val="00A12EE7"/>
    <w:rsid w:val="00A22F17"/>
    <w:rsid w:val="00A27F92"/>
    <w:rsid w:val="00A3042F"/>
    <w:rsid w:val="00A32257"/>
    <w:rsid w:val="00A343B7"/>
    <w:rsid w:val="00A36D20"/>
    <w:rsid w:val="00A43C03"/>
    <w:rsid w:val="00A44668"/>
    <w:rsid w:val="00A46CD0"/>
    <w:rsid w:val="00A514A4"/>
    <w:rsid w:val="00A52C84"/>
    <w:rsid w:val="00A55622"/>
    <w:rsid w:val="00A6278D"/>
    <w:rsid w:val="00A70F80"/>
    <w:rsid w:val="00A76CFD"/>
    <w:rsid w:val="00A83502"/>
    <w:rsid w:val="00A86ACF"/>
    <w:rsid w:val="00AA5BDB"/>
    <w:rsid w:val="00AB67B5"/>
    <w:rsid w:val="00AB6A49"/>
    <w:rsid w:val="00AC45C0"/>
    <w:rsid w:val="00AD006A"/>
    <w:rsid w:val="00AD15B3"/>
    <w:rsid w:val="00AD3606"/>
    <w:rsid w:val="00AD3AB9"/>
    <w:rsid w:val="00AD4A3D"/>
    <w:rsid w:val="00AE4153"/>
    <w:rsid w:val="00AE41AB"/>
    <w:rsid w:val="00AF1542"/>
    <w:rsid w:val="00AF6386"/>
    <w:rsid w:val="00AF6E49"/>
    <w:rsid w:val="00B02816"/>
    <w:rsid w:val="00B035C5"/>
    <w:rsid w:val="00B04A67"/>
    <w:rsid w:val="00B0583C"/>
    <w:rsid w:val="00B12977"/>
    <w:rsid w:val="00B210EA"/>
    <w:rsid w:val="00B248BC"/>
    <w:rsid w:val="00B31AF3"/>
    <w:rsid w:val="00B32B8A"/>
    <w:rsid w:val="00B358B2"/>
    <w:rsid w:val="00B40A81"/>
    <w:rsid w:val="00B44910"/>
    <w:rsid w:val="00B532C0"/>
    <w:rsid w:val="00B5560A"/>
    <w:rsid w:val="00B6350C"/>
    <w:rsid w:val="00B72267"/>
    <w:rsid w:val="00B73DD1"/>
    <w:rsid w:val="00B74346"/>
    <w:rsid w:val="00B76EB6"/>
    <w:rsid w:val="00B7737B"/>
    <w:rsid w:val="00B80680"/>
    <w:rsid w:val="00B824C8"/>
    <w:rsid w:val="00B849D3"/>
    <w:rsid w:val="00B84B9D"/>
    <w:rsid w:val="00B861D7"/>
    <w:rsid w:val="00B9007F"/>
    <w:rsid w:val="00B9219E"/>
    <w:rsid w:val="00B9508F"/>
    <w:rsid w:val="00BA06AD"/>
    <w:rsid w:val="00BA3A51"/>
    <w:rsid w:val="00BA5849"/>
    <w:rsid w:val="00BB0E26"/>
    <w:rsid w:val="00BB1819"/>
    <w:rsid w:val="00BC251A"/>
    <w:rsid w:val="00BC2A70"/>
    <w:rsid w:val="00BD032B"/>
    <w:rsid w:val="00BD0614"/>
    <w:rsid w:val="00BD094B"/>
    <w:rsid w:val="00BD6B1D"/>
    <w:rsid w:val="00BE2640"/>
    <w:rsid w:val="00BE309E"/>
    <w:rsid w:val="00BE4C42"/>
    <w:rsid w:val="00BE73FF"/>
    <w:rsid w:val="00BF06F0"/>
    <w:rsid w:val="00BF23AE"/>
    <w:rsid w:val="00BF5158"/>
    <w:rsid w:val="00BF6E77"/>
    <w:rsid w:val="00C01189"/>
    <w:rsid w:val="00C02F13"/>
    <w:rsid w:val="00C30C44"/>
    <w:rsid w:val="00C372F4"/>
    <w:rsid w:val="00C374DE"/>
    <w:rsid w:val="00C376A6"/>
    <w:rsid w:val="00C47AD4"/>
    <w:rsid w:val="00C52D81"/>
    <w:rsid w:val="00C55198"/>
    <w:rsid w:val="00C56B5A"/>
    <w:rsid w:val="00C57918"/>
    <w:rsid w:val="00C62600"/>
    <w:rsid w:val="00C62F3B"/>
    <w:rsid w:val="00C725C6"/>
    <w:rsid w:val="00C73C69"/>
    <w:rsid w:val="00C74CFE"/>
    <w:rsid w:val="00C81665"/>
    <w:rsid w:val="00C922C7"/>
    <w:rsid w:val="00C972BB"/>
    <w:rsid w:val="00CA6393"/>
    <w:rsid w:val="00CB18FF"/>
    <w:rsid w:val="00CB24AA"/>
    <w:rsid w:val="00CB4038"/>
    <w:rsid w:val="00CB7BF0"/>
    <w:rsid w:val="00CD04F5"/>
    <w:rsid w:val="00CD0C08"/>
    <w:rsid w:val="00CD3C91"/>
    <w:rsid w:val="00CE03FB"/>
    <w:rsid w:val="00CE433C"/>
    <w:rsid w:val="00CE467A"/>
    <w:rsid w:val="00CE6A64"/>
    <w:rsid w:val="00CF0161"/>
    <w:rsid w:val="00CF33F3"/>
    <w:rsid w:val="00D06183"/>
    <w:rsid w:val="00D061BC"/>
    <w:rsid w:val="00D22C42"/>
    <w:rsid w:val="00D24F10"/>
    <w:rsid w:val="00D32EAE"/>
    <w:rsid w:val="00D360B8"/>
    <w:rsid w:val="00D361B0"/>
    <w:rsid w:val="00D43014"/>
    <w:rsid w:val="00D4388B"/>
    <w:rsid w:val="00D441C1"/>
    <w:rsid w:val="00D45669"/>
    <w:rsid w:val="00D46480"/>
    <w:rsid w:val="00D464CC"/>
    <w:rsid w:val="00D47B8B"/>
    <w:rsid w:val="00D522F6"/>
    <w:rsid w:val="00D528D3"/>
    <w:rsid w:val="00D648CC"/>
    <w:rsid w:val="00D65041"/>
    <w:rsid w:val="00D727DC"/>
    <w:rsid w:val="00D72F5F"/>
    <w:rsid w:val="00D73904"/>
    <w:rsid w:val="00D757A0"/>
    <w:rsid w:val="00D77D0B"/>
    <w:rsid w:val="00D86853"/>
    <w:rsid w:val="00D96652"/>
    <w:rsid w:val="00DA0271"/>
    <w:rsid w:val="00DA0BEA"/>
    <w:rsid w:val="00DA27CC"/>
    <w:rsid w:val="00DB00D5"/>
    <w:rsid w:val="00DB1936"/>
    <w:rsid w:val="00DB384B"/>
    <w:rsid w:val="00DB74C0"/>
    <w:rsid w:val="00DC12BB"/>
    <w:rsid w:val="00DE310C"/>
    <w:rsid w:val="00DE7C33"/>
    <w:rsid w:val="00DF0189"/>
    <w:rsid w:val="00E02E60"/>
    <w:rsid w:val="00E06FD5"/>
    <w:rsid w:val="00E10E80"/>
    <w:rsid w:val="00E124F0"/>
    <w:rsid w:val="00E13492"/>
    <w:rsid w:val="00E16F8B"/>
    <w:rsid w:val="00E227F3"/>
    <w:rsid w:val="00E23B00"/>
    <w:rsid w:val="00E24A19"/>
    <w:rsid w:val="00E33AD5"/>
    <w:rsid w:val="00E43642"/>
    <w:rsid w:val="00E4728B"/>
    <w:rsid w:val="00E52282"/>
    <w:rsid w:val="00E545C6"/>
    <w:rsid w:val="00E56257"/>
    <w:rsid w:val="00E60F04"/>
    <w:rsid w:val="00E63EFF"/>
    <w:rsid w:val="00E65B24"/>
    <w:rsid w:val="00E75D18"/>
    <w:rsid w:val="00E7695A"/>
    <w:rsid w:val="00E83E68"/>
    <w:rsid w:val="00E854E4"/>
    <w:rsid w:val="00E86DBF"/>
    <w:rsid w:val="00E9024A"/>
    <w:rsid w:val="00E910CA"/>
    <w:rsid w:val="00E976F8"/>
    <w:rsid w:val="00EA03D3"/>
    <w:rsid w:val="00EA092F"/>
    <w:rsid w:val="00EB0D6F"/>
    <w:rsid w:val="00EB15D8"/>
    <w:rsid w:val="00EB2232"/>
    <w:rsid w:val="00EB5835"/>
    <w:rsid w:val="00EB6740"/>
    <w:rsid w:val="00EC260D"/>
    <w:rsid w:val="00EC5337"/>
    <w:rsid w:val="00ED017C"/>
    <w:rsid w:val="00ED10BD"/>
    <w:rsid w:val="00ED473F"/>
    <w:rsid w:val="00ED575C"/>
    <w:rsid w:val="00EE49E8"/>
    <w:rsid w:val="00EE7DD2"/>
    <w:rsid w:val="00F0055A"/>
    <w:rsid w:val="00F03E70"/>
    <w:rsid w:val="00F0422D"/>
    <w:rsid w:val="00F050F9"/>
    <w:rsid w:val="00F05411"/>
    <w:rsid w:val="00F06595"/>
    <w:rsid w:val="00F07CB5"/>
    <w:rsid w:val="00F10B59"/>
    <w:rsid w:val="00F14E5D"/>
    <w:rsid w:val="00F16BAB"/>
    <w:rsid w:val="00F204F9"/>
    <w:rsid w:val="00F2150A"/>
    <w:rsid w:val="00F21E16"/>
    <w:rsid w:val="00F22BC2"/>
    <w:rsid w:val="00F231D8"/>
    <w:rsid w:val="00F27AA3"/>
    <w:rsid w:val="00F34883"/>
    <w:rsid w:val="00F44C00"/>
    <w:rsid w:val="00F44D57"/>
    <w:rsid w:val="00F45D2C"/>
    <w:rsid w:val="00F4674A"/>
    <w:rsid w:val="00F46C5F"/>
    <w:rsid w:val="00F53769"/>
    <w:rsid w:val="00F5581E"/>
    <w:rsid w:val="00F632C0"/>
    <w:rsid w:val="00F65B4F"/>
    <w:rsid w:val="00F74694"/>
    <w:rsid w:val="00F75494"/>
    <w:rsid w:val="00F86596"/>
    <w:rsid w:val="00F93FD4"/>
    <w:rsid w:val="00F94A63"/>
    <w:rsid w:val="00F975CD"/>
    <w:rsid w:val="00FA1C28"/>
    <w:rsid w:val="00FB1279"/>
    <w:rsid w:val="00FB2531"/>
    <w:rsid w:val="00FB415B"/>
    <w:rsid w:val="00FB6B76"/>
    <w:rsid w:val="00FB72C0"/>
    <w:rsid w:val="00FB7596"/>
    <w:rsid w:val="00FC3320"/>
    <w:rsid w:val="00FC55DB"/>
    <w:rsid w:val="00FE4077"/>
    <w:rsid w:val="00FE500D"/>
    <w:rsid w:val="00FE77D2"/>
    <w:rsid w:val="00FF19B6"/>
    <w:rsid w:val="00FF2CC7"/>
    <w:rsid w:val="00FF31CB"/>
    <w:rsid w:val="00FF4B5C"/>
    <w:rsid w:val="00FF5BE9"/>
    <w:rsid w:val="00FF7C9C"/>
    <w:rsid w:val="00FF7FBC"/>
    <w:rsid w:val="03077EE1"/>
    <w:rsid w:val="052D480D"/>
    <w:rsid w:val="07DFD388"/>
    <w:rsid w:val="081CF422"/>
    <w:rsid w:val="0D0D41B6"/>
    <w:rsid w:val="0ED56407"/>
    <w:rsid w:val="0F608DA2"/>
    <w:rsid w:val="0FBE7E83"/>
    <w:rsid w:val="10002868"/>
    <w:rsid w:val="101C110D"/>
    <w:rsid w:val="12B6E9E3"/>
    <w:rsid w:val="134B80AA"/>
    <w:rsid w:val="1540CABD"/>
    <w:rsid w:val="1573D34F"/>
    <w:rsid w:val="19711902"/>
    <w:rsid w:val="1CB4BBBE"/>
    <w:rsid w:val="1D1908EF"/>
    <w:rsid w:val="1F8D45DB"/>
    <w:rsid w:val="1FF8A370"/>
    <w:rsid w:val="225FCD73"/>
    <w:rsid w:val="26EC31D2"/>
    <w:rsid w:val="273A6BB8"/>
    <w:rsid w:val="277B8CEA"/>
    <w:rsid w:val="27EAC0BB"/>
    <w:rsid w:val="2A711077"/>
    <w:rsid w:val="2BBA9616"/>
    <w:rsid w:val="2CD5BA31"/>
    <w:rsid w:val="2D4CDE34"/>
    <w:rsid w:val="2E68E944"/>
    <w:rsid w:val="2E89D1F6"/>
    <w:rsid w:val="2EB36F14"/>
    <w:rsid w:val="2ED4A6AE"/>
    <w:rsid w:val="2F5E5042"/>
    <w:rsid w:val="2F71A672"/>
    <w:rsid w:val="3062BC1D"/>
    <w:rsid w:val="36C14216"/>
    <w:rsid w:val="37BCD12D"/>
    <w:rsid w:val="37EDA137"/>
    <w:rsid w:val="395D5A01"/>
    <w:rsid w:val="397CCCFF"/>
    <w:rsid w:val="3A1F17FC"/>
    <w:rsid w:val="3BBB8CF7"/>
    <w:rsid w:val="3F5F5246"/>
    <w:rsid w:val="3F9AA319"/>
    <w:rsid w:val="3FE848F8"/>
    <w:rsid w:val="3FFEE13B"/>
    <w:rsid w:val="40248C90"/>
    <w:rsid w:val="43FB8779"/>
    <w:rsid w:val="46E499AD"/>
    <w:rsid w:val="47C5B54A"/>
    <w:rsid w:val="47D3897E"/>
    <w:rsid w:val="4AB543E8"/>
    <w:rsid w:val="4CBD2A5E"/>
    <w:rsid w:val="4CBEB85E"/>
    <w:rsid w:val="4DF54C3A"/>
    <w:rsid w:val="4F6B2377"/>
    <w:rsid w:val="50D786C9"/>
    <w:rsid w:val="51CB92C0"/>
    <w:rsid w:val="522B4C4C"/>
    <w:rsid w:val="539AF98F"/>
    <w:rsid w:val="5623E9E1"/>
    <w:rsid w:val="587AC29E"/>
    <w:rsid w:val="58F46FF3"/>
    <w:rsid w:val="595A6524"/>
    <w:rsid w:val="61C06781"/>
    <w:rsid w:val="61D3C23B"/>
    <w:rsid w:val="63458AA8"/>
    <w:rsid w:val="63505108"/>
    <w:rsid w:val="635FD7C8"/>
    <w:rsid w:val="63D39B4B"/>
    <w:rsid w:val="64005932"/>
    <w:rsid w:val="6475BA3F"/>
    <w:rsid w:val="653B3BA2"/>
    <w:rsid w:val="65849718"/>
    <w:rsid w:val="671C15A6"/>
    <w:rsid w:val="673B5AA9"/>
    <w:rsid w:val="6761EFAD"/>
    <w:rsid w:val="689D2A31"/>
    <w:rsid w:val="68C23FE0"/>
    <w:rsid w:val="6990BAB6"/>
    <w:rsid w:val="6A4762B9"/>
    <w:rsid w:val="6A6A19B7"/>
    <w:rsid w:val="6B89B632"/>
    <w:rsid w:val="6CD4E9E6"/>
    <w:rsid w:val="6DCCD537"/>
    <w:rsid w:val="6F146BAE"/>
    <w:rsid w:val="6F300120"/>
    <w:rsid w:val="711760EC"/>
    <w:rsid w:val="732A998D"/>
    <w:rsid w:val="74299C95"/>
    <w:rsid w:val="74CA0D70"/>
    <w:rsid w:val="755AF7D5"/>
    <w:rsid w:val="75947EA2"/>
    <w:rsid w:val="77A612EB"/>
    <w:rsid w:val="77B1A593"/>
    <w:rsid w:val="78DF48BC"/>
    <w:rsid w:val="790BAB1A"/>
    <w:rsid w:val="7A4AF13C"/>
    <w:rsid w:val="7A63B58C"/>
    <w:rsid w:val="7B45F633"/>
    <w:rsid w:val="7BDF3948"/>
    <w:rsid w:val="7BFFE385"/>
    <w:rsid w:val="7CA301D3"/>
    <w:rsid w:val="7CA4F446"/>
    <w:rsid w:val="7CF4380D"/>
    <w:rsid w:val="7D048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B8DF7"/>
  <w15:docId w15:val="{4D4C5DDE-B542-431D-8EBB-0086F28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46480"/>
    <w:rPr>
      <w:color w:val="666666"/>
    </w:rPr>
  </w:style>
  <w:style w:type="paragraph" w:customStyle="1" w:styleId="Reasons">
    <w:name w:val="Reasons"/>
    <w:basedOn w:val="Normal"/>
    <w:qFormat/>
    <w:rsid w:val="00101C44"/>
  </w:style>
  <w:style w:type="paragraph" w:styleId="ListParagraph">
    <w:name w:val="List Paragraph"/>
    <w:basedOn w:val="Normal"/>
    <w:uiPriority w:val="34"/>
    <w:qFormat/>
    <w:rsid w:val="00992A17"/>
    <w:pPr>
      <w:ind w:left="720"/>
      <w:contextualSpacing/>
    </w:pPr>
  </w:style>
  <w:style w:type="character" w:customStyle="1" w:styleId="normaltextrun">
    <w:name w:val="normaltextrun"/>
    <w:basedOn w:val="DefaultParagraphFont"/>
    <w:rsid w:val="00A02AD4"/>
  </w:style>
  <w:style w:type="paragraph" w:customStyle="1" w:styleId="paragraph">
    <w:name w:val="paragraph"/>
    <w:basedOn w:val="Normal"/>
    <w:rsid w:val="003A361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E5142"/>
    <w:rPr>
      <w:rFonts w:ascii="Calibri" w:hAnsi="Calibri"/>
      <w:sz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2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2F13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pub/itu-s/md/22/cl/inf/S22-CL-INF-0009!!PDF-E.pdf" TargetMode="External"/><Relationship Id="rId18" Type="http://schemas.openxmlformats.org/officeDocument/2006/relationships/hyperlink" Target="https://www.itu.int/md/S25-CL-C-0101/en" TargetMode="External"/><Relationship Id="rId26" Type="http://schemas.openxmlformats.org/officeDocument/2006/relationships/hyperlink" Target="https://www.itu.int/dms_pub/itu-s/md/25/cwgfhr21/c/S25-CWGFHR21-C-0007!!MSW-E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dms_pub/itu-s/md/25/cwgfhr21/c/S25-CWGFHR21-C-0007!!MSW-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www.itu.int%2Fmd%2FS25-CL-C-0113%2Fen&amp;data=05%7C02%7CDekanicE%40state.gov%7C95f342907cc1406842ea08ddd5b641ce%7C66cf50745afe48d1a691a12b2121f44b%7C0%7C0%7C638901700944190883%7CUnknown%7CTWFpbGZsb3d8eyJFbXB0eU1hcGkiOnRydWUsIlYiOiIwLjAuMDAwMCIsIlAiOiJXaW4zMiIsIkFOIjoiTWFpbCIsIldUIjoyfQ%3D%3D%7C0%7C%7C%7C&amp;sdata=%2BBq5c8jOGGr8yqPOxlEu6D9GXhnI65svcGmtBY1Ru%2BI%3D&amp;reserved=0" TargetMode="External"/><Relationship Id="rId17" Type="http://schemas.openxmlformats.org/officeDocument/2006/relationships/hyperlink" Target="https://www.itu.int/md/R23-WRC23-C-0005/en" TargetMode="External"/><Relationship Id="rId25" Type="http://schemas.openxmlformats.org/officeDocument/2006/relationships/hyperlink" Target="https://www.itu.int/dms_pub/itu-s/md/25/cwgfhr21/c/S25-CWGFHR21-C-0008!!MSW-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dms_pub/itu-s/md/25/cwgfhr21/c/S25-CWGFHR21-C-0008!!MSW-E.docx" TargetMode="External"/><Relationship Id="rId20" Type="http://schemas.openxmlformats.org/officeDocument/2006/relationships/hyperlink" Target="https://www.itu.int/dms_pub/itu-s/md/25/cwgfhr21/c/S25-CWGFHR21-C-0007!!MSW-E.doc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101/en" TargetMode="External"/><Relationship Id="rId24" Type="http://schemas.openxmlformats.org/officeDocument/2006/relationships/hyperlink" Target="https://www.itu.int/md/R23-WRC23-C-0005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dms_pub/itu-s/md/25/cwgfhr21/c/S25-CWGFHR21-C-0007!!MSW-E.docx" TargetMode="External"/><Relationship Id="rId23" Type="http://schemas.openxmlformats.org/officeDocument/2006/relationships/hyperlink" Target="https://www.itu.int/dms_pub/itu-s/md/22/cl/inf/S22-CL-INF-0009!!PDF-E.pdf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gcc02.safelinks.protection.outlook.com/?url=https%3A%2F%2Fwww.itu.int%2Fmd%2FS25-CL-C-0113%2Fen&amp;data=05%7C02%7CDekanicE%40state.gov%7C95f342907cc1406842ea08ddd5b641ce%7C66cf50745afe48d1a691a12b2121f44b%7C0%7C0%7C638901700944190883%7CUnknown%7CTWFpbGZsb3d8eyJFbXB0eU1hcGkiOnRydWUsIlYiOiIwLjAuMDAwMCIsIlAiOiJXaW4zMiIsIkFOIjoiTWFpbCIsIldUIjoyfQ%3D%3D%7C0%7C%7C%7C&amp;sdata=%2BBq5c8jOGGr8yqPOxlEu6D9GXhnI65svcGmtBY1Ru%2BI%3D&amp;reserved=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07-CL-C-0022/en" TargetMode="External"/><Relationship Id="rId22" Type="http://schemas.openxmlformats.org/officeDocument/2006/relationships/hyperlink" Target="https://www.itu.int/md/S07-CL-C-0022/en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6BE2403204D4E844191C3480CD35B" ma:contentTypeVersion="4" ma:contentTypeDescription="Create a new document." ma:contentTypeScope="" ma:versionID="1fd4cf0dcf1c335fa3625c517989e04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2A5F-4396-4723-B368-03BE6B91B35F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1aaea1ea-72e4-4374-b05e-72e2f16fb7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4AA7618-6AD7-4D4E-B925-0FE7BACAE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90EF3-2B15-48E6-BB99-162B0A5C87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1174</Words>
  <Characters>8739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by the United States - Considerations for the Development of Formal Processes and Procedures for Bidding to Host ITU Conferences &amp; Assemblies</dc:title>
  <dc:subject>ITU Council Working Group on financial and human resources</dc:subject>
  <dc:creator>LRT</dc:creator>
  <cp:keywords>CWG-FHR</cp:keywords>
  <dc:description/>
  <cp:lastModifiedBy>GBS</cp:lastModifiedBy>
  <cp:revision>3</cp:revision>
  <dcterms:created xsi:type="dcterms:W3CDTF">2025-08-28T09:31:00Z</dcterms:created>
  <dcterms:modified xsi:type="dcterms:W3CDTF">2025-08-28T09:34:00Z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f10a40ccae586a037d9ce0f9a3c7d5248109506ccc1659366decf52b717f794e</vt:lpwstr>
  </property>
  <property fmtid="{D5CDD505-2E9C-101B-9397-08002B2CF9AE}" pid="3" name="ContentTypeId">
    <vt:lpwstr>0x0101001E46BE2403204D4E844191C3480CD35B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SetDate">
    <vt:lpwstr>2025-07-22T13:15:14Z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iteId">
    <vt:lpwstr>66cf5074-5afe-48d1-a691-a12b2121f44b</vt:lpwstr>
  </property>
  <property fmtid="{D5CDD505-2E9C-101B-9397-08002B2CF9AE}" pid="9" name="MSIP_Label_1665d9ee-429a-4d5f-97cc-cfb56e044a6e_ActionId">
    <vt:lpwstr>532a4e4d-f273-4b2f-80eb-c87035588eb9</vt:lpwstr>
  </property>
  <property fmtid="{D5CDD505-2E9C-101B-9397-08002B2CF9AE}" pid="10" name="MSIP_Label_1665d9ee-429a-4d5f-97cc-cfb56e044a6e_ContentBits">
    <vt:lpwstr>0</vt:lpwstr>
  </property>
  <property fmtid="{D5CDD505-2E9C-101B-9397-08002B2CF9AE}" pid="11" name="MSIP_Label_1665d9ee-429a-4d5f-97cc-cfb56e044a6e_Tag">
    <vt:lpwstr>10, 0, 1, 1</vt:lpwstr>
  </property>
</Properties>
</file>