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301AEE" w14:paraId="5F1F81F2" w14:textId="77777777" w:rsidTr="00AD3606">
        <w:trPr>
          <w:cantSplit/>
          <w:trHeight w:val="23"/>
        </w:trPr>
        <w:tc>
          <w:tcPr>
            <w:tcW w:w="3969" w:type="dxa"/>
            <w:vMerge w:val="restart"/>
            <w:tcMar>
              <w:left w:w="0" w:type="dxa"/>
            </w:tcMar>
          </w:tcPr>
          <w:p w14:paraId="16DC1941" w14:textId="77777777" w:rsidR="00AD3606" w:rsidRPr="00232400"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4C18532" w14:textId="60A8330E" w:rsidR="00AD3606" w:rsidRPr="00232400" w:rsidRDefault="00AD3606" w:rsidP="00472BAD">
            <w:pPr>
              <w:tabs>
                <w:tab w:val="left" w:pos="851"/>
              </w:tabs>
              <w:spacing w:before="0" w:line="240" w:lineRule="atLeast"/>
              <w:jc w:val="right"/>
              <w:rPr>
                <w:b/>
                <w:lang w:val="fr-FR"/>
              </w:rPr>
            </w:pPr>
            <w:r w:rsidRPr="00232400">
              <w:rPr>
                <w:b/>
                <w:lang w:val="fr-FR"/>
              </w:rPr>
              <w:t>Document C</w:t>
            </w:r>
            <w:r w:rsidR="00A52C84" w:rsidRPr="00232400">
              <w:rPr>
                <w:b/>
                <w:lang w:val="fr-FR"/>
              </w:rPr>
              <w:t>WG-</w:t>
            </w:r>
            <w:r w:rsidR="000F6AB8" w:rsidRPr="00232400">
              <w:rPr>
                <w:b/>
                <w:lang w:val="fr-FR"/>
              </w:rPr>
              <w:t>FHR</w:t>
            </w:r>
            <w:r w:rsidR="00A52C84" w:rsidRPr="00232400">
              <w:rPr>
                <w:b/>
                <w:lang w:val="fr-FR"/>
              </w:rPr>
              <w:t>-</w:t>
            </w:r>
            <w:r w:rsidR="00101C44" w:rsidRPr="00232400">
              <w:rPr>
                <w:b/>
                <w:lang w:val="fr-FR"/>
              </w:rPr>
              <w:t>21</w:t>
            </w:r>
            <w:r w:rsidR="00301AEE" w:rsidRPr="00232400">
              <w:rPr>
                <w:b/>
                <w:lang w:val="fr-FR"/>
              </w:rPr>
              <w:t>/</w:t>
            </w:r>
            <w:r w:rsidR="00232400">
              <w:rPr>
                <w:b/>
                <w:lang w:val="fr-FR"/>
              </w:rPr>
              <w:t>22</w:t>
            </w:r>
          </w:p>
        </w:tc>
      </w:tr>
      <w:tr w:rsidR="00AD3606" w:rsidRPr="00147C54" w14:paraId="6E85BAE5" w14:textId="77777777" w:rsidTr="00AD3606">
        <w:trPr>
          <w:cantSplit/>
        </w:trPr>
        <w:tc>
          <w:tcPr>
            <w:tcW w:w="3969" w:type="dxa"/>
            <w:vMerge/>
          </w:tcPr>
          <w:p w14:paraId="56C90872" w14:textId="77777777" w:rsidR="00AD3606" w:rsidRPr="00232400"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7955E02B" w14:textId="2D04C086" w:rsidR="00AD3606" w:rsidRPr="00232400" w:rsidRDefault="00232400" w:rsidP="00AD3606">
            <w:pPr>
              <w:tabs>
                <w:tab w:val="left" w:pos="851"/>
              </w:tabs>
              <w:spacing w:before="0"/>
              <w:jc w:val="right"/>
              <w:rPr>
                <w:b/>
              </w:rPr>
            </w:pPr>
            <w:r>
              <w:rPr>
                <w:b/>
              </w:rPr>
              <w:t>27 August 2025</w:t>
            </w:r>
          </w:p>
        </w:tc>
      </w:tr>
      <w:tr w:rsidR="00AD3606" w:rsidRPr="00147C54" w14:paraId="5CB1986F" w14:textId="77777777" w:rsidTr="00AD3606">
        <w:trPr>
          <w:cantSplit/>
          <w:trHeight w:val="23"/>
        </w:trPr>
        <w:tc>
          <w:tcPr>
            <w:tcW w:w="3969" w:type="dxa"/>
            <w:vMerge/>
          </w:tcPr>
          <w:p w14:paraId="1B5FC4FA" w14:textId="77777777" w:rsidR="00AD3606" w:rsidRPr="00232400" w:rsidRDefault="00AD3606" w:rsidP="00AD3606">
            <w:pPr>
              <w:tabs>
                <w:tab w:val="left" w:pos="851"/>
              </w:tabs>
              <w:spacing w:line="240" w:lineRule="atLeast"/>
              <w:rPr>
                <w:b/>
              </w:rPr>
            </w:pPr>
            <w:bookmarkStart w:id="7" w:name="dorlang" w:colFirst="1" w:colLast="1"/>
            <w:bookmarkEnd w:id="6"/>
          </w:p>
        </w:tc>
        <w:tc>
          <w:tcPr>
            <w:tcW w:w="5245" w:type="dxa"/>
          </w:tcPr>
          <w:p w14:paraId="44145FF2" w14:textId="77777777" w:rsidR="00AD3606" w:rsidRPr="00232400" w:rsidRDefault="00891503" w:rsidP="00AD3606">
            <w:pPr>
              <w:tabs>
                <w:tab w:val="left" w:pos="851"/>
              </w:tabs>
              <w:spacing w:before="0" w:line="240" w:lineRule="atLeast"/>
              <w:jc w:val="right"/>
              <w:rPr>
                <w:b/>
              </w:rPr>
            </w:pPr>
            <w:r w:rsidRPr="00232400">
              <w:rPr>
                <w:b/>
              </w:rPr>
              <w:t>English only</w:t>
            </w:r>
          </w:p>
        </w:tc>
      </w:tr>
      <w:tr w:rsidR="00472BAD" w:rsidRPr="00147C54" w14:paraId="083860DE" w14:textId="77777777" w:rsidTr="00AD3606">
        <w:trPr>
          <w:cantSplit/>
          <w:trHeight w:val="23"/>
        </w:trPr>
        <w:tc>
          <w:tcPr>
            <w:tcW w:w="3969" w:type="dxa"/>
          </w:tcPr>
          <w:p w14:paraId="2431CC24" w14:textId="77777777" w:rsidR="00472BAD" w:rsidRPr="00232400" w:rsidRDefault="00472BAD" w:rsidP="00AD3606">
            <w:pPr>
              <w:tabs>
                <w:tab w:val="left" w:pos="851"/>
              </w:tabs>
              <w:spacing w:line="240" w:lineRule="atLeast"/>
              <w:rPr>
                <w:b/>
              </w:rPr>
            </w:pPr>
          </w:p>
        </w:tc>
        <w:tc>
          <w:tcPr>
            <w:tcW w:w="5245" w:type="dxa"/>
          </w:tcPr>
          <w:p w14:paraId="2571578C" w14:textId="77777777" w:rsidR="00472BAD" w:rsidRPr="00232400" w:rsidRDefault="00472BAD" w:rsidP="00AD3606">
            <w:pPr>
              <w:tabs>
                <w:tab w:val="left" w:pos="851"/>
              </w:tabs>
              <w:spacing w:before="0" w:line="240" w:lineRule="atLeast"/>
              <w:jc w:val="right"/>
              <w:rPr>
                <w:b/>
              </w:rPr>
            </w:pPr>
          </w:p>
        </w:tc>
      </w:tr>
      <w:tr w:rsidR="00AD3606" w:rsidRPr="00147C54" w14:paraId="7FB28110" w14:textId="77777777" w:rsidTr="00AD3606">
        <w:trPr>
          <w:cantSplit/>
        </w:trPr>
        <w:tc>
          <w:tcPr>
            <w:tcW w:w="9214" w:type="dxa"/>
            <w:gridSpan w:val="2"/>
            <w:tcMar>
              <w:left w:w="0" w:type="dxa"/>
            </w:tcMar>
          </w:tcPr>
          <w:p w14:paraId="75E8D14E" w14:textId="1F36EF89" w:rsidR="00AD3606" w:rsidRPr="00232400" w:rsidRDefault="00232400" w:rsidP="00232400">
            <w:pPr>
              <w:pStyle w:val="Source"/>
              <w:framePr w:hSpace="0" w:wrap="auto" w:vAnchor="margin" w:hAnchor="text" w:xAlign="left" w:yAlign="inline"/>
            </w:pPr>
            <w:bookmarkStart w:id="8" w:name="dsource" w:colFirst="0" w:colLast="0"/>
            <w:bookmarkEnd w:id="7"/>
            <w:r w:rsidRPr="00232400">
              <w:t>Contribution by United States of America</w:t>
            </w:r>
          </w:p>
        </w:tc>
      </w:tr>
      <w:tr w:rsidR="00AD3606" w:rsidRPr="00147C54" w14:paraId="02D4D1B9" w14:textId="77777777" w:rsidTr="00AD3606">
        <w:trPr>
          <w:cantSplit/>
        </w:trPr>
        <w:tc>
          <w:tcPr>
            <w:tcW w:w="9214" w:type="dxa"/>
            <w:gridSpan w:val="2"/>
            <w:tcMar>
              <w:left w:w="0" w:type="dxa"/>
            </w:tcMar>
          </w:tcPr>
          <w:p w14:paraId="7E0E3A05" w14:textId="1A3BCDF5" w:rsidR="00AD3606" w:rsidRPr="00232400" w:rsidRDefault="00232400" w:rsidP="00232400">
            <w:pPr>
              <w:pStyle w:val="Subtitle"/>
              <w:framePr w:hSpace="0" w:wrap="auto" w:xAlign="left" w:yAlign="inline"/>
            </w:pPr>
            <w:bookmarkStart w:id="9" w:name="dtitle1" w:colFirst="0" w:colLast="0"/>
            <w:bookmarkEnd w:id="8"/>
            <w:r w:rsidRPr="00232400">
              <w:t>STRENGTHENING RESULTS-BASED FINANCIAL MANAGEMENT OF THE ITU</w:t>
            </w:r>
          </w:p>
        </w:tc>
      </w:tr>
      <w:tr w:rsidR="00AD3606" w:rsidRPr="00147C54" w14:paraId="22154373" w14:textId="77777777" w:rsidTr="00AD3606">
        <w:trPr>
          <w:cantSplit/>
        </w:trPr>
        <w:tc>
          <w:tcPr>
            <w:tcW w:w="9214" w:type="dxa"/>
            <w:gridSpan w:val="2"/>
            <w:tcBorders>
              <w:top w:val="single" w:sz="4" w:space="0" w:color="auto"/>
              <w:bottom w:val="single" w:sz="4" w:space="0" w:color="auto"/>
            </w:tcBorders>
            <w:tcMar>
              <w:left w:w="0" w:type="dxa"/>
            </w:tcMar>
          </w:tcPr>
          <w:p w14:paraId="397E5C15" w14:textId="77777777" w:rsidR="00AD3606" w:rsidRPr="00232400" w:rsidRDefault="00F16BAB" w:rsidP="00F16BAB">
            <w:pPr>
              <w:spacing w:before="160"/>
              <w:rPr>
                <w:b/>
                <w:bCs/>
                <w:sz w:val="26"/>
                <w:szCs w:val="26"/>
              </w:rPr>
            </w:pPr>
            <w:r w:rsidRPr="00232400">
              <w:rPr>
                <w:b/>
                <w:bCs/>
                <w:sz w:val="26"/>
                <w:szCs w:val="26"/>
              </w:rPr>
              <w:t>Purpose</w:t>
            </w:r>
          </w:p>
          <w:p w14:paraId="3F9F5C1C" w14:textId="610B9519" w:rsidR="00AD3606" w:rsidRPr="00232400" w:rsidRDefault="00232400" w:rsidP="00232400">
            <w:r w:rsidRPr="00232400">
              <w:t>This contribution calls for proposed ITU activities in support of the ITU Strategic Plan to meet the results-based financial and management goals of Resolution 151 (Rev. Bucharest, 2022), in order to strengthen fiscal responsibility, organizational transparency, and institutional accountability.</w:t>
            </w:r>
          </w:p>
          <w:p w14:paraId="5F9D7DC7" w14:textId="77777777" w:rsidR="00AD3606" w:rsidRPr="00232400" w:rsidRDefault="00AD3606" w:rsidP="00F16BAB">
            <w:pPr>
              <w:spacing w:before="160"/>
              <w:rPr>
                <w:b/>
                <w:bCs/>
                <w:sz w:val="26"/>
                <w:szCs w:val="26"/>
              </w:rPr>
            </w:pPr>
            <w:r w:rsidRPr="00232400">
              <w:rPr>
                <w:b/>
                <w:bCs/>
                <w:sz w:val="26"/>
                <w:szCs w:val="26"/>
              </w:rPr>
              <w:t>Action required</w:t>
            </w:r>
          </w:p>
          <w:p w14:paraId="37EF32CE" w14:textId="276910CD" w:rsidR="0025570E" w:rsidRPr="00232400" w:rsidRDefault="00232400" w:rsidP="00232400">
            <w:pPr>
              <w:spacing w:before="160"/>
            </w:pPr>
            <w:r w:rsidRPr="00232400">
              <w:t xml:space="preserve">The Council Working Group on financial and human resources is invited to </w:t>
            </w:r>
            <w:r w:rsidRPr="00232400">
              <w:rPr>
                <w:b/>
                <w:bCs/>
              </w:rPr>
              <w:t>consider</w:t>
            </w:r>
            <w:r w:rsidRPr="00232400">
              <w:t xml:space="preserve"> this document and </w:t>
            </w:r>
            <w:r w:rsidRPr="00232400">
              <w:rPr>
                <w:b/>
                <w:bCs/>
              </w:rPr>
              <w:t>take appropriate action</w:t>
            </w:r>
            <w:r w:rsidRPr="00232400">
              <w:t>.</w:t>
            </w:r>
          </w:p>
          <w:p w14:paraId="536D45A2" w14:textId="4C32BCFA" w:rsidR="00AD3606" w:rsidRPr="00232400" w:rsidRDefault="00AD3606" w:rsidP="00F16BAB">
            <w:pPr>
              <w:spacing w:after="160"/>
              <w:rPr>
                <w:i/>
                <w:iCs/>
                <w:sz w:val="22"/>
                <w:szCs w:val="22"/>
              </w:rPr>
            </w:pPr>
          </w:p>
        </w:tc>
      </w:tr>
    </w:tbl>
    <w:p w14:paraId="24C96653"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5D6745EF"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0"/>
    <w:p w14:paraId="142626E9" w14:textId="77777777" w:rsidR="00232400" w:rsidRPr="00232400" w:rsidRDefault="00232400" w:rsidP="00232400">
      <w:pPr>
        <w:tabs>
          <w:tab w:val="clear" w:pos="567"/>
          <w:tab w:val="clear" w:pos="1134"/>
          <w:tab w:val="clear" w:pos="1701"/>
          <w:tab w:val="clear" w:pos="2268"/>
          <w:tab w:val="clear" w:pos="2835"/>
        </w:tabs>
        <w:overflowPunct/>
        <w:autoSpaceDE/>
        <w:autoSpaceDN/>
        <w:adjustRightInd/>
        <w:spacing w:before="240" w:after="120"/>
        <w:jc w:val="both"/>
        <w:textAlignment w:val="auto"/>
        <w:rPr>
          <w:rFonts w:asciiTheme="minorHAnsi" w:hAnsiTheme="minorHAnsi" w:cstheme="minorHAnsi"/>
          <w:b/>
          <w:bCs/>
          <w:szCs w:val="24"/>
          <w:lang w:val="en-US"/>
        </w:rPr>
      </w:pPr>
      <w:r w:rsidRPr="00232400">
        <w:rPr>
          <w:rFonts w:asciiTheme="minorHAnsi" w:hAnsiTheme="minorHAnsi" w:cstheme="minorHAnsi"/>
          <w:b/>
          <w:bCs/>
          <w:szCs w:val="24"/>
          <w:lang w:val="en-US"/>
        </w:rPr>
        <w:lastRenderedPageBreak/>
        <w:t>Background &amp; Discussion</w:t>
      </w:r>
    </w:p>
    <w:p w14:paraId="64A55DFB" w14:textId="77777777" w:rsidR="00232400" w:rsidRPr="00232400" w:rsidRDefault="00232400" w:rsidP="00232400">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szCs w:val="24"/>
          <w:lang w:val="en-US"/>
        </w:rPr>
      </w:pPr>
      <w:r w:rsidRPr="00232400">
        <w:rPr>
          <w:rFonts w:asciiTheme="minorHAnsi" w:hAnsiTheme="minorHAnsi" w:cstheme="minorHAnsi"/>
          <w:szCs w:val="24"/>
          <w:lang w:val="en-US"/>
        </w:rPr>
        <w:t>The United States commends the ITU for its strong commitment to strategic reforms that promote</w:t>
      </w:r>
      <w:r w:rsidRPr="00232400">
        <w:rPr>
          <w:rFonts w:asciiTheme="minorHAnsi" w:hAnsiTheme="minorHAnsi" w:cstheme="minorHAnsi"/>
          <w:szCs w:val="24"/>
        </w:rPr>
        <w:t xml:space="preserve"> fiscal responsibility, organizational transparency, and institutional accountability.</w:t>
      </w:r>
    </w:p>
    <w:p w14:paraId="7BEA510D" w14:textId="227B7F51" w:rsidR="00232400" w:rsidRPr="00232400" w:rsidRDefault="00232400" w:rsidP="00232400">
      <w:pPr>
        <w:tabs>
          <w:tab w:val="clear" w:pos="567"/>
          <w:tab w:val="clear" w:pos="1134"/>
          <w:tab w:val="clear" w:pos="1701"/>
          <w:tab w:val="clear" w:pos="2268"/>
          <w:tab w:val="clear" w:pos="2835"/>
        </w:tabs>
        <w:overflowPunct/>
        <w:autoSpaceDE/>
        <w:autoSpaceDN/>
        <w:adjustRightInd/>
        <w:spacing w:before="160" w:after="120"/>
        <w:jc w:val="both"/>
        <w:textAlignment w:val="auto"/>
        <w:rPr>
          <w:rFonts w:asciiTheme="minorHAnsi" w:hAnsiTheme="minorHAnsi" w:cstheme="minorHAnsi"/>
          <w:szCs w:val="24"/>
        </w:rPr>
      </w:pPr>
      <w:r w:rsidRPr="00232400">
        <w:rPr>
          <w:rFonts w:asciiTheme="minorHAnsi" w:hAnsiTheme="minorHAnsi" w:cstheme="minorHAnsi"/>
          <w:szCs w:val="24"/>
        </w:rPr>
        <w:t>Noting ITU progress on these objectives, the United States encourages the Union to continue seeking opportunities to further strengthen organizational management. The United States recognizes that ITU activities should be linked to strategic, financial and operational plans. With the start of a new strategic planning cycle, there is further opportunity for improving the ITU’s transparency and accountability and enhancing the ITU’s results-based financial and organizational management in line with Resolution 151 (Rev. Bucharest 2022) and the Terms of Reference for the CWG-FHR in Council Decision 563 (Modified 2023).</w:t>
      </w:r>
    </w:p>
    <w:p w14:paraId="5DF2289F" w14:textId="4C9A02C0" w:rsidR="00232400" w:rsidRPr="00232400" w:rsidRDefault="00232400" w:rsidP="00232400">
      <w:pPr>
        <w:tabs>
          <w:tab w:val="clear" w:pos="567"/>
          <w:tab w:val="clear" w:pos="1134"/>
          <w:tab w:val="clear" w:pos="1701"/>
          <w:tab w:val="clear" w:pos="2268"/>
          <w:tab w:val="clear" w:pos="2835"/>
        </w:tabs>
        <w:overflowPunct/>
        <w:autoSpaceDE/>
        <w:autoSpaceDN/>
        <w:adjustRightInd/>
        <w:spacing w:before="160" w:after="120"/>
        <w:jc w:val="both"/>
        <w:textAlignment w:val="auto"/>
        <w:rPr>
          <w:rFonts w:asciiTheme="minorHAnsi" w:hAnsiTheme="minorHAnsi" w:cstheme="minorHAnsi"/>
          <w:color w:val="000000" w:themeColor="text1"/>
          <w:szCs w:val="24"/>
        </w:rPr>
      </w:pPr>
      <w:r w:rsidRPr="00232400">
        <w:rPr>
          <w:rFonts w:asciiTheme="minorHAnsi" w:hAnsiTheme="minorHAnsi" w:cstheme="minorHAnsi"/>
          <w:szCs w:val="24"/>
          <w:lang w:val="en-US"/>
        </w:rPr>
        <w:t xml:space="preserve">As the UN agency responsible for complex and diverse work towards digital connectivity, there is great demand on the ITU’s resources from members and partners. Given this breadth, ITU members, sectors, study groups and other related groups often suggest additional activities for the ITU, raising questions regarding the prioritization of resources including staff resources to address competing priorities. Such activities include </w:t>
      </w:r>
      <w:r w:rsidRPr="00232400">
        <w:rPr>
          <w:rFonts w:asciiTheme="minorHAnsi" w:hAnsiTheme="minorHAnsi" w:cstheme="minorHAnsi"/>
          <w:color w:val="000000" w:themeColor="text1"/>
          <w:szCs w:val="24"/>
        </w:rPr>
        <w:t>Expert Groups, Advisory Bodies, and other Committees that operate outside of the ITU’s sector study groups</w:t>
      </w:r>
      <w:r w:rsidRPr="00232400">
        <w:rPr>
          <w:rFonts w:asciiTheme="minorHAnsi" w:hAnsiTheme="minorHAnsi" w:cstheme="minorHAnsi"/>
          <w:szCs w:val="24"/>
          <w:lang w:val="en-US"/>
        </w:rPr>
        <w:t xml:space="preserve">. Regardless of the importance of the topics they address, these activities have significant financial and management implications that warrant greater attention from Council. Examples (non-exhaustive) include: </w:t>
      </w:r>
    </w:p>
    <w:p w14:paraId="4D637462" w14:textId="77777777" w:rsidR="00232400" w:rsidRPr="00232400" w:rsidRDefault="00232400" w:rsidP="00232400">
      <w:pPr>
        <w:pStyle w:val="ListParagraph"/>
        <w:numPr>
          <w:ilvl w:val="0"/>
          <w:numId w:val="2"/>
        </w:numPr>
        <w:tabs>
          <w:tab w:val="clear" w:pos="567"/>
          <w:tab w:val="clear" w:pos="1134"/>
          <w:tab w:val="clear" w:pos="1701"/>
          <w:tab w:val="clear" w:pos="2268"/>
          <w:tab w:val="clear" w:pos="2835"/>
        </w:tabs>
        <w:overflowPunct/>
        <w:autoSpaceDE/>
        <w:autoSpaceDN/>
        <w:adjustRightInd/>
        <w:spacing w:before="240" w:after="120"/>
        <w:ind w:left="360"/>
        <w:contextualSpacing w:val="0"/>
        <w:jc w:val="both"/>
        <w:textAlignment w:val="auto"/>
        <w:rPr>
          <w:rFonts w:asciiTheme="minorHAnsi" w:hAnsiTheme="minorHAnsi" w:cstheme="minorHAnsi"/>
          <w:szCs w:val="24"/>
        </w:rPr>
      </w:pPr>
      <w:r w:rsidRPr="00232400">
        <w:rPr>
          <w:rFonts w:asciiTheme="minorHAnsi" w:hAnsiTheme="minorHAnsi" w:cstheme="minorHAnsi"/>
          <w:szCs w:val="24"/>
        </w:rPr>
        <w:t>In October 2024, the BDT’s Digital Innovation Board created another Experts Network and selectively issued invitations to join in March.</w:t>
      </w:r>
    </w:p>
    <w:p w14:paraId="4545C433" w14:textId="27EA2626" w:rsidR="00232400" w:rsidRPr="00232400" w:rsidRDefault="00232400" w:rsidP="00232400">
      <w:pPr>
        <w:pStyle w:val="ListParagraph"/>
        <w:numPr>
          <w:ilvl w:val="0"/>
          <w:numId w:val="2"/>
        </w:numPr>
        <w:tabs>
          <w:tab w:val="clear" w:pos="567"/>
          <w:tab w:val="clear" w:pos="1134"/>
          <w:tab w:val="clear" w:pos="1701"/>
          <w:tab w:val="clear" w:pos="2268"/>
          <w:tab w:val="clear" w:pos="2835"/>
        </w:tabs>
        <w:overflowPunct/>
        <w:autoSpaceDE/>
        <w:autoSpaceDN/>
        <w:adjustRightInd/>
        <w:spacing w:after="240"/>
        <w:ind w:left="360"/>
        <w:contextualSpacing w:val="0"/>
        <w:jc w:val="both"/>
        <w:textAlignment w:val="auto"/>
        <w:rPr>
          <w:rFonts w:asciiTheme="minorHAnsi" w:hAnsiTheme="minorHAnsi" w:cstheme="minorHAnsi"/>
          <w:szCs w:val="24"/>
          <w:lang w:val="en-US"/>
        </w:rPr>
      </w:pPr>
      <w:r w:rsidRPr="00232400">
        <w:rPr>
          <w:rFonts w:asciiTheme="minorHAnsi" w:hAnsiTheme="minorHAnsi" w:cstheme="minorHAnsi"/>
          <w:szCs w:val="24"/>
          <w:lang w:val="en-US"/>
        </w:rPr>
        <w:t>In November 2024, the ITU, in partnership with the International Cable Protection Committee (ICPC), launched the International Advisory Body for Submarine Cable Resilience.</w:t>
      </w:r>
    </w:p>
    <w:p w14:paraId="1BF56642" w14:textId="77777777" w:rsidR="00232400" w:rsidRPr="00232400" w:rsidRDefault="00232400" w:rsidP="00232400">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szCs w:val="24"/>
          <w:lang w:val="en-US"/>
        </w:rPr>
      </w:pPr>
      <w:r w:rsidRPr="00232400">
        <w:rPr>
          <w:rFonts w:asciiTheme="minorHAnsi" w:hAnsiTheme="minorHAnsi" w:cstheme="minorHAnsi"/>
          <w:szCs w:val="24"/>
          <w:lang w:val="en-US"/>
        </w:rPr>
        <w:t>When considered in conjunction with an increase in ITU meetings and events overall, such new bodies and associated working groups create additional demands on ITU and members’ limited time and resources. Given competing demands for resources to support the implementation of ITU’s Strategic and Financial Plan and other conference outcomes, it is critical for ITU members to understand</w:t>
      </w:r>
      <w:r w:rsidRPr="00232400">
        <w:rPr>
          <w:rFonts w:asciiTheme="minorHAnsi" w:hAnsiTheme="minorHAnsi" w:cstheme="minorHAnsi"/>
          <w:b/>
          <w:bCs/>
          <w:szCs w:val="24"/>
          <w:lang w:val="en-US"/>
        </w:rPr>
        <w:t xml:space="preserve"> how activities are proposed, vetted, prioritized, or established, and how they may be limited by the financing mechanisms in the ITU Constitution and Convention Article 28.</w:t>
      </w:r>
    </w:p>
    <w:p w14:paraId="067EA767" w14:textId="66EDB579" w:rsidR="00232400" w:rsidRPr="00232400" w:rsidRDefault="00232400" w:rsidP="00232400">
      <w:pPr>
        <w:pStyle w:val="paragraph"/>
        <w:spacing w:before="160" w:beforeAutospacing="0" w:after="120" w:afterAutospacing="0"/>
        <w:jc w:val="both"/>
        <w:textAlignment w:val="baseline"/>
        <w:rPr>
          <w:rFonts w:asciiTheme="minorHAnsi" w:hAnsiTheme="minorHAnsi" w:cstheme="minorHAnsi"/>
        </w:rPr>
      </w:pPr>
      <w:r w:rsidRPr="00232400">
        <w:rPr>
          <w:rFonts w:asciiTheme="minorHAnsi" w:hAnsiTheme="minorHAnsi" w:cstheme="minorHAnsi"/>
        </w:rPr>
        <w:t>Like other ITU meeting mechanisms (</w:t>
      </w:r>
      <w:r w:rsidRPr="00232400">
        <w:rPr>
          <w:rFonts w:asciiTheme="minorHAnsi" w:hAnsiTheme="minorHAnsi" w:cstheme="minorHAnsi"/>
          <w:i/>
          <w:iCs/>
        </w:rPr>
        <w:t>e.g.</w:t>
      </w:r>
      <w:r w:rsidRPr="00232400">
        <w:rPr>
          <w:rFonts w:asciiTheme="minorHAnsi" w:hAnsiTheme="minorHAnsi" w:cstheme="minorHAnsi"/>
        </w:rPr>
        <w:t>, Study Groups, Focus Groups, Joint Coordination Activities, etc.), there should be preexisting rules, policies, or procedures that govern the establishment or operation of these kinds of activities. Additionally, the ITU should continue to adhere to its robust rules of procedures established by its governing documents rather than creating ad hoc Terms of Reference developed on a case-by-case basis.</w:t>
      </w:r>
    </w:p>
    <w:p w14:paraId="55F8D2CF" w14:textId="09FF4D56" w:rsidR="00232400" w:rsidRPr="00232400" w:rsidRDefault="00232400" w:rsidP="00232400">
      <w:pPr>
        <w:pStyle w:val="paragraph"/>
        <w:spacing w:before="160" w:beforeAutospacing="0" w:after="120" w:afterAutospacing="0"/>
        <w:jc w:val="both"/>
        <w:rPr>
          <w:rFonts w:asciiTheme="minorHAnsi" w:hAnsiTheme="minorHAnsi" w:cstheme="minorHAnsi"/>
        </w:rPr>
      </w:pPr>
      <w:r w:rsidRPr="00232400">
        <w:rPr>
          <w:rFonts w:asciiTheme="minorHAnsi" w:hAnsiTheme="minorHAnsi" w:cstheme="minorHAnsi"/>
        </w:rPr>
        <w:t xml:space="preserve">Moreover, even when externally funded, these activities still have cost implications that may require greater review and oversight. For example, the ITU often provides secretariat services, but it is unclear how ITU handles cost recovery and accounts for mission loss/opportunity cost for this staff time or reports on results or impact of these activities. The ITU could also consider implementing processes for vetting outside funding or participation in such groups. Otherwise, an over-reliance on externally funded initiatives risks cultivating an ethos of “pay to play” that runs counter to the ITU’s commitment to consensus-based decision making; in </w:t>
      </w:r>
      <w:r w:rsidRPr="00232400">
        <w:rPr>
          <w:rFonts w:asciiTheme="minorHAnsi" w:hAnsiTheme="minorHAnsi" w:cstheme="minorHAnsi"/>
        </w:rPr>
        <w:lastRenderedPageBreak/>
        <w:t>other words, sponsors with the ability to provide funding for such activities may have more influence over ITU projects and priorities.</w:t>
      </w:r>
    </w:p>
    <w:p w14:paraId="61311744" w14:textId="07A85BA8" w:rsidR="00232400" w:rsidRPr="00232400" w:rsidRDefault="00232400" w:rsidP="00232400">
      <w:pPr>
        <w:pStyle w:val="paragraph"/>
        <w:spacing w:before="160" w:beforeAutospacing="0" w:after="120" w:afterAutospacing="0"/>
        <w:jc w:val="both"/>
        <w:rPr>
          <w:rFonts w:asciiTheme="minorHAnsi" w:hAnsiTheme="minorHAnsi" w:cstheme="minorHAnsi"/>
        </w:rPr>
      </w:pPr>
      <w:r w:rsidRPr="00232400">
        <w:rPr>
          <w:rFonts w:asciiTheme="minorHAnsi" w:hAnsiTheme="minorHAnsi" w:cstheme="minorHAnsi"/>
        </w:rPr>
        <w:t>As the ITU continues to face financial challenges, considers strengthening tools for prioritization of activities, and seeks opportunities for revenue generation, this proposal encourages standardized processes around review and approval of such activities and reporting on results and impact. This includes consideration of participation and financial assessments that will inform whether external funding is sufficient to justify directing limited resources towards certain activities and initiatives that involve limited participation or potentially partnership with non-dues-paying members of the ITU. Additional information would be welcomed from the ITU Secretariat regarding such activities and partnerships.</w:t>
      </w:r>
    </w:p>
    <w:p w14:paraId="15B30976" w14:textId="77777777" w:rsidR="00232400" w:rsidRPr="00232400" w:rsidRDefault="00232400" w:rsidP="00232400">
      <w:pPr>
        <w:tabs>
          <w:tab w:val="clear" w:pos="567"/>
          <w:tab w:val="clear" w:pos="1134"/>
          <w:tab w:val="clear" w:pos="1701"/>
          <w:tab w:val="clear" w:pos="2268"/>
          <w:tab w:val="clear" w:pos="2835"/>
        </w:tabs>
        <w:overflowPunct/>
        <w:autoSpaceDE/>
        <w:autoSpaceDN/>
        <w:adjustRightInd/>
        <w:spacing w:before="360" w:after="120"/>
        <w:jc w:val="both"/>
        <w:textAlignment w:val="auto"/>
        <w:rPr>
          <w:rFonts w:asciiTheme="minorHAnsi" w:hAnsiTheme="minorHAnsi" w:cstheme="minorHAnsi"/>
          <w:b/>
          <w:bCs/>
          <w:szCs w:val="24"/>
          <w:lang w:val="en-US"/>
        </w:rPr>
      </w:pPr>
      <w:r w:rsidRPr="00232400">
        <w:rPr>
          <w:rFonts w:asciiTheme="minorHAnsi" w:hAnsiTheme="minorHAnsi" w:cstheme="minorHAnsi"/>
          <w:b/>
          <w:bCs/>
          <w:szCs w:val="24"/>
          <w:lang w:val="en-US"/>
        </w:rPr>
        <w:t>Proposal</w:t>
      </w:r>
    </w:p>
    <w:p w14:paraId="695C04CE" w14:textId="77777777" w:rsidR="00232400" w:rsidRPr="00232400" w:rsidRDefault="00232400" w:rsidP="00232400">
      <w:pPr>
        <w:pStyle w:val="paragraph"/>
        <w:spacing w:before="120" w:beforeAutospacing="0" w:after="120" w:afterAutospacing="0"/>
        <w:jc w:val="both"/>
        <w:textAlignment w:val="baseline"/>
        <w:rPr>
          <w:rFonts w:asciiTheme="minorHAnsi" w:hAnsiTheme="minorHAnsi" w:cstheme="minorHAnsi"/>
        </w:rPr>
      </w:pPr>
      <w:r w:rsidRPr="00232400">
        <w:rPr>
          <w:rFonts w:asciiTheme="minorHAnsi" w:hAnsiTheme="minorHAnsi" w:cstheme="minorHAnsi"/>
        </w:rPr>
        <w:t>The United States encourages the ITU to continue seeking opportunities to promote fiscal responsibility, organizational transparency, and institutional accountability while fulfilling its strategic mission</w:t>
      </w:r>
      <w:r w:rsidRPr="00232400">
        <w:rPr>
          <w:rFonts w:asciiTheme="minorHAnsi" w:hAnsiTheme="minorHAnsi" w:cstheme="minorHAnsi"/>
          <w:b/>
          <w:bCs/>
        </w:rPr>
        <w:t>.</w:t>
      </w:r>
    </w:p>
    <w:p w14:paraId="0BEFBF88" w14:textId="20BBBEC6" w:rsidR="00101C44" w:rsidRDefault="00232400" w:rsidP="00232400">
      <w:pPr>
        <w:pStyle w:val="Reasons"/>
        <w:spacing w:before="160" w:after="120"/>
        <w:jc w:val="both"/>
      </w:pPr>
      <w:r w:rsidRPr="00232400">
        <w:rPr>
          <w:rFonts w:asciiTheme="minorHAnsi" w:hAnsiTheme="minorHAnsi" w:cstheme="minorHAnsi"/>
          <w:szCs w:val="24"/>
        </w:rPr>
        <w:t>We propose that CWG-FHR develop processes to help ensure that all proposed ITU activities in support of the ITU Strategic Plan further transparency and accountability and meet the results-based financial and management goals of Resolution 151 (Rev. Bucharest, 2022).</w:t>
      </w:r>
    </w:p>
    <w:p w14:paraId="69D7025F" w14:textId="74B5B0C8" w:rsidR="00101C44" w:rsidRPr="00101C44" w:rsidRDefault="00101C44" w:rsidP="00232400">
      <w:pPr>
        <w:spacing w:before="600"/>
        <w:jc w:val="center"/>
      </w:pPr>
      <w:r>
        <w:t>______________</w:t>
      </w:r>
    </w:p>
    <w:sectPr w:rsidR="00101C44" w:rsidRPr="00101C44" w:rsidSect="00AD3606">
      <w:footerReference w:type="default" r:id="rId8"/>
      <w:headerReference w:type="first" r:id="rId9"/>
      <w:footerReference w:type="first" r:id="rId1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FFCC6" w14:textId="77777777" w:rsidR="00613B55" w:rsidRDefault="00613B55">
      <w:r>
        <w:separator/>
      </w:r>
    </w:p>
  </w:endnote>
  <w:endnote w:type="continuationSeparator" w:id="0">
    <w:p w14:paraId="3851B434" w14:textId="77777777" w:rsidR="00613B55" w:rsidRDefault="00613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B248BC" w14:paraId="45D3022A" w14:textId="77777777" w:rsidTr="0042469C">
      <w:trPr>
        <w:jc w:val="center"/>
      </w:trPr>
      <w:tc>
        <w:tcPr>
          <w:tcW w:w="1803" w:type="dxa"/>
          <w:vAlign w:val="center"/>
        </w:tcPr>
        <w:p w14:paraId="010561C0" w14:textId="77777777" w:rsidR="00EE49E8" w:rsidRDefault="00EE49E8" w:rsidP="00EE49E8">
          <w:pPr>
            <w:pStyle w:val="Header"/>
            <w:jc w:val="left"/>
            <w:rPr>
              <w:noProof/>
            </w:rPr>
          </w:pPr>
        </w:p>
      </w:tc>
      <w:tc>
        <w:tcPr>
          <w:tcW w:w="8261" w:type="dxa"/>
        </w:tcPr>
        <w:p w14:paraId="4683B567" w14:textId="598DB64E" w:rsidR="00EE49E8" w:rsidRPr="00BA3A51" w:rsidRDefault="00EE49E8" w:rsidP="000F6AB8">
          <w:pPr>
            <w:pStyle w:val="Header"/>
            <w:tabs>
              <w:tab w:val="left" w:pos="6309"/>
              <w:tab w:val="right" w:pos="8505"/>
              <w:tab w:val="right" w:pos="9639"/>
            </w:tabs>
            <w:jc w:val="left"/>
            <w:rPr>
              <w:rFonts w:ascii="Arial" w:hAnsi="Arial" w:cs="Arial"/>
              <w:b/>
              <w:bCs/>
              <w:szCs w:val="18"/>
              <w:lang w:val="fr-CH"/>
            </w:rPr>
          </w:pPr>
          <w:r w:rsidRPr="005C13D4">
            <w:rPr>
              <w:bCs/>
              <w:lang w:val="fr-CH"/>
            </w:rPr>
            <w:tab/>
          </w:r>
          <w:r w:rsidR="00A52C84" w:rsidRPr="00BA3A51">
            <w:rPr>
              <w:bCs/>
              <w:lang w:val="fr-CH"/>
            </w:rPr>
            <w:t>CWG-</w:t>
          </w:r>
          <w:r w:rsidR="000F6AB8">
            <w:rPr>
              <w:bCs/>
              <w:lang w:val="fr-CH"/>
            </w:rPr>
            <w:t>FHR</w:t>
          </w:r>
          <w:r w:rsidR="00A52C84" w:rsidRPr="00BA3A51">
            <w:rPr>
              <w:bCs/>
              <w:lang w:val="fr-CH"/>
            </w:rPr>
            <w:t>-</w:t>
          </w:r>
          <w:r w:rsidR="00101C44">
            <w:rPr>
              <w:bCs/>
              <w:lang w:val="fr-CH"/>
            </w:rPr>
            <w:t>21</w:t>
          </w:r>
          <w:r w:rsidR="000F6AB8">
            <w:rPr>
              <w:bCs/>
              <w:lang w:val="fr-CH"/>
            </w:rPr>
            <w:t>/</w:t>
          </w:r>
          <w:r w:rsidR="00232400">
            <w:rPr>
              <w:bCs/>
              <w:lang w:val="fr-CH"/>
            </w:rPr>
            <w:t>22</w:t>
          </w:r>
          <w:r w:rsidR="00A52C84" w:rsidRPr="00BA3A51">
            <w:rPr>
              <w:bCs/>
              <w:lang w:val="fr-CH"/>
            </w:rPr>
            <w:t>-E</w:t>
          </w:r>
          <w:r w:rsidRPr="00BA3A51">
            <w:rPr>
              <w:bCs/>
              <w:lang w:val="fr-CH"/>
            </w:rPr>
            <w:tab/>
          </w:r>
          <w:r>
            <w:fldChar w:fldCharType="begin"/>
          </w:r>
          <w:r w:rsidRPr="00BA3A51">
            <w:rPr>
              <w:lang w:val="fr-CH"/>
            </w:rPr>
            <w:instrText>PAGE</w:instrText>
          </w:r>
          <w:r>
            <w:fldChar w:fldCharType="separate"/>
          </w:r>
          <w:r w:rsidRPr="00BA3A51">
            <w:rPr>
              <w:lang w:val="fr-CH"/>
            </w:rPr>
            <w:t>1</w:t>
          </w:r>
          <w:r>
            <w:rPr>
              <w:noProof/>
            </w:rPr>
            <w:fldChar w:fldCharType="end"/>
          </w:r>
        </w:p>
      </w:tc>
    </w:tr>
  </w:tbl>
  <w:p w14:paraId="4B06F114" w14:textId="77777777" w:rsidR="00EE49E8" w:rsidRPr="00BA3A51" w:rsidRDefault="00EE49E8" w:rsidP="00EE49E8">
    <w:pPr>
      <w:pStyle w:val="Header"/>
      <w:tabs>
        <w:tab w:val="left" w:pos="8080"/>
        <w:tab w:val="right" w:pos="9072"/>
      </w:tabs>
      <w:jc w:val="left"/>
      <w:rPr>
        <w:bCs/>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11309930" w14:textId="77777777" w:rsidTr="00A52C84">
      <w:trPr>
        <w:jc w:val="center"/>
      </w:trPr>
      <w:tc>
        <w:tcPr>
          <w:tcW w:w="3107" w:type="dxa"/>
          <w:vAlign w:val="center"/>
        </w:tcPr>
        <w:p w14:paraId="7CD2CDFA" w14:textId="4703D05A" w:rsidR="00EE49E8" w:rsidRPr="00191EA3" w:rsidRDefault="0025570E" w:rsidP="00EE49E8">
          <w:pPr>
            <w:pStyle w:val="Header"/>
            <w:jc w:val="left"/>
            <w:rPr>
              <w:noProof/>
            </w:rPr>
          </w:pPr>
          <w:hyperlink r:id="rId1" w:history="1">
            <w:r w:rsidRPr="00191EA3">
              <w:rPr>
                <w:rStyle w:val="Hyperlink"/>
                <w:u w:val="none"/>
              </w:rPr>
              <w:t>council.itu.int/working-groups</w:t>
            </w:r>
          </w:hyperlink>
        </w:p>
      </w:tc>
      <w:tc>
        <w:tcPr>
          <w:tcW w:w="6957" w:type="dxa"/>
        </w:tcPr>
        <w:p w14:paraId="3E34F891" w14:textId="5CD4C51B" w:rsidR="00EE49E8" w:rsidRPr="000F6AB8" w:rsidRDefault="00EE49E8" w:rsidP="000F6AB8">
          <w:pPr>
            <w:pStyle w:val="Header"/>
            <w:tabs>
              <w:tab w:val="left" w:pos="5008"/>
              <w:tab w:val="right" w:pos="8505"/>
              <w:tab w:val="right" w:pos="9639"/>
            </w:tabs>
            <w:jc w:val="left"/>
            <w:rPr>
              <w:rFonts w:ascii="Arial" w:hAnsi="Arial" w:cs="Arial"/>
              <w:b/>
              <w:bCs/>
              <w:szCs w:val="18"/>
              <w:lang w:val="es-ES"/>
            </w:rPr>
          </w:pPr>
          <w:r>
            <w:rPr>
              <w:bCs/>
            </w:rPr>
            <w:tab/>
          </w:r>
          <w:r w:rsidRPr="000F6AB8">
            <w:rPr>
              <w:bCs/>
              <w:lang w:val="es-ES"/>
            </w:rPr>
            <w:t>C</w:t>
          </w:r>
          <w:r w:rsidR="00A52C84" w:rsidRPr="000F6AB8">
            <w:rPr>
              <w:bCs/>
              <w:lang w:val="es-ES"/>
            </w:rPr>
            <w:t>WG-</w:t>
          </w:r>
          <w:r w:rsidR="000F6AB8" w:rsidRPr="000F6AB8">
            <w:rPr>
              <w:bCs/>
              <w:lang w:val="es-ES"/>
            </w:rPr>
            <w:t>FHR</w:t>
          </w:r>
          <w:r w:rsidR="00A52C84" w:rsidRPr="000F6AB8">
            <w:rPr>
              <w:bCs/>
              <w:lang w:val="es-ES"/>
            </w:rPr>
            <w:t>-</w:t>
          </w:r>
          <w:r w:rsidR="00101C44">
            <w:rPr>
              <w:bCs/>
              <w:lang w:val="es-ES"/>
            </w:rPr>
            <w:t>21</w:t>
          </w:r>
          <w:r w:rsidRPr="000F6AB8">
            <w:rPr>
              <w:bCs/>
              <w:lang w:val="es-ES"/>
            </w:rPr>
            <w:t>/</w:t>
          </w:r>
          <w:r w:rsidR="00232400">
            <w:rPr>
              <w:bCs/>
              <w:lang w:val="es-ES"/>
            </w:rPr>
            <w:t>22</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107176FF"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2E2B2" w14:textId="77777777" w:rsidR="00613B55" w:rsidRDefault="00613B55">
      <w:r>
        <w:t>____________________</w:t>
      </w:r>
    </w:p>
  </w:footnote>
  <w:footnote w:type="continuationSeparator" w:id="0">
    <w:p w14:paraId="5F05F6B3" w14:textId="77777777" w:rsidR="00613B55" w:rsidRDefault="00613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4C3446C2" w14:textId="77777777" w:rsidTr="00F74694">
      <w:trPr>
        <w:trHeight w:val="1304"/>
        <w:jc w:val="center"/>
      </w:trPr>
      <w:tc>
        <w:tcPr>
          <w:tcW w:w="6546" w:type="dxa"/>
        </w:tcPr>
        <w:p w14:paraId="23997244" w14:textId="77777777" w:rsidR="00AD3606" w:rsidRPr="009621F8" w:rsidRDefault="00191EA3" w:rsidP="00130599">
          <w:pPr>
            <w:pStyle w:val="Header"/>
            <w:jc w:val="left"/>
            <w:rPr>
              <w:rFonts w:ascii="Arial" w:hAnsi="Arial" w:cs="Arial"/>
              <w:b/>
              <w:bCs/>
              <w:color w:val="009CD6"/>
              <w:sz w:val="36"/>
              <w:szCs w:val="36"/>
            </w:rPr>
          </w:pPr>
          <w:bookmarkStart w:id="11" w:name="_Hlk133422111"/>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42E1356A" wp14:editId="54CAED16">
                    <wp:simplePos x="0" y="0"/>
                    <wp:positionH relativeFrom="column">
                      <wp:posOffset>1436426</wp:posOffset>
                    </wp:positionH>
                    <wp:positionV relativeFrom="paragraph">
                      <wp:posOffset>5715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5C2525B3" w14:textId="3DED7A1F" w:rsidR="00130599" w:rsidRDefault="00A43C03" w:rsidP="0060523F">
                                <w:pPr>
                                  <w:spacing w:before="0"/>
                                </w:pPr>
                                <w:r w:rsidRPr="00F74694">
                                  <w:rPr>
                                    <w:b/>
                                    <w:bCs/>
                                    <w:szCs w:val="24"/>
                                  </w:rPr>
                                  <w:t xml:space="preserve">Council Working Group </w:t>
                                </w:r>
                                <w:r w:rsidRPr="00F74694">
                                  <w:rPr>
                                    <w:b/>
                                    <w:bCs/>
                                    <w:szCs w:val="24"/>
                                  </w:rPr>
                                  <w:br/>
                                  <w:t xml:space="preserve">on </w:t>
                                </w:r>
                                <w:r>
                                  <w:rPr>
                                    <w:b/>
                                    <w:bCs/>
                                    <w:szCs w:val="24"/>
                                  </w:rPr>
                                  <w:t>financial and human resources</w:t>
                                </w:r>
                                <w:r>
                                  <w:br/>
                                </w:r>
                                <w:r w:rsidR="00CB24AA">
                                  <w:rPr>
                                    <w:sz w:val="20"/>
                                  </w:rPr>
                                  <w:t>Twent</w:t>
                                </w:r>
                                <w:r w:rsidR="00101C44">
                                  <w:rPr>
                                    <w:sz w:val="20"/>
                                  </w:rPr>
                                  <w:t xml:space="preserve">y-first </w:t>
                                </w:r>
                                <w:r w:rsidRPr="0060523F">
                                  <w:rPr>
                                    <w:sz w:val="20"/>
                                  </w:rPr>
                                  <w:t xml:space="preserve">meeting – </w:t>
                                </w:r>
                                <w:r w:rsidR="0060523F" w:rsidRPr="0060523F">
                                  <w:rPr>
                                    <w:sz w:val="20"/>
                                  </w:rPr>
                                  <w:t>From 10</w:t>
                                </w:r>
                                <w:r w:rsidR="00491A64">
                                  <w:rPr>
                                    <w:sz w:val="20"/>
                                  </w:rPr>
                                  <w:t xml:space="preserve"> (p.m.)</w:t>
                                </w:r>
                                <w:r w:rsidR="0060523F" w:rsidRPr="0060523F">
                                  <w:rPr>
                                    <w:sz w:val="20"/>
                                  </w:rPr>
                                  <w:t xml:space="preserve"> to 12 September 2025</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2E1356A" id="_x0000_t202" coordsize="21600,21600" o:spt="202" path="m,l,21600r21600,l21600,xe">
                    <v:stroke joinstyle="miter"/>
                    <v:path gradientshapeok="t" o:connecttype="rect"/>
                  </v:shapetype>
                  <v:shape id="Text Box 2" o:spid="_x0000_s1026" type="#_x0000_t202" style="position:absolute;margin-left:113.1pt;margin-top:.4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" fillcolor="white [3212]" stroked="f">
                    <v:textbox style="mso-fit-shape-to-text:t" inset="1mm,,1mm">
                      <w:txbxContent>
                        <w:p w14:paraId="5C2525B3" w14:textId="3DED7A1F" w:rsidR="00130599" w:rsidRDefault="00A43C03" w:rsidP="0060523F">
                          <w:pPr>
                            <w:spacing w:before="0"/>
                          </w:pPr>
                          <w:r w:rsidRPr="00F74694">
                            <w:rPr>
                              <w:b/>
                              <w:bCs/>
                              <w:szCs w:val="24"/>
                            </w:rPr>
                            <w:t xml:space="preserve">Council Working Group </w:t>
                          </w:r>
                          <w:r w:rsidRPr="00F74694">
                            <w:rPr>
                              <w:b/>
                              <w:bCs/>
                              <w:szCs w:val="24"/>
                            </w:rPr>
                            <w:br/>
                            <w:t xml:space="preserve">on </w:t>
                          </w:r>
                          <w:r>
                            <w:rPr>
                              <w:b/>
                              <w:bCs/>
                              <w:szCs w:val="24"/>
                            </w:rPr>
                            <w:t>financial and human resources</w:t>
                          </w:r>
                          <w:r>
                            <w:br/>
                          </w:r>
                          <w:r w:rsidR="00CB24AA">
                            <w:rPr>
                              <w:sz w:val="20"/>
                            </w:rPr>
                            <w:t>Twent</w:t>
                          </w:r>
                          <w:r w:rsidR="00101C44">
                            <w:rPr>
                              <w:sz w:val="20"/>
                            </w:rPr>
                            <w:t xml:space="preserve">y-first </w:t>
                          </w:r>
                          <w:r w:rsidRPr="0060523F">
                            <w:rPr>
                              <w:sz w:val="20"/>
                            </w:rPr>
                            <w:t xml:space="preserve">meeting – </w:t>
                          </w:r>
                          <w:r w:rsidR="0060523F" w:rsidRPr="0060523F">
                            <w:rPr>
                              <w:sz w:val="20"/>
                            </w:rPr>
                            <w:t>From 10</w:t>
                          </w:r>
                          <w:r w:rsidR="00491A64">
                            <w:rPr>
                              <w:sz w:val="20"/>
                            </w:rPr>
                            <w:t xml:space="preserve"> (p.m.)</w:t>
                          </w:r>
                          <w:r w:rsidR="0060523F" w:rsidRPr="0060523F">
                            <w:rPr>
                              <w:sz w:val="20"/>
                            </w:rPr>
                            <w:t xml:space="preserve"> to 12 September 2025</w:t>
                          </w:r>
                        </w:p>
                      </w:txbxContent>
                    </v:textbox>
                  </v:shape>
                </w:pict>
              </mc:Fallback>
            </mc:AlternateContent>
          </w:r>
          <w:r>
            <w:rPr>
              <w:rFonts w:ascii="Arial" w:hAnsi="Arial" w:cs="Arial"/>
              <w:b/>
              <w:bCs/>
              <w:noProof/>
              <w:color w:val="009CD6"/>
              <w:sz w:val="36"/>
              <w:szCs w:val="36"/>
            </w:rPr>
            <w:drawing>
              <wp:inline distT="0" distB="0" distL="0" distR="0" wp14:anchorId="07F64D12" wp14:editId="0EF76A7B">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50C14FC0" w14:textId="77777777" w:rsidR="00AD3606" w:rsidRDefault="00AD3606" w:rsidP="00AD3606">
          <w:pPr>
            <w:pStyle w:val="Header"/>
            <w:jc w:val="right"/>
            <w:rPr>
              <w:rFonts w:ascii="Arial" w:hAnsi="Arial" w:cs="Arial"/>
              <w:b/>
              <w:bCs/>
              <w:color w:val="009CD6"/>
              <w:szCs w:val="18"/>
            </w:rPr>
          </w:pPr>
        </w:p>
        <w:p w14:paraId="231D69AB" w14:textId="77777777" w:rsidR="00AD3606" w:rsidRDefault="00AD3606" w:rsidP="00AD3606">
          <w:pPr>
            <w:pStyle w:val="Header"/>
            <w:jc w:val="right"/>
            <w:rPr>
              <w:rFonts w:ascii="Arial" w:hAnsi="Arial" w:cs="Arial"/>
              <w:b/>
              <w:bCs/>
              <w:color w:val="009CD6"/>
              <w:szCs w:val="18"/>
            </w:rPr>
          </w:pPr>
        </w:p>
        <w:p w14:paraId="3A6B94B2"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C8B4F01"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4BCBA57" wp14:editId="1745644A">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B67EA"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08E3C02"/>
    <w:multiLevelType w:val="hybridMultilevel"/>
    <w:tmpl w:val="399ED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2114813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B55"/>
    <w:rsid w:val="000120E4"/>
    <w:rsid w:val="000210D4"/>
    <w:rsid w:val="00046146"/>
    <w:rsid w:val="00063016"/>
    <w:rsid w:val="00066795"/>
    <w:rsid w:val="00076AF6"/>
    <w:rsid w:val="00085CF2"/>
    <w:rsid w:val="000B1705"/>
    <w:rsid w:val="000D75B2"/>
    <w:rsid w:val="000F6AB8"/>
    <w:rsid w:val="00101C44"/>
    <w:rsid w:val="001121F5"/>
    <w:rsid w:val="00130599"/>
    <w:rsid w:val="001400DC"/>
    <w:rsid w:val="00140CE1"/>
    <w:rsid w:val="00147C54"/>
    <w:rsid w:val="0017539C"/>
    <w:rsid w:val="00175AC2"/>
    <w:rsid w:val="0017609F"/>
    <w:rsid w:val="00191EA3"/>
    <w:rsid w:val="001A7D1D"/>
    <w:rsid w:val="001B51DD"/>
    <w:rsid w:val="001C628E"/>
    <w:rsid w:val="001E0F7B"/>
    <w:rsid w:val="001E0FBE"/>
    <w:rsid w:val="001E5FE7"/>
    <w:rsid w:val="002041EC"/>
    <w:rsid w:val="002119FD"/>
    <w:rsid w:val="002130E0"/>
    <w:rsid w:val="00232400"/>
    <w:rsid w:val="00244F7F"/>
    <w:rsid w:val="0025570E"/>
    <w:rsid w:val="002608B7"/>
    <w:rsid w:val="00264425"/>
    <w:rsid w:val="00265875"/>
    <w:rsid w:val="0027303B"/>
    <w:rsid w:val="0028109B"/>
    <w:rsid w:val="002A2188"/>
    <w:rsid w:val="002B1F58"/>
    <w:rsid w:val="002C1C7A"/>
    <w:rsid w:val="002C54E2"/>
    <w:rsid w:val="002E0AC3"/>
    <w:rsid w:val="0030160F"/>
    <w:rsid w:val="00301AEE"/>
    <w:rsid w:val="003145DF"/>
    <w:rsid w:val="00320223"/>
    <w:rsid w:val="00322D0D"/>
    <w:rsid w:val="00361465"/>
    <w:rsid w:val="0037409C"/>
    <w:rsid w:val="003877F5"/>
    <w:rsid w:val="003942D4"/>
    <w:rsid w:val="0039514F"/>
    <w:rsid w:val="003958A8"/>
    <w:rsid w:val="003B29C2"/>
    <w:rsid w:val="003C20CA"/>
    <w:rsid w:val="003C2533"/>
    <w:rsid w:val="003D5A7F"/>
    <w:rsid w:val="003D635C"/>
    <w:rsid w:val="004016E2"/>
    <w:rsid w:val="0040435A"/>
    <w:rsid w:val="00416A24"/>
    <w:rsid w:val="0042059E"/>
    <w:rsid w:val="00431D9E"/>
    <w:rsid w:val="00433CE8"/>
    <w:rsid w:val="00434A5C"/>
    <w:rsid w:val="004544D9"/>
    <w:rsid w:val="00472BAD"/>
    <w:rsid w:val="00484009"/>
    <w:rsid w:val="00490E72"/>
    <w:rsid w:val="00491157"/>
    <w:rsid w:val="00491A64"/>
    <w:rsid w:val="004921C8"/>
    <w:rsid w:val="00495B0B"/>
    <w:rsid w:val="004A1B8B"/>
    <w:rsid w:val="004D1851"/>
    <w:rsid w:val="004D599D"/>
    <w:rsid w:val="004E2EA5"/>
    <w:rsid w:val="004E3AEB"/>
    <w:rsid w:val="004F3819"/>
    <w:rsid w:val="0050223C"/>
    <w:rsid w:val="00507750"/>
    <w:rsid w:val="005243FF"/>
    <w:rsid w:val="005311D6"/>
    <w:rsid w:val="00536422"/>
    <w:rsid w:val="00552976"/>
    <w:rsid w:val="00564FBC"/>
    <w:rsid w:val="005800BC"/>
    <w:rsid w:val="00582442"/>
    <w:rsid w:val="005A335D"/>
    <w:rsid w:val="005C13D4"/>
    <w:rsid w:val="005C77C0"/>
    <w:rsid w:val="005E2BD5"/>
    <w:rsid w:val="005F3269"/>
    <w:rsid w:val="0060523F"/>
    <w:rsid w:val="00613B55"/>
    <w:rsid w:val="00615961"/>
    <w:rsid w:val="00623AE3"/>
    <w:rsid w:val="006261F4"/>
    <w:rsid w:val="00631CAF"/>
    <w:rsid w:val="0064737F"/>
    <w:rsid w:val="006535F1"/>
    <w:rsid w:val="0065557D"/>
    <w:rsid w:val="00660D50"/>
    <w:rsid w:val="00662984"/>
    <w:rsid w:val="006716BB"/>
    <w:rsid w:val="006973C8"/>
    <w:rsid w:val="006B1859"/>
    <w:rsid w:val="006B6680"/>
    <w:rsid w:val="006B6DCC"/>
    <w:rsid w:val="00702DEF"/>
    <w:rsid w:val="00706861"/>
    <w:rsid w:val="00726B8C"/>
    <w:rsid w:val="0075051B"/>
    <w:rsid w:val="0077110E"/>
    <w:rsid w:val="00775655"/>
    <w:rsid w:val="00793188"/>
    <w:rsid w:val="00794D34"/>
    <w:rsid w:val="00806E3C"/>
    <w:rsid w:val="00813E5E"/>
    <w:rsid w:val="00816C2C"/>
    <w:rsid w:val="0083581B"/>
    <w:rsid w:val="00860EED"/>
    <w:rsid w:val="00863874"/>
    <w:rsid w:val="00864AFF"/>
    <w:rsid w:val="00865925"/>
    <w:rsid w:val="00891503"/>
    <w:rsid w:val="008B4A6A"/>
    <w:rsid w:val="008C7E27"/>
    <w:rsid w:val="008F3822"/>
    <w:rsid w:val="008F7448"/>
    <w:rsid w:val="0090147A"/>
    <w:rsid w:val="0090389B"/>
    <w:rsid w:val="009173EF"/>
    <w:rsid w:val="00932906"/>
    <w:rsid w:val="00961860"/>
    <w:rsid w:val="00961B0B"/>
    <w:rsid w:val="00962D33"/>
    <w:rsid w:val="009B38C3"/>
    <w:rsid w:val="009D6CA6"/>
    <w:rsid w:val="009E09F2"/>
    <w:rsid w:val="009E17BD"/>
    <w:rsid w:val="009E485A"/>
    <w:rsid w:val="00A04CEC"/>
    <w:rsid w:val="00A27F92"/>
    <w:rsid w:val="00A32257"/>
    <w:rsid w:val="00A36D20"/>
    <w:rsid w:val="00A43C03"/>
    <w:rsid w:val="00A46CD0"/>
    <w:rsid w:val="00A514A4"/>
    <w:rsid w:val="00A52C84"/>
    <w:rsid w:val="00A55622"/>
    <w:rsid w:val="00A83502"/>
    <w:rsid w:val="00AD15B3"/>
    <w:rsid w:val="00AD3606"/>
    <w:rsid w:val="00AD4A3D"/>
    <w:rsid w:val="00AF6386"/>
    <w:rsid w:val="00AF6E49"/>
    <w:rsid w:val="00B04A67"/>
    <w:rsid w:val="00B0583C"/>
    <w:rsid w:val="00B248BC"/>
    <w:rsid w:val="00B358B2"/>
    <w:rsid w:val="00B40A81"/>
    <w:rsid w:val="00B44910"/>
    <w:rsid w:val="00B6350C"/>
    <w:rsid w:val="00B72267"/>
    <w:rsid w:val="00B73DD1"/>
    <w:rsid w:val="00B76EB6"/>
    <w:rsid w:val="00B7737B"/>
    <w:rsid w:val="00B824C8"/>
    <w:rsid w:val="00B849D3"/>
    <w:rsid w:val="00B84B9D"/>
    <w:rsid w:val="00B9007F"/>
    <w:rsid w:val="00BA3A51"/>
    <w:rsid w:val="00BC251A"/>
    <w:rsid w:val="00BD032B"/>
    <w:rsid w:val="00BD0614"/>
    <w:rsid w:val="00BD094B"/>
    <w:rsid w:val="00BE2640"/>
    <w:rsid w:val="00BE4C42"/>
    <w:rsid w:val="00BF06F0"/>
    <w:rsid w:val="00C01189"/>
    <w:rsid w:val="00C374DE"/>
    <w:rsid w:val="00C47AD4"/>
    <w:rsid w:val="00C52D81"/>
    <w:rsid w:val="00C55198"/>
    <w:rsid w:val="00C725C6"/>
    <w:rsid w:val="00C922C7"/>
    <w:rsid w:val="00CA6393"/>
    <w:rsid w:val="00CB18FF"/>
    <w:rsid w:val="00CB24AA"/>
    <w:rsid w:val="00CD0C08"/>
    <w:rsid w:val="00CD3C91"/>
    <w:rsid w:val="00CE03FB"/>
    <w:rsid w:val="00CE433C"/>
    <w:rsid w:val="00CF0161"/>
    <w:rsid w:val="00CF33F3"/>
    <w:rsid w:val="00D06183"/>
    <w:rsid w:val="00D22C42"/>
    <w:rsid w:val="00D45669"/>
    <w:rsid w:val="00D46480"/>
    <w:rsid w:val="00D464CC"/>
    <w:rsid w:val="00D522F6"/>
    <w:rsid w:val="00D65041"/>
    <w:rsid w:val="00DB00D5"/>
    <w:rsid w:val="00DB1936"/>
    <w:rsid w:val="00DB384B"/>
    <w:rsid w:val="00DF0189"/>
    <w:rsid w:val="00E06FD5"/>
    <w:rsid w:val="00E10E80"/>
    <w:rsid w:val="00E124F0"/>
    <w:rsid w:val="00E227F3"/>
    <w:rsid w:val="00E4728B"/>
    <w:rsid w:val="00E545C6"/>
    <w:rsid w:val="00E60F04"/>
    <w:rsid w:val="00E63EFF"/>
    <w:rsid w:val="00E65B24"/>
    <w:rsid w:val="00E854E4"/>
    <w:rsid w:val="00E86DBF"/>
    <w:rsid w:val="00EB0D6F"/>
    <w:rsid w:val="00EB2232"/>
    <w:rsid w:val="00EC5337"/>
    <w:rsid w:val="00ED575C"/>
    <w:rsid w:val="00EE49E8"/>
    <w:rsid w:val="00F10B59"/>
    <w:rsid w:val="00F16BAB"/>
    <w:rsid w:val="00F2150A"/>
    <w:rsid w:val="00F231D8"/>
    <w:rsid w:val="00F44C00"/>
    <w:rsid w:val="00F45D2C"/>
    <w:rsid w:val="00F46C5F"/>
    <w:rsid w:val="00F632C0"/>
    <w:rsid w:val="00F74694"/>
    <w:rsid w:val="00F86596"/>
    <w:rsid w:val="00F93FD4"/>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B8DF7"/>
  <w15:docId w15:val="{4D4C5DDE-B542-431D-8EBB-0086F28C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D46480"/>
    <w:rPr>
      <w:color w:val="666666"/>
    </w:rPr>
  </w:style>
  <w:style w:type="paragraph" w:customStyle="1" w:styleId="Reasons">
    <w:name w:val="Reasons"/>
    <w:basedOn w:val="Normal"/>
    <w:qFormat/>
    <w:rsid w:val="00101C44"/>
  </w:style>
  <w:style w:type="paragraph" w:styleId="ListParagraph">
    <w:name w:val="List Paragraph"/>
    <w:basedOn w:val="Normal"/>
    <w:uiPriority w:val="34"/>
    <w:qFormat/>
    <w:rsid w:val="00232400"/>
    <w:pPr>
      <w:ind w:left="720"/>
      <w:contextualSpacing/>
    </w:pPr>
  </w:style>
  <w:style w:type="paragraph" w:customStyle="1" w:styleId="paragraph">
    <w:name w:val="paragraph"/>
    <w:basedOn w:val="Normal"/>
    <w:rsid w:val="00232400"/>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763</Words>
  <Characters>4746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5499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the United States - Strengthening Results-Based Financial Management of the ITU</dc:title>
  <dc:subject>ITU Council Working Group on financial and human resources</dc:subject>
  <dc:creator>GBS</dc:creator>
  <cp:keywords>CWG-FHR</cp:keywords>
  <dc:description/>
  <cp:lastModifiedBy>GBS</cp:lastModifiedBy>
  <cp:revision>3</cp:revision>
  <dcterms:created xsi:type="dcterms:W3CDTF">2025-08-28T08:50:00Z</dcterms:created>
  <dcterms:modified xsi:type="dcterms:W3CDTF">2025-08-28T08:51:00Z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f10a40ccae586a037d9ce0f9a3c7d5248109506ccc1659366decf52b717f794e</vt:lpwstr>
  </property>
</Properties>
</file>