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00AD3606">
        <w:trPr>
          <w:cantSplit/>
          <w:trHeight w:val="23"/>
        </w:trPr>
        <w:tc>
          <w:tcPr>
            <w:tcW w:w="3969" w:type="dxa"/>
            <w:vMerge w:val="restart"/>
            <w:tcMar>
              <w:left w:w="0" w:type="dxa"/>
            </w:tcMar>
          </w:tcPr>
          <w:p w14:paraId="16DC1941" w14:textId="77777777" w:rsidR="00AD3606" w:rsidRPr="00F12A69" w:rsidRDefault="00AD3606" w:rsidP="00472BAD">
            <w:pPr>
              <w:tabs>
                <w:tab w:val="left" w:pos="851"/>
              </w:tabs>
              <w:spacing w:before="0" w:line="240" w:lineRule="atLeast"/>
              <w:rPr>
                <w:b/>
                <w:lang w:val="ru-RU"/>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2E2FBD83" w:rsidR="00AD3606" w:rsidRPr="00301AEE" w:rsidRDefault="00AD3606" w:rsidP="00472BAD">
            <w:pPr>
              <w:tabs>
                <w:tab w:val="left" w:pos="851"/>
              </w:tabs>
              <w:spacing w:before="0" w:line="240" w:lineRule="atLeast"/>
              <w:jc w:val="right"/>
              <w:rPr>
                <w:b/>
                <w:lang w:val="fr-FR"/>
              </w:rPr>
            </w:pPr>
            <w:r w:rsidRPr="00301AEE">
              <w:rPr>
                <w:b/>
                <w:lang w:val="fr-FR"/>
              </w:rPr>
              <w:t>Document C</w:t>
            </w:r>
            <w:r w:rsidR="00A52C84" w:rsidRPr="00301AEE">
              <w:rPr>
                <w:b/>
                <w:lang w:val="fr-FR"/>
              </w:rPr>
              <w:t>WG-</w:t>
            </w:r>
            <w:r w:rsidR="000F6AB8">
              <w:rPr>
                <w:b/>
                <w:lang w:val="fr-FR"/>
              </w:rPr>
              <w:t>FHR</w:t>
            </w:r>
            <w:r w:rsidR="00A52C84" w:rsidRPr="00301AEE">
              <w:rPr>
                <w:b/>
                <w:lang w:val="fr-FR"/>
              </w:rPr>
              <w:t>-</w:t>
            </w:r>
            <w:r w:rsidR="00101C44">
              <w:rPr>
                <w:b/>
                <w:lang w:val="fr-FR"/>
              </w:rPr>
              <w:t>21</w:t>
            </w:r>
            <w:r w:rsidR="00301AEE" w:rsidRPr="00301AEE">
              <w:rPr>
                <w:b/>
                <w:lang w:val="fr-FR"/>
              </w:rPr>
              <w:t>/</w:t>
            </w:r>
            <w:r w:rsidR="00667828">
              <w:rPr>
                <w:b/>
                <w:lang w:val="fr-FR"/>
              </w:rPr>
              <w:t>21</w:t>
            </w:r>
          </w:p>
        </w:tc>
      </w:tr>
      <w:tr w:rsidR="00AD3606" w:rsidRPr="00147C54" w14:paraId="6E85BAE5" w14:textId="77777777" w:rsidTr="00AD3606">
        <w:trPr>
          <w:cantSplit/>
        </w:trPr>
        <w:tc>
          <w:tcPr>
            <w:tcW w:w="3969" w:type="dxa"/>
            <w:vMerge/>
          </w:tcPr>
          <w:p w14:paraId="56C9087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11CF38ED" w:rsidR="00AD3606" w:rsidRPr="00147C54" w:rsidRDefault="00667828" w:rsidP="00AD3606">
            <w:pPr>
              <w:tabs>
                <w:tab w:val="left" w:pos="851"/>
              </w:tabs>
              <w:spacing w:before="0"/>
              <w:jc w:val="right"/>
              <w:rPr>
                <w:b/>
              </w:rPr>
            </w:pPr>
            <w:r>
              <w:rPr>
                <w:b/>
              </w:rPr>
              <w:t>27 August 2025</w:t>
            </w:r>
          </w:p>
        </w:tc>
      </w:tr>
      <w:tr w:rsidR="00AD3606" w:rsidRPr="00147C54" w14:paraId="5CB1986F" w14:textId="77777777" w:rsidTr="00AD3606">
        <w:trPr>
          <w:cantSplit/>
          <w:trHeight w:val="23"/>
        </w:trPr>
        <w:tc>
          <w:tcPr>
            <w:tcW w:w="3969" w:type="dxa"/>
            <w:vMerge/>
          </w:tcPr>
          <w:p w14:paraId="1B5FC4F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83860DE" w14:textId="77777777" w:rsidTr="00AD3606">
        <w:trPr>
          <w:cantSplit/>
          <w:trHeight w:val="23"/>
        </w:trPr>
        <w:tc>
          <w:tcPr>
            <w:tcW w:w="3969" w:type="dxa"/>
          </w:tcPr>
          <w:p w14:paraId="2431CC24" w14:textId="77777777" w:rsidR="00472BAD" w:rsidRPr="00147C54" w:rsidRDefault="00472BAD" w:rsidP="00AD3606">
            <w:pPr>
              <w:tabs>
                <w:tab w:val="left" w:pos="851"/>
              </w:tabs>
              <w:spacing w:line="240" w:lineRule="atLeast"/>
              <w:rPr>
                <w:b/>
              </w:rPr>
            </w:pPr>
          </w:p>
        </w:tc>
        <w:tc>
          <w:tcPr>
            <w:tcW w:w="5245" w:type="dxa"/>
          </w:tcPr>
          <w:p w14:paraId="2571578C" w14:textId="77777777" w:rsidR="00472BAD" w:rsidRPr="00147C54" w:rsidRDefault="00472BAD" w:rsidP="00AD3606">
            <w:pPr>
              <w:tabs>
                <w:tab w:val="left" w:pos="851"/>
              </w:tabs>
              <w:spacing w:before="0" w:line="240" w:lineRule="atLeast"/>
              <w:jc w:val="right"/>
              <w:rPr>
                <w:b/>
              </w:rPr>
            </w:pPr>
          </w:p>
        </w:tc>
      </w:tr>
      <w:tr w:rsidR="00AD3606" w:rsidRPr="002016B1" w14:paraId="7FB28110" w14:textId="77777777" w:rsidTr="00AD3606">
        <w:trPr>
          <w:cantSplit/>
        </w:trPr>
        <w:tc>
          <w:tcPr>
            <w:tcW w:w="9214" w:type="dxa"/>
            <w:gridSpan w:val="2"/>
            <w:tcMar>
              <w:left w:w="0" w:type="dxa"/>
            </w:tcMar>
          </w:tcPr>
          <w:p w14:paraId="75E8D14E" w14:textId="0961B192" w:rsidR="00AD3606" w:rsidRPr="00F6006F" w:rsidRDefault="002016B1" w:rsidP="00E4728B">
            <w:pPr>
              <w:pStyle w:val="Source"/>
              <w:framePr w:hSpace="0" w:wrap="auto" w:vAnchor="margin" w:hAnchor="text" w:xAlign="left" w:yAlign="inline"/>
              <w:rPr>
                <w:lang w:val="en-US"/>
              </w:rPr>
            </w:pPr>
            <w:bookmarkStart w:id="8" w:name="dsource" w:colFirst="0" w:colLast="0"/>
            <w:bookmarkEnd w:id="7"/>
            <w:r>
              <w:rPr>
                <w:lang w:val="en-US"/>
              </w:rPr>
              <w:t>Contribution</w:t>
            </w:r>
            <w:r w:rsidRPr="002016B1">
              <w:t xml:space="preserve"> </w:t>
            </w:r>
            <w:r>
              <w:rPr>
                <w:lang w:val="en-US"/>
              </w:rPr>
              <w:t>by</w:t>
            </w:r>
            <w:r w:rsidRPr="002016B1">
              <w:t xml:space="preserve"> </w:t>
            </w:r>
            <w:r>
              <w:rPr>
                <w:lang w:val="en-US"/>
              </w:rPr>
              <w:t>the</w:t>
            </w:r>
            <w:r w:rsidRPr="002016B1">
              <w:t xml:space="preserve"> </w:t>
            </w:r>
            <w:r>
              <w:rPr>
                <w:lang w:val="en-US"/>
              </w:rPr>
              <w:t>Regional</w:t>
            </w:r>
            <w:r w:rsidRPr="002016B1">
              <w:t xml:space="preserve"> </w:t>
            </w:r>
            <w:r>
              <w:rPr>
                <w:lang w:val="en-US"/>
              </w:rPr>
              <w:t>Commonwealth</w:t>
            </w:r>
            <w:r w:rsidRPr="002016B1">
              <w:t xml:space="preserve"> </w:t>
            </w:r>
            <w:r>
              <w:rPr>
                <w:lang w:val="en-US"/>
              </w:rPr>
              <w:t>in</w:t>
            </w:r>
            <w:r w:rsidRPr="002016B1">
              <w:t xml:space="preserve"> </w:t>
            </w:r>
            <w:r>
              <w:rPr>
                <w:lang w:val="en-US"/>
              </w:rPr>
              <w:t>the</w:t>
            </w:r>
            <w:r w:rsidRPr="002016B1">
              <w:t xml:space="preserve"> </w:t>
            </w:r>
            <w:r>
              <w:rPr>
                <w:lang w:val="en-US"/>
              </w:rPr>
              <w:t>Field</w:t>
            </w:r>
            <w:r w:rsidRPr="002016B1">
              <w:t xml:space="preserve"> </w:t>
            </w:r>
            <w:r>
              <w:rPr>
                <w:lang w:val="en-US"/>
              </w:rPr>
              <w:t>of</w:t>
            </w:r>
            <w:r w:rsidRPr="002016B1">
              <w:t xml:space="preserve"> </w:t>
            </w:r>
            <w:r w:rsidRPr="007B0A05">
              <w:rPr>
                <w:spacing w:val="-2"/>
                <w:lang w:val="en-US"/>
              </w:rPr>
              <w:t>Communications</w:t>
            </w:r>
            <w:r w:rsidR="006973C8" w:rsidRPr="007B0A05">
              <w:rPr>
                <w:spacing w:val="-2"/>
              </w:rPr>
              <w:t xml:space="preserve"> </w:t>
            </w:r>
            <w:r w:rsidR="007B0A05" w:rsidRPr="007B0A05">
              <w:rPr>
                <w:spacing w:val="-2"/>
              </w:rPr>
              <w:t>(Executive Committee)</w:t>
            </w:r>
            <w:r w:rsidR="00905862" w:rsidRPr="007B0A05">
              <w:rPr>
                <w:rStyle w:val="FootnoteReference"/>
                <w:spacing w:val="-2"/>
                <w:lang w:val="ru-RU"/>
              </w:rPr>
              <w:footnoteReference w:id="1"/>
            </w:r>
            <w:r w:rsidR="007B0A05" w:rsidRPr="007B0A05">
              <w:rPr>
                <w:spacing w:val="-2"/>
              </w:rPr>
              <w:t xml:space="preserve">, </w:t>
            </w:r>
            <w:r w:rsidR="00EB5724">
              <w:rPr>
                <w:spacing w:val="-2"/>
              </w:rPr>
              <w:t xml:space="preserve">the Kyrgyz Republic, </w:t>
            </w:r>
            <w:r w:rsidR="007B0A05" w:rsidRPr="007B0A05">
              <w:rPr>
                <w:spacing w:val="-2"/>
              </w:rPr>
              <w:t>and Tajikistan (Republic of)</w:t>
            </w:r>
          </w:p>
        </w:tc>
      </w:tr>
      <w:tr w:rsidR="00AD3606" w:rsidRPr="002E0473" w14:paraId="02D4D1B9" w14:textId="77777777" w:rsidTr="00AD3606">
        <w:trPr>
          <w:cantSplit/>
        </w:trPr>
        <w:tc>
          <w:tcPr>
            <w:tcW w:w="9214" w:type="dxa"/>
            <w:gridSpan w:val="2"/>
            <w:tcMar>
              <w:left w:w="0" w:type="dxa"/>
            </w:tcMar>
          </w:tcPr>
          <w:p w14:paraId="7E0E3A05" w14:textId="46E86742" w:rsidR="00AD3606" w:rsidRPr="002E0473" w:rsidRDefault="002E0473" w:rsidP="00E4728B">
            <w:pPr>
              <w:pStyle w:val="Subtitle"/>
              <w:framePr w:hSpace="0" w:wrap="auto" w:xAlign="left" w:yAlign="inline"/>
              <w:rPr>
                <w:highlight w:val="yellow"/>
                <w:lang w:val="en-US"/>
              </w:rPr>
            </w:pPr>
            <w:bookmarkStart w:id="9" w:name="dtitle1" w:colFirst="0" w:colLast="0"/>
            <w:bookmarkEnd w:id="8"/>
            <w:r w:rsidRPr="002E0473">
              <w:rPr>
                <w:lang w:val="en-US"/>
              </w:rPr>
              <w:t xml:space="preserve">THE UNION'S HEADQUARTERS PREMISES PROJECT – </w:t>
            </w:r>
            <w:r w:rsidRPr="002E0473">
              <w:rPr>
                <w:rFonts w:ascii="Segoe UI" w:hAnsi="Segoe UI" w:cs="Segoe UI"/>
                <w:color w:val="404040"/>
                <w:sz w:val="24"/>
                <w:szCs w:val="20"/>
                <w:shd w:val="clear" w:color="auto" w:fill="FFFFFF"/>
              </w:rPr>
              <w:t xml:space="preserve"> </w:t>
            </w:r>
            <w:r w:rsidRPr="002E0473">
              <w:t>STREAMLINING THE DECISION-MAKING FOUNDATIONS OF THE UNION'S GOVERNING BODIES</w:t>
            </w:r>
          </w:p>
        </w:tc>
      </w:tr>
      <w:tr w:rsidR="00AD3606" w:rsidRPr="00730F83" w14:paraId="22154373" w14:textId="77777777" w:rsidTr="00AD3606">
        <w:trPr>
          <w:cantSplit/>
        </w:trPr>
        <w:tc>
          <w:tcPr>
            <w:tcW w:w="9214" w:type="dxa"/>
            <w:gridSpan w:val="2"/>
            <w:tcBorders>
              <w:top w:val="single" w:sz="4" w:space="0" w:color="auto"/>
              <w:bottom w:val="single" w:sz="4" w:space="0" w:color="auto"/>
            </w:tcBorders>
            <w:tcMar>
              <w:left w:w="0" w:type="dxa"/>
            </w:tcMar>
          </w:tcPr>
          <w:p w14:paraId="397E5C15" w14:textId="0411F9AE" w:rsidR="00AD3606" w:rsidRPr="001C5304" w:rsidRDefault="002016B1" w:rsidP="00F16BAB">
            <w:pPr>
              <w:spacing w:before="160"/>
              <w:rPr>
                <w:b/>
                <w:bCs/>
                <w:sz w:val="26"/>
                <w:szCs w:val="26"/>
                <w:lang w:val="en-US"/>
              </w:rPr>
            </w:pPr>
            <w:r>
              <w:rPr>
                <w:b/>
                <w:bCs/>
                <w:sz w:val="26"/>
                <w:szCs w:val="26"/>
                <w:lang w:val="en-US"/>
              </w:rPr>
              <w:t>Purpose</w:t>
            </w:r>
          </w:p>
          <w:p w14:paraId="42C617E8" w14:textId="0063D678" w:rsidR="002E0473" w:rsidRPr="002E0473" w:rsidRDefault="002E0473" w:rsidP="00667828">
            <w:pPr>
              <w:jc w:val="both"/>
              <w:rPr>
                <w:lang w:val="en-US"/>
              </w:rPr>
            </w:pPr>
            <w:r w:rsidRPr="002E0473">
              <w:t>Preparation of proposals for the Council and the Plenipotentiary Conference</w:t>
            </w:r>
            <w:r w:rsidRPr="002E0473">
              <w:rPr>
                <w:lang w:val="en-US"/>
              </w:rPr>
              <w:t xml:space="preserve"> </w:t>
            </w:r>
            <w:r w:rsidRPr="002E0473">
              <w:t>2026 to clarify Resolution 640 (C24),</w:t>
            </w:r>
            <w:r w:rsidRPr="002E0473">
              <w:rPr>
                <w:lang w:val="en-US"/>
              </w:rPr>
              <w:t xml:space="preserve"> </w:t>
            </w:r>
            <w:r>
              <w:rPr>
                <w:lang w:val="en-US"/>
              </w:rPr>
              <w:t>Decision</w:t>
            </w:r>
            <w:r w:rsidRPr="002E0473">
              <w:t xml:space="preserve"> 588 (C16), </w:t>
            </w:r>
            <w:r>
              <w:t>Decision</w:t>
            </w:r>
            <w:r w:rsidRPr="002E0473">
              <w:t xml:space="preserve"> 619 (C19, </w:t>
            </w:r>
            <w:r>
              <w:t>last</w:t>
            </w:r>
            <w:r w:rsidRPr="002E0473">
              <w:t xml:space="preserve"> amended C21), and Resolution 212 (Rev. Bucharest, 2022) of the Plenipotentiary Conference, with the aim of facilitating the successful implementation of the project and ensuring adequate facilities for ITU members in the future premises of the Union's new headquarters.</w:t>
            </w:r>
          </w:p>
          <w:p w14:paraId="5F9D7DC7" w14:textId="323C5BCD" w:rsidR="00AD3606" w:rsidRPr="001C5304" w:rsidRDefault="002016B1" w:rsidP="00F16BAB">
            <w:pPr>
              <w:spacing w:before="160"/>
              <w:rPr>
                <w:b/>
                <w:bCs/>
                <w:sz w:val="26"/>
                <w:szCs w:val="26"/>
                <w:lang w:val="en-US"/>
              </w:rPr>
            </w:pPr>
            <w:r>
              <w:rPr>
                <w:b/>
                <w:bCs/>
                <w:sz w:val="26"/>
                <w:szCs w:val="26"/>
                <w:lang w:val="en-US"/>
              </w:rPr>
              <w:t>Action</w:t>
            </w:r>
            <w:r w:rsidRPr="001C5304">
              <w:rPr>
                <w:b/>
                <w:bCs/>
                <w:sz w:val="26"/>
                <w:szCs w:val="26"/>
                <w:lang w:val="en-US"/>
              </w:rPr>
              <w:t xml:space="preserve"> </w:t>
            </w:r>
            <w:r>
              <w:rPr>
                <w:b/>
                <w:bCs/>
                <w:sz w:val="26"/>
                <w:szCs w:val="26"/>
                <w:lang w:val="en-US"/>
              </w:rPr>
              <w:t>required</w:t>
            </w:r>
          </w:p>
          <w:p w14:paraId="37EF32CE" w14:textId="1A064773" w:rsidR="0025570E" w:rsidRPr="002E0473" w:rsidRDefault="002E0473" w:rsidP="000F6AB8">
            <w:pPr>
              <w:spacing w:before="160"/>
              <w:rPr>
                <w:lang w:val="en-US"/>
              </w:rPr>
            </w:pPr>
            <w:r w:rsidRPr="002E0473">
              <w:t>The Council Working Group on financial and human resources is invited</w:t>
            </w:r>
            <w:r>
              <w:t xml:space="preserve"> </w:t>
            </w:r>
            <w:r w:rsidRPr="002E0473">
              <w:t xml:space="preserve">to </w:t>
            </w:r>
            <w:r w:rsidRPr="00667828">
              <w:rPr>
                <w:b/>
                <w:bCs/>
              </w:rPr>
              <w:t>consider</w:t>
            </w:r>
            <w:r w:rsidRPr="002E0473">
              <w:t xml:space="preserve"> the proposals contained in this contribution.</w:t>
            </w:r>
          </w:p>
          <w:p w14:paraId="6E7CD7CF" w14:textId="77777777" w:rsidR="00AD3606" w:rsidRPr="002E0473" w:rsidRDefault="00CD3C91" w:rsidP="00CD3C91">
            <w:pPr>
              <w:rPr>
                <w:lang w:val="en-US"/>
              </w:rPr>
            </w:pPr>
            <w:r w:rsidRPr="002E0473">
              <w:rPr>
                <w:lang w:val="en-US"/>
              </w:rPr>
              <w:t>_______________</w:t>
            </w:r>
          </w:p>
          <w:p w14:paraId="25A5466B" w14:textId="616C7154" w:rsidR="0060353C" w:rsidRPr="001C5304" w:rsidRDefault="002016B1" w:rsidP="0060353C">
            <w:pPr>
              <w:spacing w:before="160"/>
              <w:rPr>
                <w:i/>
                <w:iCs/>
                <w:sz w:val="26"/>
                <w:szCs w:val="26"/>
                <w:lang w:val="en-US"/>
              </w:rPr>
            </w:pPr>
            <w:r>
              <w:rPr>
                <w:b/>
                <w:bCs/>
                <w:sz w:val="26"/>
                <w:szCs w:val="26"/>
                <w:lang w:val="en-US"/>
              </w:rPr>
              <w:t>References</w:t>
            </w:r>
          </w:p>
          <w:p w14:paraId="536D45A2" w14:textId="40B54FFE" w:rsidR="00AD3606" w:rsidRPr="00537C2A" w:rsidRDefault="00667828" w:rsidP="0060353C">
            <w:pPr>
              <w:spacing w:before="160"/>
              <w:rPr>
                <w:i/>
                <w:iCs/>
                <w:sz w:val="22"/>
                <w:szCs w:val="22"/>
                <w:lang w:val="en-US"/>
              </w:rPr>
            </w:pPr>
            <w:r w:rsidRPr="00537C2A">
              <w:rPr>
                <w:i/>
                <w:iCs/>
                <w:sz w:val="22"/>
                <w:szCs w:val="22"/>
              </w:rPr>
              <w:t xml:space="preserve">Council documents </w:t>
            </w:r>
            <w:hyperlink r:id="rId11" w:history="1">
              <w:r w:rsidRPr="00537C2A">
                <w:rPr>
                  <w:rStyle w:val="Hyperlink"/>
                  <w:rFonts w:asciiTheme="minorHAnsi" w:hAnsiTheme="minorHAnsi" w:cstheme="minorHAnsi"/>
                  <w:i/>
                  <w:iCs/>
                  <w:sz w:val="22"/>
                  <w:szCs w:val="22"/>
                  <w:lang w:val="en-US"/>
                </w:rPr>
                <w:t>C16/7</w:t>
              </w:r>
            </w:hyperlink>
            <w:r w:rsidRPr="00537C2A">
              <w:rPr>
                <w:i/>
                <w:iCs/>
                <w:sz w:val="22"/>
                <w:szCs w:val="22"/>
              </w:rPr>
              <w:t xml:space="preserve">, </w:t>
            </w:r>
            <w:hyperlink r:id="rId12" w:history="1">
              <w:r w:rsidRPr="00537C2A">
                <w:rPr>
                  <w:rStyle w:val="Hyperlink"/>
                  <w:i/>
                  <w:iCs/>
                  <w:sz w:val="22"/>
                  <w:szCs w:val="22"/>
                </w:rPr>
                <w:t>C</w:t>
              </w:r>
              <w:r w:rsidRPr="00537C2A">
                <w:rPr>
                  <w:rStyle w:val="Hyperlink"/>
                  <w:i/>
                  <w:iCs/>
                  <w:sz w:val="22"/>
                  <w:szCs w:val="22"/>
                  <w:lang w:val="en-US"/>
                </w:rPr>
                <w:t>17/7</w:t>
              </w:r>
            </w:hyperlink>
            <w:r w:rsidRPr="00537C2A">
              <w:rPr>
                <w:i/>
                <w:iCs/>
                <w:sz w:val="22"/>
                <w:szCs w:val="22"/>
              </w:rPr>
              <w:t xml:space="preserve">, </w:t>
            </w:r>
            <w:hyperlink r:id="rId13" w:history="1">
              <w:r w:rsidRPr="00537C2A">
                <w:rPr>
                  <w:rStyle w:val="Hyperlink"/>
                  <w:rFonts w:asciiTheme="minorHAnsi" w:hAnsiTheme="minorHAnsi" w:cstheme="minorHAnsi"/>
                  <w:i/>
                  <w:iCs/>
                  <w:sz w:val="22"/>
                  <w:szCs w:val="22"/>
                  <w:lang w:val="en-US"/>
                </w:rPr>
                <w:t>C18/123 + Add 1</w:t>
              </w:r>
            </w:hyperlink>
            <w:r w:rsidRPr="00537C2A">
              <w:rPr>
                <w:i/>
                <w:iCs/>
                <w:sz w:val="22"/>
                <w:szCs w:val="22"/>
              </w:rPr>
              <w:t xml:space="preserve">, </w:t>
            </w:r>
            <w:hyperlink r:id="rId14" w:history="1">
              <w:r w:rsidRPr="00537C2A">
                <w:rPr>
                  <w:rStyle w:val="Hyperlink"/>
                  <w:i/>
                  <w:iCs/>
                  <w:sz w:val="22"/>
                  <w:szCs w:val="22"/>
                </w:rPr>
                <w:t>C19/76</w:t>
              </w:r>
            </w:hyperlink>
            <w:r w:rsidRPr="00537C2A">
              <w:rPr>
                <w:i/>
                <w:iCs/>
                <w:sz w:val="22"/>
                <w:szCs w:val="22"/>
              </w:rPr>
              <w:t xml:space="preserve">, </w:t>
            </w:r>
            <w:hyperlink r:id="rId15" w:history="1">
              <w:r w:rsidRPr="00537C2A">
                <w:rPr>
                  <w:rStyle w:val="Hyperlink"/>
                  <w:i/>
                  <w:iCs/>
                  <w:sz w:val="22"/>
                  <w:szCs w:val="22"/>
                  <w:lang w:val="en-US"/>
                </w:rPr>
                <w:t>C19/120</w:t>
              </w:r>
            </w:hyperlink>
            <w:r w:rsidRPr="00537C2A">
              <w:rPr>
                <w:i/>
                <w:iCs/>
                <w:sz w:val="22"/>
                <w:szCs w:val="22"/>
              </w:rPr>
              <w:t xml:space="preserve">, </w:t>
            </w:r>
            <w:hyperlink r:id="rId16" w:history="1">
              <w:r w:rsidRPr="00537C2A">
                <w:rPr>
                  <w:rStyle w:val="Hyperlink"/>
                  <w:rFonts w:asciiTheme="minorHAnsi" w:hAnsiTheme="minorHAnsi" w:cstheme="minorHAnsi"/>
                  <w:i/>
                  <w:iCs/>
                  <w:sz w:val="22"/>
                  <w:szCs w:val="22"/>
                  <w:lang w:val="en-US"/>
                </w:rPr>
                <w:t>C19/DL/12</w:t>
              </w:r>
            </w:hyperlink>
            <w:r w:rsidRPr="00537C2A">
              <w:rPr>
                <w:i/>
                <w:iCs/>
                <w:sz w:val="22"/>
                <w:szCs w:val="22"/>
              </w:rPr>
              <w:t xml:space="preserve">, </w:t>
            </w:r>
            <w:hyperlink r:id="rId17" w:history="1">
              <w:r w:rsidRPr="00537C2A">
                <w:rPr>
                  <w:rStyle w:val="Hyperlink"/>
                  <w:rFonts w:asciiTheme="minorHAnsi" w:hAnsiTheme="minorHAnsi" w:cstheme="minorHAnsi"/>
                  <w:i/>
                  <w:iCs/>
                  <w:sz w:val="22"/>
                  <w:szCs w:val="22"/>
                  <w:lang w:val="en-US"/>
                </w:rPr>
                <w:t>C19</w:t>
              </w:r>
              <w:r w:rsidRPr="00537C2A">
                <w:rPr>
                  <w:rStyle w:val="Hyperlink"/>
                  <w:rFonts w:asciiTheme="minorHAnsi" w:hAnsiTheme="minorHAnsi" w:cstheme="minorHAnsi"/>
                  <w:i/>
                  <w:iCs/>
                  <w:sz w:val="22"/>
                  <w:szCs w:val="22"/>
                  <w:lang w:val="en-US"/>
                </w:rPr>
                <w:noBreakHyphen/>
                <w:t>ADD/2(Rev.1)</w:t>
              </w:r>
            </w:hyperlink>
            <w:hyperlink r:id="rId18" w:history="1"/>
            <w:r w:rsidR="00905862" w:rsidRPr="00537C2A">
              <w:rPr>
                <w:i/>
                <w:iCs/>
                <w:sz w:val="22"/>
                <w:szCs w:val="22"/>
                <w:lang w:val="en-US"/>
              </w:rPr>
              <w:t>,</w:t>
            </w:r>
            <w:r w:rsidRPr="00537C2A">
              <w:rPr>
                <w:i/>
                <w:iCs/>
                <w:sz w:val="22"/>
                <w:szCs w:val="22"/>
                <w:lang w:val="en-US"/>
              </w:rPr>
              <w:t xml:space="preserve"> </w:t>
            </w:r>
            <w:hyperlink r:id="rId19" w:history="1">
              <w:bookmarkStart w:id="10" w:name="_Hlk90289798"/>
              <w:r w:rsidRPr="00537C2A">
                <w:rPr>
                  <w:rStyle w:val="Hyperlink"/>
                  <w:rFonts w:asciiTheme="minorHAnsi" w:hAnsiTheme="minorHAnsi" w:cstheme="minorHAnsi"/>
                  <w:i/>
                  <w:iCs/>
                  <w:sz w:val="22"/>
                  <w:szCs w:val="22"/>
                  <w:lang w:val="en-US"/>
                </w:rPr>
                <w:t>C20/7(Rev.1)</w:t>
              </w:r>
              <w:bookmarkEnd w:id="10"/>
            </w:hyperlink>
            <w:r w:rsidRPr="00537C2A">
              <w:rPr>
                <w:i/>
                <w:iCs/>
                <w:sz w:val="22"/>
                <w:szCs w:val="22"/>
              </w:rPr>
              <w:t xml:space="preserve">, </w:t>
            </w:r>
            <w:hyperlink r:id="rId20" w:history="1">
              <w:r w:rsidRPr="00537C2A">
                <w:rPr>
                  <w:rStyle w:val="Hyperlink"/>
                  <w:rFonts w:asciiTheme="minorHAnsi" w:hAnsiTheme="minorHAnsi" w:cstheme="minorHAnsi"/>
                  <w:i/>
                  <w:iCs/>
                  <w:spacing w:val="-4"/>
                  <w:sz w:val="22"/>
                  <w:szCs w:val="22"/>
                  <w:lang w:val="en-US"/>
                </w:rPr>
                <w:t>C21/7</w:t>
              </w:r>
            </w:hyperlink>
            <w:r w:rsidRPr="00537C2A">
              <w:rPr>
                <w:i/>
                <w:iCs/>
                <w:sz w:val="22"/>
                <w:szCs w:val="22"/>
              </w:rPr>
              <w:t xml:space="preserve">, </w:t>
            </w:r>
            <w:hyperlink r:id="rId21" w:history="1">
              <w:r w:rsidRPr="00537C2A">
                <w:rPr>
                  <w:rStyle w:val="Hyperlink"/>
                  <w:rFonts w:cstheme="minorHAnsi"/>
                  <w:i/>
                  <w:iCs/>
                  <w:sz w:val="22"/>
                  <w:szCs w:val="22"/>
                  <w:lang w:val="en-US"/>
                </w:rPr>
                <w:t>C23/104(Rev.1</w:t>
              </w:r>
            </w:hyperlink>
            <w:r w:rsidRPr="00537C2A">
              <w:rPr>
                <w:rStyle w:val="Hyperlink"/>
                <w:rFonts w:cstheme="minorHAnsi"/>
                <w:i/>
                <w:iCs/>
                <w:sz w:val="22"/>
                <w:szCs w:val="22"/>
                <w:lang w:val="en-US"/>
              </w:rPr>
              <w:t>)</w:t>
            </w:r>
            <w:r w:rsidR="00905862" w:rsidRPr="00537C2A">
              <w:rPr>
                <w:i/>
                <w:iCs/>
                <w:sz w:val="22"/>
                <w:szCs w:val="22"/>
                <w:lang w:val="en-US"/>
              </w:rPr>
              <w:t xml:space="preserve"> </w:t>
            </w:r>
            <w:r w:rsidRPr="00537C2A">
              <w:rPr>
                <w:i/>
                <w:iCs/>
                <w:sz w:val="22"/>
                <w:szCs w:val="22"/>
                <w:lang w:val="en-US"/>
              </w:rPr>
              <w:t xml:space="preserve">, </w:t>
            </w:r>
            <w:hyperlink r:id="rId22" w:history="1">
              <w:r w:rsidRPr="00537C2A">
                <w:rPr>
                  <w:rStyle w:val="Hyperlink"/>
                  <w:i/>
                  <w:iCs/>
                  <w:sz w:val="22"/>
                  <w:szCs w:val="22"/>
                  <w:lang w:val="en-US"/>
                </w:rPr>
                <w:t>C23-ADD/5(Rev.1)</w:t>
              </w:r>
            </w:hyperlink>
            <w:r w:rsidRPr="00537C2A">
              <w:rPr>
                <w:i/>
                <w:iCs/>
                <w:sz w:val="22"/>
                <w:szCs w:val="22"/>
              </w:rPr>
              <w:t xml:space="preserve">, </w:t>
            </w:r>
            <w:hyperlink r:id="rId23" w:history="1">
              <w:r w:rsidRPr="00537C2A">
                <w:rPr>
                  <w:rStyle w:val="Hyperlink"/>
                  <w:i/>
                  <w:iCs/>
                  <w:sz w:val="22"/>
                  <w:szCs w:val="22"/>
                  <w:lang w:val="en-US"/>
                </w:rPr>
                <w:t>C25/83</w:t>
              </w:r>
            </w:hyperlink>
            <w:r w:rsidRPr="00537C2A">
              <w:rPr>
                <w:i/>
                <w:iCs/>
                <w:sz w:val="22"/>
                <w:szCs w:val="22"/>
              </w:rPr>
              <w:t xml:space="preserve">; </w:t>
            </w:r>
            <w:hyperlink r:id="rId24" w:history="1">
              <w:r w:rsidR="00730F83" w:rsidRPr="00537C2A">
                <w:rPr>
                  <w:rStyle w:val="Hyperlink"/>
                  <w:i/>
                  <w:iCs/>
                  <w:sz w:val="22"/>
                  <w:szCs w:val="22"/>
                  <w:lang w:val="it-IT"/>
                </w:rPr>
                <w:t>Document CWG-FHR-17/19</w:t>
              </w:r>
            </w:hyperlink>
            <w:r w:rsidRPr="00537C2A">
              <w:rPr>
                <w:i/>
                <w:iCs/>
                <w:sz w:val="22"/>
                <w:szCs w:val="22"/>
              </w:rPr>
              <w:t>;</w:t>
            </w:r>
            <w:r w:rsidR="0001120A" w:rsidRPr="00537C2A">
              <w:rPr>
                <w:i/>
                <w:iCs/>
                <w:sz w:val="22"/>
                <w:szCs w:val="22"/>
                <w:lang w:val="en-US"/>
              </w:rPr>
              <w:t xml:space="preserve"> </w:t>
            </w:r>
            <w:hyperlink r:id="rId25" w:history="1">
              <w:r w:rsidRPr="00537C2A">
                <w:rPr>
                  <w:rStyle w:val="Hyperlink"/>
                  <w:i/>
                  <w:iCs/>
                  <w:sz w:val="22"/>
                  <w:szCs w:val="22"/>
                  <w:lang w:val="en-US"/>
                </w:rPr>
                <w:t>Document C</w:t>
              </w:r>
              <w:r w:rsidR="00905862" w:rsidRPr="00537C2A">
                <w:rPr>
                  <w:rStyle w:val="Hyperlink"/>
                  <w:i/>
                  <w:iCs/>
                  <w:sz w:val="22"/>
                  <w:szCs w:val="22"/>
                  <w:lang w:val="en-US"/>
                </w:rPr>
                <w:t>WG-HQP/2/2</w:t>
              </w:r>
            </w:hyperlink>
            <w:r w:rsidRPr="00537C2A">
              <w:rPr>
                <w:i/>
                <w:iCs/>
                <w:sz w:val="22"/>
                <w:szCs w:val="22"/>
              </w:rPr>
              <w:t>;</w:t>
            </w:r>
            <w:r w:rsidR="00905862" w:rsidRPr="00537C2A">
              <w:rPr>
                <w:i/>
                <w:iCs/>
                <w:color w:val="0000FF"/>
                <w:sz w:val="22"/>
                <w:szCs w:val="22"/>
                <w:lang w:val="en-US"/>
              </w:rPr>
              <w:t xml:space="preserve"> </w:t>
            </w:r>
            <w:hyperlink r:id="rId26" w:history="1">
              <w:r w:rsidR="00730F83" w:rsidRPr="00537C2A">
                <w:rPr>
                  <w:rStyle w:val="Hyperlink"/>
                  <w:rFonts w:asciiTheme="minorHAnsi" w:hAnsiTheme="minorHAnsi" w:cstheme="minorHAnsi"/>
                  <w:i/>
                  <w:iCs/>
                  <w:sz w:val="22"/>
                  <w:szCs w:val="22"/>
                  <w:lang w:val="en-US"/>
                </w:rPr>
                <w:t>Council Decision 58</w:t>
              </w:r>
              <w:r w:rsidRPr="00537C2A">
                <w:rPr>
                  <w:rStyle w:val="Hyperlink"/>
                  <w:rFonts w:asciiTheme="minorHAnsi" w:hAnsiTheme="minorHAnsi" w:cstheme="minorHAnsi"/>
                  <w:i/>
                  <w:iCs/>
                  <w:sz w:val="22"/>
                  <w:szCs w:val="22"/>
                  <w:lang w:val="en-US"/>
                </w:rPr>
                <w:t>8 (C16)</w:t>
              </w:r>
            </w:hyperlink>
            <w:r w:rsidRPr="00537C2A">
              <w:rPr>
                <w:i/>
                <w:iCs/>
                <w:sz w:val="22"/>
                <w:szCs w:val="22"/>
              </w:rPr>
              <w:t xml:space="preserve">, </w:t>
            </w:r>
            <w:hyperlink r:id="rId27" w:history="1">
              <w:r w:rsidR="00730F83" w:rsidRPr="00537C2A">
                <w:rPr>
                  <w:rStyle w:val="Hyperlink"/>
                  <w:rFonts w:asciiTheme="minorHAnsi" w:hAnsiTheme="minorHAnsi" w:cstheme="minorHAnsi"/>
                  <w:i/>
                  <w:iCs/>
                  <w:sz w:val="22"/>
                  <w:szCs w:val="22"/>
                  <w:lang w:val="en-US"/>
                </w:rPr>
                <w:t>Council Decision 619</w:t>
              </w:r>
            </w:hyperlink>
            <w:r w:rsidR="00905862" w:rsidRPr="00537C2A">
              <w:rPr>
                <w:rStyle w:val="Hyperlink"/>
                <w:rFonts w:asciiTheme="minorHAnsi" w:hAnsiTheme="minorHAnsi" w:cstheme="minorHAnsi"/>
                <w:i/>
                <w:iCs/>
                <w:sz w:val="22"/>
                <w:szCs w:val="22"/>
                <w:lang w:val="en-US"/>
              </w:rPr>
              <w:t xml:space="preserve"> </w:t>
            </w:r>
            <w:r w:rsidR="00905862" w:rsidRPr="00537C2A">
              <w:rPr>
                <w:rStyle w:val="Hyperlink"/>
                <w:i/>
                <w:iCs/>
                <w:sz w:val="22"/>
                <w:szCs w:val="22"/>
                <w:lang w:val="en-US"/>
              </w:rPr>
              <w:t>(C19)</w:t>
            </w:r>
            <w:r w:rsidR="00730F83" w:rsidRPr="00537C2A">
              <w:rPr>
                <w:rStyle w:val="Hyperlink"/>
                <w:i/>
                <w:iCs/>
                <w:sz w:val="22"/>
                <w:szCs w:val="22"/>
              </w:rPr>
              <w:t xml:space="preserve"> and</w:t>
            </w:r>
            <w:r w:rsidR="00905862" w:rsidRPr="00537C2A">
              <w:rPr>
                <w:rStyle w:val="Hyperlink"/>
                <w:i/>
                <w:iCs/>
                <w:sz w:val="22"/>
                <w:szCs w:val="22"/>
                <w:lang w:val="en-US"/>
              </w:rPr>
              <w:t xml:space="preserve"> </w:t>
            </w:r>
            <w:hyperlink r:id="rId28" w:history="1">
              <w:r w:rsidR="00730F83" w:rsidRPr="00537C2A">
                <w:rPr>
                  <w:rStyle w:val="Hyperlink"/>
                  <w:rFonts w:asciiTheme="minorHAnsi" w:hAnsiTheme="minorHAnsi" w:cstheme="minorHAnsi"/>
                  <w:i/>
                  <w:iCs/>
                  <w:spacing w:val="-4"/>
                  <w:sz w:val="22"/>
                  <w:szCs w:val="22"/>
                  <w:lang w:val="en-US"/>
                </w:rPr>
                <w:t>Decision 619 (C19, last amended C21)</w:t>
              </w:r>
            </w:hyperlink>
            <w:r w:rsidRPr="00537C2A">
              <w:rPr>
                <w:rStyle w:val="Hyperlink"/>
                <w:i/>
                <w:iCs/>
                <w:color w:val="auto"/>
                <w:sz w:val="22"/>
                <w:szCs w:val="22"/>
                <w:u w:val="none"/>
                <w:lang w:val="en-US"/>
              </w:rPr>
              <w:t>,</w:t>
            </w:r>
            <w:r w:rsidR="00905862" w:rsidRPr="00537C2A">
              <w:rPr>
                <w:i/>
                <w:iCs/>
                <w:sz w:val="22"/>
                <w:szCs w:val="22"/>
                <w:lang w:val="en-US"/>
              </w:rPr>
              <w:t xml:space="preserve"> </w:t>
            </w:r>
            <w:hyperlink r:id="rId29" w:history="1">
              <w:r w:rsidR="00537C2A" w:rsidRPr="00537C2A">
                <w:rPr>
                  <w:rStyle w:val="Hyperlink"/>
                  <w:i/>
                  <w:iCs/>
                  <w:sz w:val="22"/>
                  <w:szCs w:val="22"/>
                  <w:lang w:val="en-US"/>
                </w:rPr>
                <w:t>Council D</w:t>
              </w:r>
              <w:r w:rsidR="00730F83" w:rsidRPr="00537C2A">
                <w:rPr>
                  <w:rStyle w:val="Hyperlink"/>
                  <w:i/>
                  <w:iCs/>
                  <w:sz w:val="22"/>
                  <w:szCs w:val="22"/>
                  <w:lang w:val="en-US"/>
                </w:rPr>
                <w:t>ecision</w:t>
              </w:r>
              <w:r w:rsidR="00905862" w:rsidRPr="00537C2A">
                <w:rPr>
                  <w:rStyle w:val="Hyperlink"/>
                  <w:i/>
                  <w:iCs/>
                  <w:sz w:val="22"/>
                  <w:szCs w:val="22"/>
                  <w:lang w:val="en-US"/>
                </w:rPr>
                <w:t xml:space="preserve"> 640 (</w:t>
              </w:r>
              <w:r w:rsidR="00730F83" w:rsidRPr="00537C2A">
                <w:rPr>
                  <w:rStyle w:val="Hyperlink"/>
                  <w:i/>
                  <w:iCs/>
                  <w:sz w:val="22"/>
                  <w:szCs w:val="22"/>
                  <w:lang w:val="en-US"/>
                </w:rPr>
                <w:t>C24</w:t>
              </w:r>
              <w:r w:rsidR="00537C2A" w:rsidRPr="00537C2A">
                <w:rPr>
                  <w:rStyle w:val="Hyperlink"/>
                  <w:i/>
                  <w:iCs/>
                  <w:sz w:val="22"/>
                  <w:szCs w:val="22"/>
                  <w:lang w:val="en-US"/>
                </w:rPr>
                <w:t>)</w:t>
              </w:r>
            </w:hyperlink>
            <w:r w:rsidR="00905862" w:rsidRPr="00537C2A">
              <w:rPr>
                <w:i/>
                <w:iCs/>
                <w:sz w:val="22"/>
                <w:szCs w:val="22"/>
                <w:lang w:val="en-US"/>
              </w:rPr>
              <w:t xml:space="preserve">, </w:t>
            </w:r>
            <w:hyperlink r:id="rId30" w:history="1">
              <w:r w:rsidRPr="00537C2A">
                <w:rPr>
                  <w:rStyle w:val="Hyperlink"/>
                  <w:rFonts w:asciiTheme="minorHAnsi" w:hAnsiTheme="minorHAnsi" w:cstheme="minorHAnsi"/>
                  <w:i/>
                  <w:iCs/>
                  <w:sz w:val="22"/>
                  <w:szCs w:val="22"/>
                  <w:lang w:val="en-US"/>
                </w:rPr>
                <w:t>Resolution 212 (Dubai, 2018.)</w:t>
              </w:r>
            </w:hyperlink>
            <w:r w:rsidR="00537C2A" w:rsidRPr="00537C2A">
              <w:rPr>
                <w:i/>
                <w:iCs/>
                <w:sz w:val="22"/>
                <w:szCs w:val="22"/>
              </w:rPr>
              <w:t xml:space="preserve"> and</w:t>
            </w:r>
            <w:r w:rsidRPr="00537C2A">
              <w:rPr>
                <w:i/>
                <w:iCs/>
                <w:color w:val="0000FF"/>
                <w:sz w:val="22"/>
                <w:szCs w:val="22"/>
                <w:lang w:val="en-US"/>
              </w:rPr>
              <w:t xml:space="preserve"> </w:t>
            </w:r>
            <w:hyperlink r:id="rId31" w:history="1">
              <w:r w:rsidRPr="00537C2A">
                <w:rPr>
                  <w:rStyle w:val="Hyperlink"/>
                  <w:i/>
                  <w:iCs/>
                  <w:sz w:val="22"/>
                  <w:szCs w:val="22"/>
                  <w:lang w:val="en-US"/>
                </w:rPr>
                <w:t>Resolution 212 (Rev. Bucharest, 2022)</w:t>
              </w:r>
              <w:r w:rsidR="00537C2A" w:rsidRPr="00537C2A">
                <w:rPr>
                  <w:rStyle w:val="Hyperlink"/>
                  <w:i/>
                  <w:iCs/>
                  <w:sz w:val="22"/>
                  <w:szCs w:val="22"/>
                  <w:lang w:val="en-US"/>
                </w:rPr>
                <w:t xml:space="preserve"> of the Plenipotentiary Conference</w:t>
              </w:r>
            </w:hyperlink>
            <w:r w:rsidR="00537C2A" w:rsidRPr="00537C2A">
              <w:rPr>
                <w:i/>
                <w:iCs/>
                <w:sz w:val="22"/>
                <w:szCs w:val="22"/>
              </w:rPr>
              <w:t xml:space="preserve">; </w:t>
            </w:r>
            <w:hyperlink r:id="rId32" w:history="1">
              <w:r w:rsidRPr="00537C2A">
                <w:rPr>
                  <w:rStyle w:val="Hyperlink"/>
                  <w:i/>
                  <w:iCs/>
                  <w:sz w:val="22"/>
                  <w:szCs w:val="22"/>
                  <w:lang w:val="en-US"/>
                </w:rPr>
                <w:t>Architectural design competition «NEW BUILDING – ITU GENEVA» 14.04.2017 No. 1.15.02</w:t>
              </w:r>
            </w:hyperlink>
            <w:r w:rsidR="00537C2A" w:rsidRPr="00537C2A">
              <w:rPr>
                <w:i/>
                <w:iCs/>
                <w:sz w:val="22"/>
                <w:szCs w:val="22"/>
              </w:rPr>
              <w:t>.</w:t>
            </w:r>
          </w:p>
        </w:tc>
      </w:tr>
    </w:tbl>
    <w:p w14:paraId="5D6745EF" w14:textId="77777777" w:rsidR="0090147A" w:rsidRPr="00730F83" w:rsidRDefault="0090147A">
      <w:pPr>
        <w:tabs>
          <w:tab w:val="clear" w:pos="567"/>
          <w:tab w:val="clear" w:pos="1134"/>
          <w:tab w:val="clear" w:pos="1701"/>
          <w:tab w:val="clear" w:pos="2268"/>
          <w:tab w:val="clear" w:pos="2835"/>
        </w:tabs>
        <w:overflowPunct/>
        <w:autoSpaceDE/>
        <w:autoSpaceDN/>
        <w:adjustRightInd/>
        <w:spacing w:before="0"/>
        <w:textAlignment w:val="auto"/>
        <w:rPr>
          <w:b/>
          <w:lang w:val="en-US"/>
        </w:rPr>
      </w:pPr>
      <w:bookmarkStart w:id="11" w:name="_Hlk133421428"/>
      <w:bookmarkEnd w:id="2"/>
      <w:bookmarkEnd w:id="3"/>
      <w:bookmarkEnd w:id="4"/>
      <w:bookmarkEnd w:id="9"/>
      <w:r w:rsidRPr="00730F83">
        <w:rPr>
          <w:lang w:val="en-US"/>
        </w:rPr>
        <w:br w:type="page"/>
      </w:r>
    </w:p>
    <w:bookmarkEnd w:id="5"/>
    <w:bookmarkEnd w:id="11"/>
    <w:p w14:paraId="5F272765" w14:textId="05B85970" w:rsidR="0010381E" w:rsidRPr="00104507" w:rsidRDefault="00730F83" w:rsidP="00537C2A">
      <w:pPr>
        <w:pStyle w:val="ListParagraph"/>
        <w:numPr>
          <w:ilvl w:val="0"/>
          <w:numId w:val="2"/>
        </w:numPr>
        <w:tabs>
          <w:tab w:val="clear" w:pos="567"/>
          <w:tab w:val="clear" w:pos="1134"/>
          <w:tab w:val="clear" w:pos="1701"/>
          <w:tab w:val="clear" w:pos="2268"/>
          <w:tab w:val="clear" w:pos="2835"/>
        </w:tabs>
        <w:overflowPunct/>
        <w:autoSpaceDE/>
        <w:autoSpaceDN/>
        <w:adjustRightInd/>
        <w:spacing w:after="120"/>
        <w:ind w:left="0" w:firstLine="709"/>
        <w:contextualSpacing w:val="0"/>
        <w:textAlignment w:val="auto"/>
        <w:rPr>
          <w:b/>
          <w:lang w:val="ru-RU"/>
        </w:rPr>
      </w:pPr>
      <w:r>
        <w:rPr>
          <w:b/>
          <w:lang w:val="en-US"/>
        </w:rPr>
        <w:lastRenderedPageBreak/>
        <w:t>GENERAL INFORMATION</w:t>
      </w:r>
    </w:p>
    <w:p w14:paraId="7C1F297A" w14:textId="3FD4C96D" w:rsidR="0010381E" w:rsidRPr="00104507" w:rsidRDefault="0010381E" w:rsidP="00537C2A">
      <w:pPr>
        <w:tabs>
          <w:tab w:val="clear" w:pos="567"/>
          <w:tab w:val="clear" w:pos="1134"/>
          <w:tab w:val="clear" w:pos="1701"/>
          <w:tab w:val="clear" w:pos="2268"/>
          <w:tab w:val="clear" w:pos="2835"/>
        </w:tabs>
        <w:overflowPunct/>
        <w:autoSpaceDE/>
        <w:autoSpaceDN/>
        <w:adjustRightInd/>
        <w:spacing w:before="240" w:after="120"/>
        <w:ind w:firstLine="709"/>
        <w:jc w:val="both"/>
        <w:textAlignment w:val="auto"/>
        <w:rPr>
          <w:b/>
          <w:lang w:val="ru-RU"/>
        </w:rPr>
      </w:pPr>
      <w:r w:rsidRPr="00104507">
        <w:rPr>
          <w:b/>
          <w:lang w:val="ru-RU"/>
        </w:rPr>
        <w:t>1. </w:t>
      </w:r>
      <w:r w:rsidR="002016B1">
        <w:rPr>
          <w:b/>
          <w:lang w:val="en-US"/>
        </w:rPr>
        <w:t>Plenipotentiary Conference</w:t>
      </w:r>
      <w:r w:rsidRPr="00104507">
        <w:rPr>
          <w:b/>
          <w:lang w:val="ru-RU"/>
        </w:rPr>
        <w:t>.</w:t>
      </w:r>
    </w:p>
    <w:p w14:paraId="52871AB7" w14:textId="4AE21600" w:rsidR="0010381E" w:rsidRPr="00F12A69" w:rsidRDefault="0010381E"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F12A69">
        <w:rPr>
          <w:lang w:val="en-US"/>
        </w:rPr>
        <w:t>1.1. </w:t>
      </w:r>
      <w:r w:rsidR="00F12A69" w:rsidRPr="00F12A69">
        <w:t>The</w:t>
      </w:r>
      <w:r w:rsidR="00F12A69" w:rsidRPr="00F12A69">
        <w:rPr>
          <w:lang w:val="en-US"/>
        </w:rPr>
        <w:t xml:space="preserve"> </w:t>
      </w:r>
      <w:r w:rsidR="00F12A69" w:rsidRPr="00F12A69">
        <w:t>Plenipotentiary</w:t>
      </w:r>
      <w:r w:rsidR="00F12A69" w:rsidRPr="00F12A69">
        <w:rPr>
          <w:lang w:val="en-US"/>
        </w:rPr>
        <w:t xml:space="preserve"> </w:t>
      </w:r>
      <w:r w:rsidR="00F12A69" w:rsidRPr="00F12A69">
        <w:t>Conference</w:t>
      </w:r>
      <w:r w:rsidR="00F12A69" w:rsidRPr="00F12A69">
        <w:rPr>
          <w:lang w:val="en-US"/>
        </w:rPr>
        <w:t xml:space="preserve"> 2022 </w:t>
      </w:r>
      <w:r w:rsidR="00F12A69">
        <w:rPr>
          <w:lang w:val="en-US"/>
        </w:rPr>
        <w:t>revised</w:t>
      </w:r>
      <w:r w:rsidR="00F12A69" w:rsidRPr="00F12A69">
        <w:rPr>
          <w:lang w:val="en-US"/>
        </w:rPr>
        <w:t xml:space="preserve"> </w:t>
      </w:r>
      <w:r w:rsidR="00F12A69">
        <w:rPr>
          <w:lang w:val="en-US"/>
        </w:rPr>
        <w:t>Resolution</w:t>
      </w:r>
      <w:r w:rsidR="00F12A69" w:rsidRPr="00F12A69">
        <w:rPr>
          <w:lang w:val="en-US"/>
        </w:rPr>
        <w:t xml:space="preserve"> 212 (</w:t>
      </w:r>
      <w:r w:rsidR="00F12A69">
        <w:rPr>
          <w:lang w:val="en-US"/>
        </w:rPr>
        <w:t>Rev</w:t>
      </w:r>
      <w:r w:rsidR="00F12A69" w:rsidRPr="00F12A69">
        <w:rPr>
          <w:lang w:val="en-US"/>
        </w:rPr>
        <w:t xml:space="preserve">. </w:t>
      </w:r>
      <w:r w:rsidR="00F12A69">
        <w:rPr>
          <w:lang w:val="en-US"/>
        </w:rPr>
        <w:t>Bucharest</w:t>
      </w:r>
      <w:r w:rsidR="00F12A69" w:rsidRPr="00F12A69">
        <w:rPr>
          <w:lang w:val="en-US"/>
        </w:rPr>
        <w:t xml:space="preserve">, 2022) </w:t>
      </w:r>
      <w:r w:rsidR="00F12A69">
        <w:rPr>
          <w:lang w:val="en-US"/>
        </w:rPr>
        <w:t>that</w:t>
      </w:r>
      <w:r w:rsidR="00F12A69" w:rsidRPr="00F12A69">
        <w:rPr>
          <w:lang w:val="en-US"/>
        </w:rPr>
        <w:t xml:space="preserve">, </w:t>
      </w:r>
      <w:r w:rsidR="00F12A69">
        <w:rPr>
          <w:lang w:val="en-US"/>
        </w:rPr>
        <w:t>inter</w:t>
      </w:r>
      <w:r w:rsidR="00F12A69" w:rsidRPr="00F12A69">
        <w:rPr>
          <w:lang w:val="en-US"/>
        </w:rPr>
        <w:t xml:space="preserve"> </w:t>
      </w:r>
      <w:r w:rsidR="00F12A69">
        <w:rPr>
          <w:lang w:val="en-US"/>
        </w:rPr>
        <w:t>alia</w:t>
      </w:r>
      <w:r w:rsidR="00F12A69" w:rsidRPr="00F12A69">
        <w:rPr>
          <w:lang w:val="en-US"/>
        </w:rPr>
        <w:t>:</w:t>
      </w:r>
      <w:r w:rsidRPr="00F12A69">
        <w:rPr>
          <w:lang w:val="en-US"/>
        </w:rPr>
        <w:t xml:space="preserve"> </w:t>
      </w:r>
    </w:p>
    <w:p w14:paraId="3AEFB6A7" w14:textId="62DADB5F" w:rsidR="00F12A69" w:rsidRPr="00F12A69" w:rsidRDefault="0010381E" w:rsidP="00537C2A">
      <w:pPr>
        <w:tabs>
          <w:tab w:val="clear" w:pos="567"/>
          <w:tab w:val="clear" w:pos="1134"/>
          <w:tab w:val="clear" w:pos="1701"/>
          <w:tab w:val="clear" w:pos="2268"/>
          <w:tab w:val="clear" w:pos="2835"/>
        </w:tabs>
        <w:overflowPunct/>
        <w:autoSpaceDE/>
        <w:autoSpaceDN/>
        <w:adjustRightInd/>
        <w:spacing w:after="120"/>
        <w:ind w:left="709" w:hanging="425"/>
        <w:jc w:val="both"/>
        <w:textAlignment w:val="auto"/>
        <w:rPr>
          <w:lang w:val="en-US"/>
        </w:rPr>
      </w:pPr>
      <w:r w:rsidRPr="00F12A69">
        <w:rPr>
          <w:lang w:val="en-US"/>
        </w:rPr>
        <w:t>-</w:t>
      </w:r>
      <w:r w:rsidR="00537C2A">
        <w:rPr>
          <w:lang w:val="en-US"/>
        </w:rPr>
        <w:tab/>
      </w:r>
      <w:proofErr w:type="gramStart"/>
      <w:r w:rsidR="00F12A69">
        <w:rPr>
          <w:i/>
          <w:lang w:val="en-US"/>
        </w:rPr>
        <w:t>resolves</w:t>
      </w:r>
      <w:proofErr w:type="gramEnd"/>
      <w:r w:rsidR="001C5304">
        <w:rPr>
          <w:lang w:val="en-US"/>
        </w:rPr>
        <w:t xml:space="preserve"> </w:t>
      </w:r>
      <w:r w:rsidR="00F12A69" w:rsidRPr="00F12A69">
        <w:t xml:space="preserve">that </w:t>
      </w:r>
      <w:r w:rsidR="00F12A69" w:rsidRPr="00F12A69">
        <w:rPr>
          <w:b/>
          <w:bCs/>
          <w:i/>
          <w:iCs/>
        </w:rPr>
        <w:t xml:space="preserve">the new Headquarters building be constructed </w:t>
      </w:r>
      <w:proofErr w:type="gramStart"/>
      <w:r w:rsidR="00F12A69" w:rsidRPr="00F12A69">
        <w:rPr>
          <w:b/>
          <w:bCs/>
          <w:i/>
          <w:iCs/>
        </w:rPr>
        <w:t>in order to</w:t>
      </w:r>
      <w:proofErr w:type="gramEnd"/>
      <w:r w:rsidR="00F12A69" w:rsidRPr="00F12A69">
        <w:rPr>
          <w:b/>
          <w:bCs/>
          <w:i/>
          <w:iCs/>
        </w:rPr>
        <w:t xml:space="preserve"> provide the premises and facilities necessary to meet the Union's requirements in the long term</w:t>
      </w:r>
      <w:r w:rsidR="00F12A69" w:rsidRPr="00F12A69">
        <w:rPr>
          <w:i/>
          <w:iCs/>
        </w:rPr>
        <w:t xml:space="preserve"> </w:t>
      </w:r>
      <w:r w:rsidR="00F12A69" w:rsidRPr="00F12A69">
        <w:t xml:space="preserve">in accordance with Council Decision 588 (2016), Council Decision 619 (2021) and other relevant Council </w:t>
      </w:r>
      <w:proofErr w:type="gramStart"/>
      <w:r w:rsidR="00F12A69" w:rsidRPr="00F12A69">
        <w:t>decisions;</w:t>
      </w:r>
      <w:proofErr w:type="gramEnd"/>
    </w:p>
    <w:p w14:paraId="64836687" w14:textId="10A8D4A3" w:rsidR="0010381E" w:rsidRPr="00F12A69" w:rsidRDefault="0010381E" w:rsidP="00537C2A">
      <w:pPr>
        <w:tabs>
          <w:tab w:val="clear" w:pos="567"/>
          <w:tab w:val="clear" w:pos="1134"/>
          <w:tab w:val="clear" w:pos="1701"/>
          <w:tab w:val="clear" w:pos="2268"/>
          <w:tab w:val="clear" w:pos="2835"/>
        </w:tabs>
        <w:overflowPunct/>
        <w:autoSpaceDE/>
        <w:autoSpaceDN/>
        <w:adjustRightInd/>
        <w:spacing w:after="120"/>
        <w:ind w:left="709" w:hanging="425"/>
        <w:jc w:val="both"/>
        <w:textAlignment w:val="auto"/>
        <w:rPr>
          <w:lang w:val="en-US"/>
        </w:rPr>
      </w:pPr>
      <w:r w:rsidRPr="00F12A69">
        <w:rPr>
          <w:lang w:val="en-US"/>
        </w:rPr>
        <w:t>-</w:t>
      </w:r>
      <w:r w:rsidR="00537C2A">
        <w:rPr>
          <w:lang w:val="en-US"/>
        </w:rPr>
        <w:tab/>
      </w:r>
      <w:r w:rsidR="00F12A69" w:rsidRPr="00F12A69">
        <w:rPr>
          <w:i/>
        </w:rPr>
        <w:t>instructs</w:t>
      </w:r>
      <w:r w:rsidR="00F12A69" w:rsidRPr="00F12A69">
        <w:rPr>
          <w:i/>
          <w:lang w:val="en-US"/>
        </w:rPr>
        <w:t xml:space="preserve"> </w:t>
      </w:r>
      <w:r w:rsidR="00F12A69" w:rsidRPr="00F12A69">
        <w:rPr>
          <w:i/>
        </w:rPr>
        <w:t>the</w:t>
      </w:r>
      <w:r w:rsidR="00F12A69" w:rsidRPr="00F12A69">
        <w:rPr>
          <w:i/>
          <w:lang w:val="en-US"/>
        </w:rPr>
        <w:t xml:space="preserve"> </w:t>
      </w:r>
      <w:r w:rsidR="00F12A69" w:rsidRPr="00F12A69">
        <w:rPr>
          <w:i/>
        </w:rPr>
        <w:t>ITU</w:t>
      </w:r>
      <w:r w:rsidR="00F12A69" w:rsidRPr="00F12A69">
        <w:rPr>
          <w:i/>
          <w:lang w:val="en-US"/>
        </w:rPr>
        <w:t xml:space="preserve"> </w:t>
      </w:r>
      <w:r w:rsidR="00F12A69" w:rsidRPr="00F12A69">
        <w:rPr>
          <w:i/>
        </w:rPr>
        <w:t>Council</w:t>
      </w:r>
      <w:r w:rsidR="001C5304">
        <w:t xml:space="preserve"> </w:t>
      </w:r>
      <w:r w:rsidR="00F12A69" w:rsidRPr="00F12A69">
        <w:t xml:space="preserve">to make all the administrative and financial arrangements and take the decisions necessary to facilitate the implementation of this </w:t>
      </w:r>
      <w:proofErr w:type="gramStart"/>
      <w:r w:rsidR="00F12A69" w:rsidRPr="00F12A69">
        <w:t>resolution</w:t>
      </w:r>
      <w:r w:rsidR="00F12A69" w:rsidRPr="00F12A69">
        <w:rPr>
          <w:lang w:val="en-US"/>
        </w:rPr>
        <w:t>;</w:t>
      </w:r>
      <w:proofErr w:type="gramEnd"/>
    </w:p>
    <w:p w14:paraId="20012C53" w14:textId="5FE0D2B0" w:rsidR="0010381E" w:rsidRPr="00F12A69" w:rsidRDefault="0010381E" w:rsidP="00537C2A">
      <w:pPr>
        <w:tabs>
          <w:tab w:val="clear" w:pos="567"/>
          <w:tab w:val="clear" w:pos="1134"/>
          <w:tab w:val="clear" w:pos="1701"/>
          <w:tab w:val="clear" w:pos="2268"/>
          <w:tab w:val="clear" w:pos="2835"/>
        </w:tabs>
        <w:overflowPunct/>
        <w:autoSpaceDE/>
        <w:autoSpaceDN/>
        <w:adjustRightInd/>
        <w:spacing w:after="120"/>
        <w:ind w:left="709" w:hanging="425"/>
        <w:jc w:val="both"/>
        <w:textAlignment w:val="auto"/>
        <w:rPr>
          <w:lang w:val="en-US"/>
        </w:rPr>
      </w:pPr>
      <w:r w:rsidRPr="00F12A69">
        <w:rPr>
          <w:lang w:val="en-US"/>
        </w:rPr>
        <w:t>-</w:t>
      </w:r>
      <w:r w:rsidR="00537C2A">
        <w:rPr>
          <w:lang w:val="en-US"/>
        </w:rPr>
        <w:tab/>
      </w:r>
      <w:r w:rsidR="00F12A69" w:rsidRPr="00F12A69">
        <w:rPr>
          <w:i/>
        </w:rPr>
        <w:t>instructs</w:t>
      </w:r>
      <w:r w:rsidR="00F12A69" w:rsidRPr="00F12A69">
        <w:rPr>
          <w:i/>
          <w:lang w:val="en-US"/>
        </w:rPr>
        <w:t xml:space="preserve"> </w:t>
      </w:r>
      <w:r w:rsidR="00F12A69" w:rsidRPr="00F12A69">
        <w:rPr>
          <w:i/>
        </w:rPr>
        <w:t>the</w:t>
      </w:r>
      <w:r w:rsidR="00F12A69" w:rsidRPr="00F12A69">
        <w:rPr>
          <w:i/>
          <w:lang w:val="en-US"/>
        </w:rPr>
        <w:t xml:space="preserve"> </w:t>
      </w:r>
      <w:r w:rsidR="00F12A69" w:rsidRPr="00F12A69">
        <w:rPr>
          <w:i/>
        </w:rPr>
        <w:t>Secretary</w:t>
      </w:r>
      <w:r w:rsidR="00F12A69" w:rsidRPr="00F12A69">
        <w:rPr>
          <w:i/>
          <w:lang w:val="en-US"/>
        </w:rPr>
        <w:noBreakHyphen/>
      </w:r>
      <w:r w:rsidR="00F12A69" w:rsidRPr="00F12A69">
        <w:rPr>
          <w:i/>
        </w:rPr>
        <w:t>General</w:t>
      </w:r>
      <w:r w:rsidR="001C5304">
        <w:rPr>
          <w:lang w:val="en-US"/>
        </w:rPr>
        <w:t xml:space="preserve"> </w:t>
      </w:r>
      <w:r w:rsidR="00F12A69">
        <w:rPr>
          <w:lang w:val="en-US"/>
        </w:rPr>
        <w:t>t</w:t>
      </w:r>
      <w:r w:rsidR="00F12A69" w:rsidRPr="00F12A69">
        <w:t>o ensure that the detailed design and construction of the building and related installations and facilities are carried out in the most appropriate manner, while respecting resolves 1, 2 and 3 above and relevant Council decisions</w:t>
      </w:r>
      <w:r w:rsidR="00F12A69">
        <w:t>.</w:t>
      </w:r>
    </w:p>
    <w:p w14:paraId="680E397A" w14:textId="69439F4E" w:rsidR="0010381E" w:rsidRPr="00117FC1" w:rsidRDefault="0010381E"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117FC1">
        <w:rPr>
          <w:lang w:val="en-US"/>
        </w:rPr>
        <w:t>1.2. </w:t>
      </w:r>
      <w:r w:rsidR="00F12A69" w:rsidRPr="00117FC1">
        <w:rPr>
          <w:lang w:val="en-US"/>
        </w:rPr>
        <w:t>Besides</w:t>
      </w:r>
      <w:r w:rsidRPr="00117FC1">
        <w:rPr>
          <w:lang w:val="en-US"/>
        </w:rPr>
        <w:t xml:space="preserve">, </w:t>
      </w:r>
      <w:r w:rsidR="00F12A69" w:rsidRPr="00117FC1">
        <w:rPr>
          <w:lang w:val="en-US"/>
        </w:rPr>
        <w:t xml:space="preserve">the Plenipotentiary Conference </w:t>
      </w:r>
      <w:r w:rsidR="00117FC1" w:rsidRPr="00117FC1">
        <w:rPr>
          <w:i/>
          <w:iCs/>
          <w:lang w:val="en-US"/>
        </w:rPr>
        <w:t>notes</w:t>
      </w:r>
      <w:r w:rsidR="001C5304">
        <w:rPr>
          <w:lang w:val="en-US"/>
        </w:rPr>
        <w:t xml:space="preserve"> </w:t>
      </w:r>
      <w:r w:rsidR="00117FC1" w:rsidRPr="00117FC1">
        <w:t xml:space="preserve">that, consequently, </w:t>
      </w:r>
      <w:r w:rsidR="00117FC1" w:rsidRPr="00117FC1">
        <w:rPr>
          <w:b/>
          <w:bCs/>
        </w:rPr>
        <w:t>the principal conference room will be named the Saudi Arabia Room, the second principal conference room will be named Sheik Zayed Room</w:t>
      </w:r>
      <w:r w:rsidR="00117FC1" w:rsidRPr="00117FC1">
        <w:rPr>
          <w:lang w:val="en-US"/>
        </w:rPr>
        <w:t xml:space="preserve">, </w:t>
      </w:r>
      <w:r w:rsidR="00117FC1" w:rsidRPr="00117FC1">
        <w:rPr>
          <w:b/>
          <w:bCs/>
          <w:lang w:val="en-US"/>
        </w:rPr>
        <w:t xml:space="preserve">and </w:t>
      </w:r>
      <w:r w:rsidR="0040534F" w:rsidRPr="0040534F">
        <w:rPr>
          <w:b/>
          <w:bCs/>
        </w:rPr>
        <w:t>the 100-seat executive room</w:t>
      </w:r>
      <w:r w:rsidR="0040534F">
        <w:rPr>
          <w:b/>
          <w:bCs/>
        </w:rPr>
        <w:t xml:space="preserve"> </w:t>
      </w:r>
      <w:r w:rsidR="00117FC1" w:rsidRPr="00117FC1">
        <w:rPr>
          <w:b/>
          <w:bCs/>
          <w:lang w:val="en-US"/>
        </w:rPr>
        <w:t xml:space="preserve">in the new building will be named Popov room. </w:t>
      </w:r>
    </w:p>
    <w:p w14:paraId="04BFE88C" w14:textId="0D773A17" w:rsidR="0010381E" w:rsidRPr="00F44E48" w:rsidRDefault="0010381E" w:rsidP="00537C2A">
      <w:pPr>
        <w:tabs>
          <w:tab w:val="clear" w:pos="567"/>
          <w:tab w:val="clear" w:pos="1134"/>
          <w:tab w:val="clear" w:pos="1701"/>
          <w:tab w:val="clear" w:pos="2268"/>
          <w:tab w:val="clear" w:pos="2835"/>
        </w:tabs>
        <w:overflowPunct/>
        <w:autoSpaceDE/>
        <w:autoSpaceDN/>
        <w:adjustRightInd/>
        <w:spacing w:before="480" w:after="120"/>
        <w:ind w:firstLine="709"/>
        <w:jc w:val="both"/>
        <w:textAlignment w:val="auto"/>
        <w:rPr>
          <w:b/>
          <w:lang w:val="en-US"/>
        </w:rPr>
      </w:pPr>
      <w:r w:rsidRPr="00F44E48">
        <w:rPr>
          <w:b/>
          <w:lang w:val="en-US"/>
        </w:rPr>
        <w:t xml:space="preserve">2. </w:t>
      </w:r>
      <w:r w:rsidR="002016B1">
        <w:rPr>
          <w:b/>
          <w:lang w:val="en-US"/>
        </w:rPr>
        <w:t>Council</w:t>
      </w:r>
      <w:r w:rsidRPr="00F44E48">
        <w:rPr>
          <w:bCs/>
          <w:lang w:val="en-US"/>
        </w:rPr>
        <w:t>.</w:t>
      </w:r>
    </w:p>
    <w:p w14:paraId="7598995D" w14:textId="0AE05775" w:rsidR="00117FC1" w:rsidRPr="001048A2" w:rsidRDefault="00117FC1"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bookmarkStart w:id="12" w:name="_Hlk205905042"/>
      <w:r>
        <w:rPr>
          <w:lang w:val="en-US"/>
        </w:rPr>
        <w:t xml:space="preserve">In turn, </w:t>
      </w:r>
      <w:r w:rsidR="00F44E48">
        <w:rPr>
          <w:lang w:val="en-US"/>
        </w:rPr>
        <w:t xml:space="preserve">the relevant </w:t>
      </w:r>
      <w:r w:rsidR="00F44E48" w:rsidRPr="00F44E48">
        <w:rPr>
          <w:b/>
          <w:bCs/>
          <w:i/>
          <w:iCs/>
          <w:lang w:val="en-US"/>
        </w:rPr>
        <w:t xml:space="preserve">Council decisions, including Council Decision 588 and Council Decision 619, decide to replace the </w:t>
      </w:r>
      <w:proofErr w:type="spellStart"/>
      <w:r w:rsidR="00F44E48" w:rsidRPr="00F44E48">
        <w:rPr>
          <w:rFonts w:asciiTheme="minorHAnsi" w:hAnsiTheme="minorHAnsi"/>
          <w:b/>
          <w:bCs/>
          <w:i/>
          <w:iCs/>
        </w:rPr>
        <w:t>Varembé</w:t>
      </w:r>
      <w:proofErr w:type="spellEnd"/>
      <w:r w:rsidR="00F44E48" w:rsidRPr="00F44E48">
        <w:rPr>
          <w:rFonts w:asciiTheme="minorHAnsi" w:hAnsiTheme="minorHAnsi"/>
          <w:b/>
          <w:bCs/>
          <w:i/>
          <w:iCs/>
        </w:rPr>
        <w:t xml:space="preserve"> building </w:t>
      </w:r>
      <w:r w:rsidR="00E57FCB">
        <w:rPr>
          <w:rFonts w:asciiTheme="minorHAnsi" w:hAnsiTheme="minorHAnsi"/>
          <w:b/>
          <w:bCs/>
          <w:i/>
          <w:iCs/>
        </w:rPr>
        <w:t>with</w:t>
      </w:r>
      <w:r w:rsidR="00F44E48" w:rsidRPr="00F44E48">
        <w:rPr>
          <w:rFonts w:asciiTheme="minorHAnsi" w:hAnsiTheme="minorHAnsi"/>
          <w:b/>
          <w:bCs/>
          <w:i/>
          <w:iCs/>
        </w:rPr>
        <w:t xml:space="preserve"> a new construction that would also include the offices and facilities of the Tower building, and complement the </w:t>
      </w:r>
      <w:proofErr w:type="spellStart"/>
      <w:r w:rsidR="00F44E48" w:rsidRPr="00F44E48">
        <w:rPr>
          <w:rFonts w:asciiTheme="minorHAnsi" w:hAnsiTheme="minorHAnsi"/>
          <w:b/>
          <w:bCs/>
          <w:i/>
          <w:iCs/>
        </w:rPr>
        <w:t>Montbrillant</w:t>
      </w:r>
      <w:proofErr w:type="spellEnd"/>
      <w:r w:rsidR="00F44E48" w:rsidRPr="00F44E48">
        <w:rPr>
          <w:rFonts w:asciiTheme="minorHAnsi" w:hAnsiTheme="minorHAnsi"/>
          <w:b/>
          <w:bCs/>
          <w:i/>
          <w:iCs/>
        </w:rPr>
        <w:t xml:space="preserve"> building which would be retained and refurbished.</w:t>
      </w:r>
    </w:p>
    <w:bookmarkEnd w:id="12"/>
    <w:p w14:paraId="3BF4E697" w14:textId="300E6729" w:rsidR="009258F5" w:rsidRPr="009258F5" w:rsidRDefault="009258F5"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9258F5">
        <w:t xml:space="preserve">In addition, at its sessions in 2017 and 2019, the Council </w:t>
      </w:r>
      <w:r w:rsidRPr="0040534F">
        <w:t xml:space="preserve">also </w:t>
      </w:r>
      <w:r w:rsidR="00730F83" w:rsidRPr="0040534F">
        <w:t>considered</w:t>
      </w:r>
      <w:r w:rsidRPr="0040534F">
        <w:t xml:space="preserve"> and </w:t>
      </w:r>
      <w:r w:rsidR="0040534F" w:rsidRPr="0040534F">
        <w:t>noted</w:t>
      </w:r>
      <w:r w:rsidR="0040534F">
        <w:t xml:space="preserve"> </w:t>
      </w:r>
      <w:r w:rsidRPr="009258F5">
        <w:t xml:space="preserve">contributions </w:t>
      </w:r>
      <w:r>
        <w:t>by</w:t>
      </w:r>
      <w:r w:rsidRPr="009258F5">
        <w:t xml:space="preserve"> the Republic of Armenia, the Republic of Azerbaijan, the Republic of Belarus, the Kyrgyz Republic, the Russian Federation, the Republic of Tajikistan and the Republic of Uzbekistan</w:t>
      </w:r>
      <w:r>
        <w:t xml:space="preserve"> </w:t>
      </w:r>
      <w:hyperlink r:id="rId33" w:history="1">
        <w:r>
          <w:rPr>
            <w:rStyle w:val="Hyperlink"/>
            <w:b/>
            <w:lang w:val="it-IT"/>
          </w:rPr>
          <w:t>Document CWG-FHR-17/19</w:t>
        </w:r>
      </w:hyperlink>
      <w:r>
        <w:t xml:space="preserve"> “</w:t>
      </w:r>
      <w:r w:rsidR="004A424B" w:rsidRPr="009258F5">
        <w:rPr>
          <w:lang w:val="en-US"/>
        </w:rPr>
        <w:t xml:space="preserve">Premises </w:t>
      </w:r>
      <w:r w:rsidR="004A424B">
        <w:rPr>
          <w:lang w:val="en-US"/>
        </w:rPr>
        <w:t>o</w:t>
      </w:r>
      <w:r w:rsidR="004A424B" w:rsidRPr="009258F5">
        <w:rPr>
          <w:lang w:val="en-US"/>
        </w:rPr>
        <w:t xml:space="preserve">f </w:t>
      </w:r>
      <w:r w:rsidR="004A424B">
        <w:rPr>
          <w:lang w:val="en-US"/>
        </w:rPr>
        <w:t>t</w:t>
      </w:r>
      <w:r w:rsidR="004A424B" w:rsidRPr="009258F5">
        <w:rPr>
          <w:lang w:val="en-US"/>
        </w:rPr>
        <w:t xml:space="preserve">he </w:t>
      </w:r>
      <w:r w:rsidR="004A424B">
        <w:rPr>
          <w:lang w:val="en-US"/>
        </w:rPr>
        <w:t>n</w:t>
      </w:r>
      <w:r w:rsidR="004A424B" w:rsidRPr="009258F5">
        <w:rPr>
          <w:lang w:val="en-US"/>
        </w:rPr>
        <w:t xml:space="preserve">ew </w:t>
      </w:r>
      <w:r w:rsidR="004A424B">
        <w:rPr>
          <w:lang w:val="en-US"/>
        </w:rPr>
        <w:t>ITU</w:t>
      </w:r>
      <w:r w:rsidR="004A424B" w:rsidRPr="009258F5">
        <w:rPr>
          <w:lang w:val="en-US"/>
        </w:rPr>
        <w:t xml:space="preserve"> </w:t>
      </w:r>
      <w:r w:rsidR="001048A2">
        <w:rPr>
          <w:lang w:val="en-US"/>
        </w:rPr>
        <w:t>h</w:t>
      </w:r>
      <w:r w:rsidR="004A424B" w:rsidRPr="009258F5">
        <w:rPr>
          <w:lang w:val="en-US"/>
        </w:rPr>
        <w:t xml:space="preserve">eadquarters </w:t>
      </w:r>
      <w:r w:rsidR="001048A2">
        <w:rPr>
          <w:lang w:val="en-US"/>
        </w:rPr>
        <w:t>b</w:t>
      </w:r>
      <w:r w:rsidR="004A424B" w:rsidRPr="009258F5">
        <w:rPr>
          <w:lang w:val="en-US"/>
        </w:rPr>
        <w:t xml:space="preserve">uilding </w:t>
      </w:r>
      <w:r w:rsidR="001048A2">
        <w:rPr>
          <w:lang w:val="en-US"/>
        </w:rPr>
        <w:t>t</w:t>
      </w:r>
      <w:r w:rsidR="004A424B" w:rsidRPr="009258F5">
        <w:rPr>
          <w:lang w:val="en-US"/>
        </w:rPr>
        <w:t xml:space="preserve">hat </w:t>
      </w:r>
      <w:r w:rsidR="001048A2">
        <w:rPr>
          <w:lang w:val="en-US"/>
        </w:rPr>
        <w:t>c</w:t>
      </w:r>
      <w:r w:rsidR="004A424B" w:rsidRPr="009258F5">
        <w:rPr>
          <w:lang w:val="en-US"/>
        </w:rPr>
        <w:t xml:space="preserve">annot </w:t>
      </w:r>
      <w:r w:rsidR="001048A2">
        <w:rPr>
          <w:lang w:val="en-US"/>
        </w:rPr>
        <w:t>b</w:t>
      </w:r>
      <w:r w:rsidR="004A424B" w:rsidRPr="009258F5">
        <w:rPr>
          <w:lang w:val="en-US"/>
        </w:rPr>
        <w:t xml:space="preserve">e </w:t>
      </w:r>
      <w:r w:rsidR="001048A2">
        <w:rPr>
          <w:lang w:val="en-US"/>
        </w:rPr>
        <w:t>s</w:t>
      </w:r>
      <w:r w:rsidR="004A424B" w:rsidRPr="009258F5">
        <w:rPr>
          <w:lang w:val="en-US"/>
        </w:rPr>
        <w:t xml:space="preserve">ubject </w:t>
      </w:r>
      <w:r w:rsidR="001048A2">
        <w:rPr>
          <w:lang w:val="en-US"/>
        </w:rPr>
        <w:t>t</w:t>
      </w:r>
      <w:r w:rsidR="004A424B" w:rsidRPr="009258F5">
        <w:rPr>
          <w:lang w:val="en-US"/>
        </w:rPr>
        <w:t xml:space="preserve">o </w:t>
      </w:r>
      <w:r w:rsidR="001048A2">
        <w:rPr>
          <w:lang w:val="en-US"/>
        </w:rPr>
        <w:t>d</w:t>
      </w:r>
      <w:r w:rsidR="004A424B" w:rsidRPr="009258F5">
        <w:rPr>
          <w:lang w:val="en-US"/>
        </w:rPr>
        <w:t xml:space="preserve">escoping </w:t>
      </w:r>
      <w:r w:rsidR="001048A2">
        <w:rPr>
          <w:lang w:val="en-US"/>
        </w:rPr>
        <w:t>a</w:t>
      </w:r>
      <w:r w:rsidR="004A424B" w:rsidRPr="009258F5">
        <w:rPr>
          <w:lang w:val="en-US"/>
        </w:rPr>
        <w:t xml:space="preserve">nd </w:t>
      </w:r>
      <w:r w:rsidR="001048A2">
        <w:rPr>
          <w:lang w:val="en-US"/>
        </w:rPr>
        <w:t>t</w:t>
      </w:r>
      <w:r w:rsidR="004A424B" w:rsidRPr="009258F5">
        <w:rPr>
          <w:lang w:val="en-US"/>
        </w:rPr>
        <w:t xml:space="preserve">he </w:t>
      </w:r>
      <w:r w:rsidR="001048A2">
        <w:rPr>
          <w:lang w:val="en-US"/>
        </w:rPr>
        <w:t>r</w:t>
      </w:r>
      <w:r w:rsidR="004A424B" w:rsidRPr="009258F5">
        <w:rPr>
          <w:lang w:val="en-US"/>
        </w:rPr>
        <w:t xml:space="preserve">equirements </w:t>
      </w:r>
      <w:r w:rsidR="001048A2">
        <w:rPr>
          <w:lang w:val="en-US"/>
        </w:rPr>
        <w:t>f</w:t>
      </w:r>
      <w:r w:rsidR="004A424B" w:rsidRPr="009258F5">
        <w:rPr>
          <w:lang w:val="en-US"/>
        </w:rPr>
        <w:t xml:space="preserve">or </w:t>
      </w:r>
      <w:r w:rsidR="001048A2">
        <w:rPr>
          <w:lang w:val="en-US"/>
        </w:rPr>
        <w:t>t</w:t>
      </w:r>
      <w:r w:rsidR="004A424B" w:rsidRPr="009258F5">
        <w:rPr>
          <w:lang w:val="en-US"/>
        </w:rPr>
        <w:t xml:space="preserve">hem </w:t>
      </w:r>
      <w:r w:rsidR="001048A2">
        <w:rPr>
          <w:lang w:val="en-US"/>
        </w:rPr>
        <w:t>a</w:t>
      </w:r>
      <w:r w:rsidR="004A424B" w:rsidRPr="009258F5">
        <w:rPr>
          <w:lang w:val="en-US"/>
        </w:rPr>
        <w:t xml:space="preserve">re </w:t>
      </w:r>
      <w:r w:rsidR="001048A2">
        <w:rPr>
          <w:lang w:val="en-US"/>
        </w:rPr>
        <w:t>d</w:t>
      </w:r>
      <w:r w:rsidR="004A424B" w:rsidRPr="009258F5">
        <w:rPr>
          <w:lang w:val="en-US"/>
        </w:rPr>
        <w:t>eteriorated</w:t>
      </w:r>
      <w:r w:rsidR="004A424B">
        <w:rPr>
          <w:lang w:val="en-US"/>
        </w:rPr>
        <w:t xml:space="preserve">” </w:t>
      </w:r>
      <w:r>
        <w:rPr>
          <w:lang w:val="en-US"/>
        </w:rPr>
        <w:t xml:space="preserve">and </w:t>
      </w:r>
      <w:hyperlink r:id="rId34" w:history="1">
        <w:r>
          <w:rPr>
            <w:rStyle w:val="Hyperlink"/>
            <w:b/>
            <w:bCs/>
            <w:szCs w:val="22"/>
            <w:lang w:val="en-US"/>
          </w:rPr>
          <w:t>Document C19/76</w:t>
        </w:r>
      </w:hyperlink>
      <w:r>
        <w:t xml:space="preserve"> “</w:t>
      </w:r>
      <w:r w:rsidR="001048A2">
        <w:t>E</w:t>
      </w:r>
      <w:r w:rsidR="001048A2" w:rsidRPr="009258F5">
        <w:t xml:space="preserve">nsuring the preservation of contributions/donations from </w:t>
      </w:r>
      <w:r w:rsidR="001048A2">
        <w:t>ITU</w:t>
      </w:r>
      <w:r w:rsidR="001048A2" w:rsidRPr="009258F5">
        <w:t xml:space="preserve"> participants in the existing buildings of the </w:t>
      </w:r>
      <w:r w:rsidR="001048A2">
        <w:t>U</w:t>
      </w:r>
      <w:r w:rsidR="001048A2" w:rsidRPr="009258F5">
        <w:t xml:space="preserve">nion when implementing the project for the construction of the </w:t>
      </w:r>
      <w:r w:rsidR="001048A2">
        <w:t>U</w:t>
      </w:r>
      <w:r w:rsidR="001048A2" w:rsidRPr="009258F5">
        <w:t>nion's new headquarters premises</w:t>
      </w:r>
      <w:r w:rsidRPr="009258F5">
        <w:t>.”</w:t>
      </w:r>
    </w:p>
    <w:p w14:paraId="64FD38FD" w14:textId="4081D109" w:rsidR="009258F5" w:rsidRPr="00235A86" w:rsidRDefault="009258F5"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Pr>
          <w:lang w:val="en-US"/>
        </w:rPr>
        <w:t>The</w:t>
      </w:r>
      <w:r w:rsidRPr="009258F5">
        <w:rPr>
          <w:lang w:val="en-US"/>
        </w:rPr>
        <w:t xml:space="preserve"> </w:t>
      </w:r>
      <w:r>
        <w:rPr>
          <w:lang w:val="en-US"/>
        </w:rPr>
        <w:t>Council</w:t>
      </w:r>
      <w:r w:rsidRPr="009258F5">
        <w:rPr>
          <w:lang w:val="en-US"/>
        </w:rPr>
        <w:t xml:space="preserve">, </w:t>
      </w:r>
      <w:r>
        <w:rPr>
          <w:lang w:val="en-US"/>
        </w:rPr>
        <w:t>inter</w:t>
      </w:r>
      <w:r w:rsidRPr="009258F5">
        <w:rPr>
          <w:lang w:val="en-US"/>
        </w:rPr>
        <w:t xml:space="preserve"> </w:t>
      </w:r>
      <w:r>
        <w:rPr>
          <w:lang w:val="en-US"/>
        </w:rPr>
        <w:t>alia</w:t>
      </w:r>
      <w:r w:rsidRPr="009258F5">
        <w:rPr>
          <w:lang w:val="en-US"/>
        </w:rPr>
        <w:t xml:space="preserve">, </w:t>
      </w:r>
      <w:r>
        <w:rPr>
          <w:lang w:val="en-US"/>
        </w:rPr>
        <w:t xml:space="preserve">separately </w:t>
      </w:r>
      <w:r w:rsidR="00C61DE1">
        <w:rPr>
          <w:lang w:val="en-US"/>
        </w:rPr>
        <w:t>adopted</w:t>
      </w:r>
      <w:r w:rsidR="00235A86">
        <w:rPr>
          <w:lang w:val="en-US"/>
        </w:rPr>
        <w:t xml:space="preserve"> (</w:t>
      </w:r>
      <w:hyperlink r:id="rId35" w:history="1">
        <w:r w:rsidR="00235A86">
          <w:rPr>
            <w:rStyle w:val="Hyperlink"/>
            <w:b/>
            <w:bCs/>
            <w:szCs w:val="22"/>
            <w:lang w:val="en-US"/>
          </w:rPr>
          <w:t>Document C19/120</w:t>
        </w:r>
      </w:hyperlink>
      <w:r w:rsidR="00235A86">
        <w:t xml:space="preserve">) the Recommendation of </w:t>
      </w:r>
      <w:r w:rsidR="00235A86" w:rsidRPr="00235A86">
        <w:t xml:space="preserve">the Standing Committee on Administration and Management </w:t>
      </w:r>
      <w:r w:rsidR="00235A86">
        <w:t xml:space="preserve">(ADM, </w:t>
      </w:r>
      <w:hyperlink r:id="rId36" w:history="1">
        <w:r w:rsidR="00235A86">
          <w:rPr>
            <w:rStyle w:val="Hyperlink"/>
            <w:b/>
            <w:bCs/>
            <w:szCs w:val="22"/>
            <w:lang w:val="en-US"/>
          </w:rPr>
          <w:t>Document C19/107</w:t>
        </w:r>
      </w:hyperlink>
      <w:r w:rsidR="00235A86">
        <w:t>) 18.12</w:t>
      </w:r>
      <w:r w:rsidR="00235A86" w:rsidRPr="00235A86">
        <w:rPr>
          <w:lang w:val="en-US"/>
        </w:rPr>
        <w:t xml:space="preserve">: </w:t>
      </w:r>
      <w:r w:rsidR="00235A86" w:rsidRPr="00235A86">
        <w:rPr>
          <w:b/>
          <w:bCs/>
          <w:i/>
          <w:iCs/>
          <w:lang w:val="en-US"/>
        </w:rPr>
        <w:t>“</w:t>
      </w:r>
      <w:r w:rsidR="00235A86" w:rsidRPr="00235A86">
        <w:rPr>
          <w:b/>
          <w:bCs/>
          <w:i/>
          <w:iCs/>
        </w:rPr>
        <w:t xml:space="preserve">The Committee recommends that the Popov room be maintained. …, the </w:t>
      </w:r>
      <w:proofErr w:type="gramStart"/>
      <w:r w:rsidR="00235A86" w:rsidRPr="00235A86">
        <w:rPr>
          <w:b/>
          <w:bCs/>
          <w:i/>
          <w:iCs/>
        </w:rPr>
        <w:t>100 seat</w:t>
      </w:r>
      <w:proofErr w:type="gramEnd"/>
      <w:r w:rsidR="00235A86" w:rsidRPr="00235A86">
        <w:rPr>
          <w:b/>
          <w:bCs/>
          <w:i/>
          <w:iCs/>
        </w:rPr>
        <w:t xml:space="preserve"> </w:t>
      </w:r>
      <w:r w:rsidR="0040534F">
        <w:rPr>
          <w:b/>
          <w:bCs/>
          <w:i/>
          <w:iCs/>
        </w:rPr>
        <w:t>e</w:t>
      </w:r>
      <w:r w:rsidR="00235A86" w:rsidRPr="00235A86">
        <w:rPr>
          <w:b/>
          <w:bCs/>
          <w:i/>
          <w:iCs/>
        </w:rPr>
        <w:t>xecutive room in the new building shall not be offered for sponsorship.”</w:t>
      </w:r>
    </w:p>
    <w:p w14:paraId="2531D917" w14:textId="46310EA9" w:rsidR="00235A86" w:rsidRPr="004A424B" w:rsidRDefault="00235A86"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Pr>
          <w:lang w:val="en-US"/>
        </w:rPr>
        <w:t xml:space="preserve">However, due to the negative financial </w:t>
      </w:r>
      <w:r w:rsidR="001857D5">
        <w:rPr>
          <w:lang w:val="en-US"/>
        </w:rPr>
        <w:t xml:space="preserve">indicators for the implementation of the project in its approved by PP-22 form, </w:t>
      </w:r>
      <w:r w:rsidR="001857D5" w:rsidRPr="004A424B">
        <w:rPr>
          <w:b/>
          <w:bCs/>
          <w:lang w:val="en-US"/>
        </w:rPr>
        <w:t>the Council at its 2024 session adopted Decision 640</w:t>
      </w:r>
      <w:r w:rsidR="001857D5">
        <w:rPr>
          <w:lang w:val="en-US"/>
        </w:rPr>
        <w:t xml:space="preserve"> (</w:t>
      </w:r>
      <w:hyperlink r:id="rId37" w:history="1">
        <w:r w:rsidR="001857D5">
          <w:rPr>
            <w:rStyle w:val="Hyperlink"/>
            <w:b/>
            <w:bCs/>
            <w:lang w:val="en-US"/>
          </w:rPr>
          <w:t>Document C24/132</w:t>
        </w:r>
      </w:hyperlink>
      <w:r w:rsidR="001857D5">
        <w:t xml:space="preserve">) </w:t>
      </w:r>
      <w:r w:rsidR="001857D5" w:rsidRPr="004A424B">
        <w:rPr>
          <w:b/>
          <w:bCs/>
        </w:rPr>
        <w:t>in which it decides to approve,…, the alternative reassessed project which shall not exceed CHF 172.69 million</w:t>
      </w:r>
      <w:r w:rsidR="001857D5">
        <w:t xml:space="preserve">, which was then subject  to the concurrence of the majority of ITU Member States in accordance with </w:t>
      </w:r>
      <w:r w:rsidR="001857D5" w:rsidRPr="001857D5">
        <w:t>No. 79 of the Convention</w:t>
      </w:r>
      <w:r w:rsidR="001857D5">
        <w:t>.</w:t>
      </w:r>
      <w:r w:rsidR="004A424B">
        <w:t xml:space="preserve"> Annex</w:t>
      </w:r>
      <w:r w:rsidR="004A424B" w:rsidRPr="004A424B">
        <w:rPr>
          <w:lang w:val="en-US"/>
        </w:rPr>
        <w:t xml:space="preserve"> 1 </w:t>
      </w:r>
      <w:r w:rsidR="004A424B">
        <w:t>of</w:t>
      </w:r>
      <w:r w:rsidR="004A424B" w:rsidRPr="004A424B">
        <w:rPr>
          <w:lang w:val="en-US"/>
        </w:rPr>
        <w:t xml:space="preserve"> </w:t>
      </w:r>
      <w:r w:rsidR="004A424B">
        <w:t>Decision</w:t>
      </w:r>
      <w:r w:rsidR="004A424B" w:rsidRPr="004A424B">
        <w:rPr>
          <w:lang w:val="en-US"/>
        </w:rPr>
        <w:t xml:space="preserve"> 640 </w:t>
      </w:r>
      <w:r w:rsidR="004A424B">
        <w:t xml:space="preserve">provides </w:t>
      </w:r>
      <w:r w:rsidR="004A424B" w:rsidRPr="004A424B">
        <w:rPr>
          <w:b/>
          <w:bCs/>
        </w:rPr>
        <w:t>the alternative reassessed project scope, which, in particular, provides for approximately 23 meeting rooms in addition to a large 500 seat conference room</w:t>
      </w:r>
      <w:r w:rsidR="004A424B">
        <w:t xml:space="preserve"> (sponsored by Saudi Arabia).</w:t>
      </w:r>
    </w:p>
    <w:p w14:paraId="19D71CA7" w14:textId="63FAE729" w:rsidR="001048A2" w:rsidRPr="00E6620D" w:rsidRDefault="001048A2" w:rsidP="00537C2A">
      <w:pPr>
        <w:keepNext/>
        <w:keepLines/>
        <w:tabs>
          <w:tab w:val="clear" w:pos="567"/>
          <w:tab w:val="clear" w:pos="1134"/>
          <w:tab w:val="clear" w:pos="1701"/>
          <w:tab w:val="clear" w:pos="2268"/>
          <w:tab w:val="clear" w:pos="2835"/>
        </w:tabs>
        <w:overflowPunct/>
        <w:autoSpaceDE/>
        <w:autoSpaceDN/>
        <w:adjustRightInd/>
        <w:spacing w:after="120"/>
        <w:ind w:firstLine="709"/>
        <w:jc w:val="both"/>
        <w:textAlignment w:val="auto"/>
      </w:pPr>
      <w:r w:rsidRPr="001048A2">
        <w:rPr>
          <w:b/>
          <w:bCs/>
          <w:lang w:val="en-US"/>
        </w:rPr>
        <w:lastRenderedPageBreak/>
        <w:t>During its regular session in 2025, the Council considered the contribution by Switzerland “</w:t>
      </w:r>
      <w:r w:rsidRPr="001048A2">
        <w:rPr>
          <w:b/>
          <w:bCs/>
        </w:rPr>
        <w:t>Union's headquarters premises project – streamlining the decisional bases adopted by the governing bodies of the Union</w:t>
      </w:r>
      <w:r w:rsidRPr="001048A2">
        <w:rPr>
          <w:b/>
          <w:bCs/>
          <w:lang w:val="en-US"/>
        </w:rPr>
        <w:t>”</w:t>
      </w:r>
      <w:r>
        <w:rPr>
          <w:b/>
          <w:bCs/>
          <w:lang w:val="en-US"/>
        </w:rPr>
        <w:t xml:space="preserve"> </w:t>
      </w:r>
      <w:r>
        <w:rPr>
          <w:lang w:val="en-US"/>
        </w:rPr>
        <w:t>(</w:t>
      </w:r>
      <w:hyperlink r:id="rId38" w:history="1">
        <w:r>
          <w:rPr>
            <w:rStyle w:val="Hyperlink"/>
            <w:b/>
            <w:szCs w:val="22"/>
            <w:lang w:val="en-US"/>
          </w:rPr>
          <w:t>Document C25/83</w:t>
        </w:r>
      </w:hyperlink>
      <w:r>
        <w:t xml:space="preserve">) which proposed instructing </w:t>
      </w:r>
      <w:r w:rsidRPr="001048A2">
        <w:t>the Council Working Group on Financial and Human Resources, in close collaboration with the Member States Advisory Group and the Independent Management Advisory Committee</w:t>
      </w:r>
      <w:r>
        <w:t xml:space="preserve"> to examine the Decisions of </w:t>
      </w:r>
      <w:r w:rsidRPr="00730F83">
        <w:t xml:space="preserve">Council on the Union’s headquarters premises project and </w:t>
      </w:r>
      <w:r w:rsidR="004316AC" w:rsidRPr="00730F83">
        <w:t xml:space="preserve">to </w:t>
      </w:r>
      <w:r w:rsidR="00730F83" w:rsidRPr="00730F83">
        <w:t>submit to the Council a report on the measures taken to streamline them</w:t>
      </w:r>
      <w:r w:rsidR="001C50D9" w:rsidRPr="00730F83">
        <w:rPr>
          <w:lang w:val="en-US"/>
        </w:rPr>
        <w:t>. Similarly</w:t>
      </w:r>
      <w:r w:rsidR="001C50D9">
        <w:rPr>
          <w:lang w:val="en-US"/>
        </w:rPr>
        <w:t>, the CWG-FHR should submit a report on the possible revision of Resolution</w:t>
      </w:r>
      <w:r w:rsidR="000D0F57">
        <w:rPr>
          <w:lang w:val="en-US"/>
        </w:rPr>
        <w:t xml:space="preserve"> </w:t>
      </w:r>
      <w:r w:rsidR="001C50D9">
        <w:rPr>
          <w:lang w:val="en-US"/>
        </w:rPr>
        <w:t xml:space="preserve">212 (Rev. Bucharest, 2022) of the Plenipotentiary Conference. The Secretariat should </w:t>
      </w:r>
      <w:r w:rsidR="00E6620D">
        <w:rPr>
          <w:lang w:val="en-US"/>
        </w:rPr>
        <w:t>submit</w:t>
      </w:r>
      <w:r w:rsidR="000D0F57">
        <w:rPr>
          <w:lang w:val="en-US"/>
        </w:rPr>
        <w:t xml:space="preserve"> to</w:t>
      </w:r>
      <w:r w:rsidR="001C50D9">
        <w:rPr>
          <w:lang w:val="en-US"/>
        </w:rPr>
        <w:t xml:space="preserve"> </w:t>
      </w:r>
      <w:r w:rsidR="000D0F57">
        <w:rPr>
          <w:szCs w:val="24"/>
        </w:rPr>
        <w:t>CWG-FHR</w:t>
      </w:r>
      <w:r w:rsidR="000D0F57">
        <w:rPr>
          <w:lang w:val="en-US"/>
        </w:rPr>
        <w:t xml:space="preserve"> </w:t>
      </w:r>
      <w:r w:rsidR="001C50D9">
        <w:rPr>
          <w:lang w:val="en-US"/>
        </w:rPr>
        <w:t xml:space="preserve">a </w:t>
      </w:r>
      <w:r w:rsidR="000D0F57">
        <w:rPr>
          <w:lang w:val="en-US"/>
        </w:rPr>
        <w:t xml:space="preserve">report on the provisions </w:t>
      </w:r>
      <w:r w:rsidR="001C50D9">
        <w:rPr>
          <w:lang w:val="en-US"/>
        </w:rPr>
        <w:t>of the Council Decisions 588 (C16), 619 (C19,</w:t>
      </w:r>
      <w:r w:rsidR="001C50D9" w:rsidRPr="001C50D9">
        <w:t xml:space="preserve"> </w:t>
      </w:r>
      <w:r w:rsidR="001C50D9">
        <w:t>last amended C21),</w:t>
      </w:r>
      <w:r w:rsidR="001C50D9">
        <w:rPr>
          <w:lang w:val="en-US"/>
        </w:rPr>
        <w:t xml:space="preserve"> and 640</w:t>
      </w:r>
      <w:r w:rsidR="00E6620D">
        <w:rPr>
          <w:lang w:val="en-US"/>
        </w:rPr>
        <w:t xml:space="preserve"> (C24)</w:t>
      </w:r>
      <w:r w:rsidR="001C50D9">
        <w:rPr>
          <w:lang w:val="en-US"/>
        </w:rPr>
        <w:t>, that are still</w:t>
      </w:r>
      <w:r w:rsidR="000D0F57">
        <w:rPr>
          <w:lang w:val="en-US"/>
        </w:rPr>
        <w:t xml:space="preserve"> </w:t>
      </w:r>
      <w:r w:rsidR="001C50D9" w:rsidRPr="00607F37">
        <w:rPr>
          <w:szCs w:val="24"/>
        </w:rPr>
        <w:t>in force and those that are outdated</w:t>
      </w:r>
      <w:r w:rsidR="00E6620D">
        <w:rPr>
          <w:szCs w:val="24"/>
        </w:rPr>
        <w:t xml:space="preserve">. </w:t>
      </w:r>
      <w:r w:rsidR="00E6620D" w:rsidRPr="00730F83">
        <w:rPr>
          <w:b/>
          <w:bCs/>
          <w:szCs w:val="24"/>
        </w:rPr>
        <w:t xml:space="preserve">Having considered the contribution by Switzerland, the Council decides to instruct the Secretariat to prepare an analysis of the Council Decisions 588 (C16), 619 </w:t>
      </w:r>
      <w:r w:rsidR="00E6620D" w:rsidRPr="00730F83">
        <w:rPr>
          <w:b/>
          <w:bCs/>
          <w:lang w:val="en-US"/>
        </w:rPr>
        <w:t>(C19,</w:t>
      </w:r>
      <w:r w:rsidR="00E6620D" w:rsidRPr="00730F83">
        <w:rPr>
          <w:b/>
          <w:bCs/>
        </w:rPr>
        <w:t xml:space="preserve"> last amended C21)</w:t>
      </w:r>
      <w:r w:rsidR="00E6620D" w:rsidRPr="00730F83">
        <w:rPr>
          <w:b/>
          <w:bCs/>
          <w:szCs w:val="24"/>
        </w:rPr>
        <w:t>, and 640 (C24), identifying the provision that are still in force and those that are superseded or outdated, and to submit</w:t>
      </w:r>
      <w:r w:rsidR="00E6620D" w:rsidRPr="00730F83">
        <w:rPr>
          <w:b/>
          <w:bCs/>
        </w:rPr>
        <w:t xml:space="preserve"> this analysis to CWG-FHR at its meeting.</w:t>
      </w:r>
      <w:r w:rsidR="000D0F57">
        <w:t xml:space="preserve"> </w:t>
      </w:r>
      <w:r w:rsidR="000D0F57" w:rsidRPr="000D0F57">
        <w:t>The Secretariat will also publish a second revision of</w:t>
      </w:r>
      <w:r w:rsidR="000D0F57">
        <w:t xml:space="preserve"> </w:t>
      </w:r>
      <w:hyperlink r:id="rId39" w:history="1">
        <w:r w:rsidR="000D0F57">
          <w:rPr>
            <w:rStyle w:val="Hyperlink"/>
            <w:b/>
            <w:bCs/>
            <w:lang w:val="en-US"/>
          </w:rPr>
          <w:t>Document C25/7</w:t>
        </w:r>
      </w:hyperlink>
      <w:r w:rsidR="000D0F57">
        <w:t xml:space="preserve"> </w:t>
      </w:r>
      <w:r w:rsidR="000D0F57" w:rsidRPr="000D0F57">
        <w:t>to align the titles with the wording of Decision 640 (C24).</w:t>
      </w:r>
    </w:p>
    <w:p w14:paraId="20ACEE4F" w14:textId="4741FC6A" w:rsidR="0010381E" w:rsidRPr="000D0F57" w:rsidRDefault="0010381E" w:rsidP="00A93EAE">
      <w:pPr>
        <w:tabs>
          <w:tab w:val="clear" w:pos="567"/>
          <w:tab w:val="clear" w:pos="1134"/>
          <w:tab w:val="clear" w:pos="1701"/>
          <w:tab w:val="clear" w:pos="2268"/>
          <w:tab w:val="clear" w:pos="2835"/>
        </w:tabs>
        <w:overflowPunct/>
        <w:autoSpaceDE/>
        <w:autoSpaceDN/>
        <w:adjustRightInd/>
        <w:spacing w:before="480" w:after="120"/>
        <w:ind w:firstLine="709"/>
        <w:jc w:val="both"/>
        <w:textAlignment w:val="auto"/>
        <w:rPr>
          <w:b/>
          <w:lang w:val="en-US"/>
        </w:rPr>
      </w:pPr>
      <w:r w:rsidRPr="000D0F57">
        <w:rPr>
          <w:b/>
          <w:lang w:val="en-US"/>
        </w:rPr>
        <w:t xml:space="preserve">3. </w:t>
      </w:r>
      <w:r w:rsidR="000D0F57" w:rsidRPr="000D0F57">
        <w:rPr>
          <w:b/>
          <w:lang w:val="en-US"/>
        </w:rPr>
        <w:t>Requirements for premises and building.</w:t>
      </w:r>
    </w:p>
    <w:p w14:paraId="2EF2237F" w14:textId="68932118" w:rsidR="000D0F57" w:rsidRPr="000D0F57" w:rsidRDefault="000D0F57"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Pr>
          <w:lang w:val="en-US"/>
        </w:rPr>
        <w:t>In</w:t>
      </w:r>
      <w:r w:rsidRPr="000D0F57">
        <w:rPr>
          <w:lang w:val="en-US"/>
        </w:rPr>
        <w:t xml:space="preserve"> </w:t>
      </w:r>
      <w:r>
        <w:rPr>
          <w:lang w:val="en-US"/>
        </w:rPr>
        <w:t>accordance</w:t>
      </w:r>
      <w:r w:rsidRPr="000D0F57">
        <w:rPr>
          <w:lang w:val="en-US"/>
        </w:rPr>
        <w:t xml:space="preserve"> </w:t>
      </w:r>
      <w:r>
        <w:rPr>
          <w:lang w:val="en-US"/>
        </w:rPr>
        <w:t>with</w:t>
      </w:r>
      <w:r w:rsidRPr="000D0F57">
        <w:rPr>
          <w:lang w:val="en-US"/>
        </w:rPr>
        <w:t xml:space="preserve"> </w:t>
      </w:r>
      <w:r>
        <w:rPr>
          <w:lang w:val="en-US"/>
        </w:rPr>
        <w:t>Resolution</w:t>
      </w:r>
      <w:r w:rsidRPr="000D0F57">
        <w:rPr>
          <w:lang w:val="en-US"/>
        </w:rPr>
        <w:t xml:space="preserve"> 212 (</w:t>
      </w:r>
      <w:r>
        <w:rPr>
          <w:lang w:val="en-US"/>
        </w:rPr>
        <w:t xml:space="preserve">Bucharest, 2022) of the Plenipotentiary Conference 2022, </w:t>
      </w:r>
      <w:r w:rsidRPr="000D0F57">
        <w:rPr>
          <w:b/>
          <w:bCs/>
          <w:lang w:val="en-US"/>
        </w:rPr>
        <w:t>it is resolved that</w:t>
      </w:r>
      <w:r w:rsidRPr="000D0F57">
        <w:rPr>
          <w:b/>
          <w:bCs/>
        </w:rPr>
        <w:t xml:space="preserve"> the new Headquarters building be constructed in order to provide the premises and facilities necessary to meet the Union's requirements in the long term in accordance with Council Decision 588 (2016), Council Decision 619 (2021) and other relevant Council decisions</w:t>
      </w:r>
      <w:r w:rsidRPr="000D0F57">
        <w:t>.</w:t>
      </w:r>
    </w:p>
    <w:p w14:paraId="76E69C4D" w14:textId="77777777" w:rsidR="00DD421B" w:rsidRDefault="00DD421B"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DD421B">
        <w:rPr>
          <w:lang w:val="en-US"/>
        </w:rPr>
        <w:t xml:space="preserve">In 2017, it was assumed that in order to meet </w:t>
      </w:r>
      <w:r w:rsidRPr="00DD421B">
        <w:t>the Union's requirements in the long term</w:t>
      </w:r>
      <w:r w:rsidRPr="00DD421B">
        <w:rPr>
          <w:lang w:val="en-US"/>
        </w:rPr>
        <w:t xml:space="preserve">, the premises specified in the competition for the new building of the Union's headquarters in accordance with the </w:t>
      </w:r>
      <w:r>
        <w:rPr>
          <w:lang w:val="en-US"/>
        </w:rPr>
        <w:t>Council D</w:t>
      </w:r>
      <w:r w:rsidRPr="00DD421B">
        <w:rPr>
          <w:lang w:val="en-US"/>
        </w:rPr>
        <w:t>ecisions (</w:t>
      </w:r>
      <w:r>
        <w:rPr>
          <w:lang w:val="en-US"/>
        </w:rPr>
        <w:t xml:space="preserve">Council </w:t>
      </w:r>
      <w:r w:rsidRPr="00DD421B">
        <w:rPr>
          <w:lang w:val="en-US"/>
        </w:rPr>
        <w:t xml:space="preserve">Decision 588 (2016), Decision 619 (2021)), specified in </w:t>
      </w:r>
      <w:hyperlink r:id="rId40" w:history="1">
        <w:r>
          <w:rPr>
            <w:rStyle w:val="Hyperlink"/>
            <w:lang w:val="en-US"/>
          </w:rPr>
          <w:t>Document С17/7</w:t>
        </w:r>
      </w:hyperlink>
      <w:r w:rsidRPr="00DD421B">
        <w:rPr>
          <w:lang w:val="en-US"/>
        </w:rPr>
        <w:t xml:space="preserve"> and </w:t>
      </w:r>
      <w:r>
        <w:rPr>
          <w:lang w:val="en-US"/>
        </w:rPr>
        <w:t xml:space="preserve">the </w:t>
      </w:r>
      <w:hyperlink r:id="rId41" w:history="1">
        <w:r w:rsidRPr="00104507">
          <w:rPr>
            <w:rStyle w:val="Hyperlink"/>
            <w:lang w:val="en-US"/>
          </w:rPr>
          <w:t>A</w:t>
        </w:r>
        <w:r w:rsidRPr="00DD421B">
          <w:rPr>
            <w:rStyle w:val="Hyperlink"/>
            <w:lang w:val="en-US"/>
          </w:rPr>
          <w:t>rchitectural design competition «NEW BUILDING – ITU GENEVA» 14.04.2017 No. 1.15.02</w:t>
        </w:r>
      </w:hyperlink>
      <w:r w:rsidRPr="00DD421B">
        <w:rPr>
          <w:lang w:val="en-US"/>
        </w:rPr>
        <w:t xml:space="preserve">), were required, which implied </w:t>
      </w:r>
      <w:r w:rsidRPr="00DD421B">
        <w:rPr>
          <w:b/>
          <w:bCs/>
          <w:lang w:val="en-US"/>
        </w:rPr>
        <w:t xml:space="preserve">the replacement of the </w:t>
      </w:r>
      <w:proofErr w:type="spellStart"/>
      <w:r w:rsidRPr="00DD421B">
        <w:rPr>
          <w:b/>
          <w:bCs/>
          <w:lang w:val="en-US"/>
        </w:rPr>
        <w:t>Varembé</w:t>
      </w:r>
      <w:proofErr w:type="spellEnd"/>
      <w:r w:rsidRPr="00DD421B">
        <w:rPr>
          <w:b/>
          <w:bCs/>
          <w:lang w:val="en-US"/>
        </w:rPr>
        <w:t xml:space="preserve"> building with a new construction that would also include the offices and facilities of the Tower building, and complement the </w:t>
      </w:r>
      <w:proofErr w:type="spellStart"/>
      <w:r w:rsidRPr="00DD421B">
        <w:rPr>
          <w:b/>
          <w:bCs/>
          <w:lang w:val="en-US"/>
        </w:rPr>
        <w:t>Montbrillant</w:t>
      </w:r>
      <w:proofErr w:type="spellEnd"/>
      <w:r w:rsidRPr="00DD421B">
        <w:rPr>
          <w:b/>
          <w:bCs/>
          <w:lang w:val="en-US"/>
        </w:rPr>
        <w:t xml:space="preserve"> building which would be retained and refurbished</w:t>
      </w:r>
      <w:r>
        <w:rPr>
          <w:lang w:val="en-US"/>
        </w:rPr>
        <w:t>.</w:t>
      </w:r>
    </w:p>
    <w:p w14:paraId="536207CE" w14:textId="63DED6E3" w:rsidR="00DD421B" w:rsidRPr="00DD421B" w:rsidRDefault="00DD421B"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Pr>
          <w:lang w:val="en-US"/>
        </w:rPr>
        <w:t>However,</w:t>
      </w:r>
      <w:r w:rsidRPr="00DD421B">
        <w:rPr>
          <w:lang w:val="en-US"/>
        </w:rPr>
        <w:t xml:space="preserve"> in 2025 the list of premises was significantly reduced (see A</w:t>
      </w:r>
      <w:r>
        <w:rPr>
          <w:lang w:val="en-US"/>
        </w:rPr>
        <w:t>nnex</w:t>
      </w:r>
      <w:r w:rsidRPr="00DD421B">
        <w:rPr>
          <w:lang w:val="en-US"/>
        </w:rPr>
        <w:t xml:space="preserve"> 1 to Decision 640 (C24)), which makes it impossible to implement the new project in accordance with Resolution 212 </w:t>
      </w:r>
      <w:r>
        <w:rPr>
          <w:lang w:val="en-US"/>
        </w:rPr>
        <w:t xml:space="preserve">of the </w:t>
      </w:r>
      <w:r w:rsidRPr="00DD421B">
        <w:rPr>
          <w:lang w:val="en-US"/>
        </w:rPr>
        <w:t>P</w:t>
      </w:r>
      <w:r>
        <w:rPr>
          <w:lang w:val="en-US"/>
        </w:rPr>
        <w:t>lenipotentiary Conference 2022</w:t>
      </w:r>
      <w:r w:rsidRPr="00DD421B">
        <w:rPr>
          <w:lang w:val="en-US"/>
        </w:rPr>
        <w:t>.</w:t>
      </w:r>
    </w:p>
    <w:p w14:paraId="167CDC45" w14:textId="540DE54C" w:rsidR="00DD421B" w:rsidRPr="00DD421B" w:rsidRDefault="00DD421B"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730F83">
        <w:rPr>
          <w:b/>
          <w:bCs/>
          <w:lang w:val="en-US"/>
        </w:rPr>
        <w:t>The new requirements set out in Decision 640</w:t>
      </w:r>
      <w:r w:rsidRPr="00730F83">
        <w:rPr>
          <w:lang w:val="en-US"/>
        </w:rPr>
        <w:t xml:space="preserve"> (C24) for the Union’s premises clearly imply </w:t>
      </w:r>
      <w:r w:rsidR="006C3F8D" w:rsidRPr="00730F83">
        <w:t xml:space="preserve">that only the replacement of the </w:t>
      </w:r>
      <w:proofErr w:type="spellStart"/>
      <w:r w:rsidR="006C3F8D" w:rsidRPr="00730F83">
        <w:rPr>
          <w:lang w:val="en-US"/>
        </w:rPr>
        <w:t>Varembé</w:t>
      </w:r>
      <w:proofErr w:type="spellEnd"/>
      <w:r w:rsidR="006C3F8D" w:rsidRPr="00730F83">
        <w:t xml:space="preserve"> building (15,000 </w:t>
      </w:r>
      <w:proofErr w:type="spellStart"/>
      <w:r w:rsidR="006C3F8D" w:rsidRPr="00730F83">
        <w:t>sq.m</w:t>
      </w:r>
      <w:proofErr w:type="spellEnd"/>
      <w:r w:rsidR="006C3F8D" w:rsidRPr="00730F83">
        <w:t xml:space="preserve">.) will be carried out with a new construction (15,000 sq. m.), which will no longer </w:t>
      </w:r>
      <w:r w:rsidR="006C3F8D" w:rsidRPr="00730F83">
        <w:rPr>
          <w:color w:val="0D0D0D" w:themeColor="text1" w:themeTint="F2"/>
        </w:rPr>
        <w:t xml:space="preserve">fully take into account </w:t>
      </w:r>
      <w:r w:rsidR="006C3F8D" w:rsidRPr="00730F83">
        <w:t xml:space="preserve">the office and other </w:t>
      </w:r>
      <w:r w:rsidR="006C51FD" w:rsidRPr="00730F83">
        <w:t>facilities</w:t>
      </w:r>
      <w:r w:rsidR="006C3F8D" w:rsidRPr="00730F83">
        <w:t xml:space="preserve"> of the Tower building (21,000 sqm in addition to 15,000 s</w:t>
      </w:r>
      <w:r w:rsidR="006C51FD" w:rsidRPr="00730F83">
        <w:t>q</w:t>
      </w:r>
      <w:r w:rsidR="006C3F8D" w:rsidRPr="00730F83">
        <w:t xml:space="preserve">m of the </w:t>
      </w:r>
      <w:proofErr w:type="spellStart"/>
      <w:r w:rsidR="006C51FD" w:rsidRPr="00730F83">
        <w:rPr>
          <w:lang w:val="en-US"/>
        </w:rPr>
        <w:t>Varembé</w:t>
      </w:r>
      <w:proofErr w:type="spellEnd"/>
      <w:r w:rsidR="006C3F8D" w:rsidRPr="00730F83">
        <w:t xml:space="preserve"> building), and also does not provide for the renovation of the </w:t>
      </w:r>
      <w:proofErr w:type="spellStart"/>
      <w:r w:rsidR="00730F83" w:rsidRPr="00730F83">
        <w:t>Montbrillant</w:t>
      </w:r>
      <w:proofErr w:type="spellEnd"/>
      <w:r w:rsidR="00730F83" w:rsidRPr="00730F83">
        <w:t xml:space="preserve"> building </w:t>
      </w:r>
      <w:r w:rsidR="006C3F8D" w:rsidRPr="00730F83">
        <w:t>(12,000 square meters), as provided for in Decision 588 (C16) and Decision 619 (C21).</w:t>
      </w:r>
    </w:p>
    <w:p w14:paraId="4AC156FE" w14:textId="70EA9428" w:rsidR="003F530C" w:rsidRPr="006C3F8D" w:rsidRDefault="006C3F8D" w:rsidP="00537C2A">
      <w:pPr>
        <w:keepNext/>
        <w:keepLines/>
        <w:tabs>
          <w:tab w:val="clear" w:pos="567"/>
          <w:tab w:val="clear" w:pos="1134"/>
          <w:tab w:val="clear" w:pos="1701"/>
          <w:tab w:val="clear" w:pos="2268"/>
          <w:tab w:val="clear" w:pos="2835"/>
        </w:tabs>
        <w:overflowPunct/>
        <w:autoSpaceDE/>
        <w:autoSpaceDN/>
        <w:adjustRightInd/>
        <w:spacing w:before="360" w:after="120"/>
        <w:ind w:firstLine="709"/>
        <w:jc w:val="both"/>
        <w:textAlignment w:val="auto"/>
        <w:rPr>
          <w:b/>
          <w:bCs/>
          <w:lang w:val="en-US"/>
        </w:rPr>
      </w:pPr>
      <w:r w:rsidRPr="006C3F8D">
        <w:rPr>
          <w:b/>
          <w:bCs/>
        </w:rPr>
        <w:t xml:space="preserve">4. Assessment of the required premises of the unified ITU headquarters </w:t>
      </w:r>
    </w:p>
    <w:p w14:paraId="75344910" w14:textId="587F81B8" w:rsidR="003F530C" w:rsidRPr="00100696" w:rsidRDefault="003F530C" w:rsidP="00A93EAE">
      <w:pPr>
        <w:keepNext/>
        <w:keepLines/>
        <w:tabs>
          <w:tab w:val="clear" w:pos="567"/>
          <w:tab w:val="clear" w:pos="1134"/>
          <w:tab w:val="clear" w:pos="1701"/>
          <w:tab w:val="clear" w:pos="2268"/>
          <w:tab w:val="clear" w:pos="2835"/>
        </w:tabs>
        <w:overflowPunct/>
        <w:autoSpaceDE/>
        <w:autoSpaceDN/>
        <w:adjustRightInd/>
        <w:spacing w:before="240" w:after="120"/>
        <w:ind w:firstLine="709"/>
        <w:jc w:val="both"/>
        <w:textAlignment w:val="auto"/>
        <w:rPr>
          <w:b/>
          <w:bCs/>
          <w:i/>
          <w:iCs/>
          <w:lang w:val="en-US"/>
        </w:rPr>
      </w:pPr>
      <w:r w:rsidRPr="001C5304">
        <w:rPr>
          <w:b/>
          <w:bCs/>
          <w:i/>
          <w:iCs/>
          <w:lang w:val="en-US"/>
        </w:rPr>
        <w:t xml:space="preserve">4.1.  </w:t>
      </w:r>
      <w:r w:rsidR="00100696" w:rsidRPr="00100696">
        <w:rPr>
          <w:b/>
          <w:bCs/>
          <w:i/>
          <w:iCs/>
        </w:rPr>
        <w:t>Member States and Sector Members</w:t>
      </w:r>
      <w:r w:rsidR="00100696">
        <w:rPr>
          <w:b/>
          <w:bCs/>
          <w:i/>
          <w:iCs/>
        </w:rPr>
        <w:t xml:space="preserve"> of the Union</w:t>
      </w:r>
    </w:p>
    <w:p w14:paraId="0F22215A" w14:textId="50C105C2" w:rsidR="00FE53A8" w:rsidRPr="00FE53A8" w:rsidRDefault="00FE53A8" w:rsidP="00537C2A">
      <w:pPr>
        <w:keepNext/>
        <w:keepLines/>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6C51FD">
        <w:t xml:space="preserve">The Member States, by decisions in Resolution 212, Decision 588 and Decision 619, approved the continuation of the project to replace the </w:t>
      </w:r>
      <w:proofErr w:type="spellStart"/>
      <w:r w:rsidRPr="006C51FD">
        <w:rPr>
          <w:lang w:val="en-US"/>
        </w:rPr>
        <w:t>Varembé</w:t>
      </w:r>
      <w:proofErr w:type="spellEnd"/>
      <w:r w:rsidRPr="006C51FD">
        <w:t xml:space="preserve"> and Tower buildings with a new construction, which, together with the existing </w:t>
      </w:r>
      <w:proofErr w:type="spellStart"/>
      <w:r w:rsidRPr="006C51FD">
        <w:t>Montbrillant</w:t>
      </w:r>
      <w:proofErr w:type="spellEnd"/>
      <w:r w:rsidRPr="006C51FD">
        <w:t xml:space="preserve"> building, forms the new headquarters of the Union in Geneva and meets all the needs for office and </w:t>
      </w:r>
      <w:r w:rsidR="006C51FD" w:rsidRPr="006C51FD">
        <w:t>facilities</w:t>
      </w:r>
      <w:r w:rsidRPr="006C51FD">
        <w:t xml:space="preserve"> of the Members and staff of the Union in the future.</w:t>
      </w:r>
    </w:p>
    <w:p w14:paraId="23EE684F" w14:textId="6B9064D6" w:rsidR="00FE53A8" w:rsidRPr="00551CDC" w:rsidRDefault="00FE53A8"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FE53A8">
        <w:rPr>
          <w:b/>
          <w:bCs/>
          <w:lang w:val="en-US"/>
        </w:rPr>
        <w:t>Following the adoption of Council Decision 640 (C24), no survey on the requirements for premises for the future ITU headquarters was conducted among ITU Member States and Sector Members.</w:t>
      </w:r>
      <w:r w:rsidRPr="00FE53A8">
        <w:rPr>
          <w:lang w:val="en-US"/>
        </w:rPr>
        <w:t xml:space="preserve"> However, the previous draft provided for a list of office and functional premises defined and agreed upon by the Council, specified in </w:t>
      </w:r>
      <w:hyperlink r:id="rId42" w:history="1">
        <w:r w:rsidR="003D5B16">
          <w:rPr>
            <w:rStyle w:val="Hyperlink"/>
            <w:lang w:val="en-US"/>
          </w:rPr>
          <w:t>Doc</w:t>
        </w:r>
        <w:r w:rsidR="003D5B16" w:rsidRPr="003D5B16">
          <w:rPr>
            <w:rStyle w:val="Hyperlink"/>
            <w:lang w:val="en-US"/>
          </w:rPr>
          <w:t xml:space="preserve">. </w:t>
        </w:r>
        <w:r w:rsidR="003D5B16" w:rsidRPr="00551CDC">
          <w:rPr>
            <w:rStyle w:val="Hyperlink"/>
            <w:lang w:val="ru-RU"/>
          </w:rPr>
          <w:t>С</w:t>
        </w:r>
        <w:r w:rsidR="003D5B16" w:rsidRPr="00551CDC">
          <w:rPr>
            <w:rStyle w:val="Hyperlink"/>
            <w:lang w:val="en-US"/>
          </w:rPr>
          <w:t>17/7</w:t>
        </w:r>
      </w:hyperlink>
      <w:r w:rsidR="003D5B16">
        <w:t xml:space="preserve"> </w:t>
      </w:r>
      <w:r w:rsidRPr="00FE53A8">
        <w:rPr>
          <w:lang w:val="en-US"/>
        </w:rPr>
        <w:t xml:space="preserve">and </w:t>
      </w:r>
      <w:hyperlink r:id="rId43" w:history="1">
        <w:r w:rsidR="003D5B16" w:rsidRPr="00104507">
          <w:rPr>
            <w:rStyle w:val="Hyperlink"/>
            <w:lang w:val="en-US"/>
          </w:rPr>
          <w:t>A</w:t>
        </w:r>
        <w:r w:rsidR="003D5B16" w:rsidRPr="003A12B2">
          <w:rPr>
            <w:rStyle w:val="Hyperlink"/>
            <w:lang w:val="en-US"/>
          </w:rPr>
          <w:t>rchitectural</w:t>
        </w:r>
        <w:r w:rsidR="003D5B16" w:rsidRPr="00551CDC">
          <w:rPr>
            <w:rStyle w:val="Hyperlink"/>
            <w:lang w:val="en-US"/>
          </w:rPr>
          <w:t xml:space="preserve"> </w:t>
        </w:r>
        <w:r w:rsidR="003D5B16" w:rsidRPr="003A12B2">
          <w:rPr>
            <w:rStyle w:val="Hyperlink"/>
            <w:lang w:val="en-US"/>
          </w:rPr>
          <w:t>design</w:t>
        </w:r>
        <w:r w:rsidR="003D5B16" w:rsidRPr="00551CDC">
          <w:rPr>
            <w:rStyle w:val="Hyperlink"/>
            <w:lang w:val="en-US"/>
          </w:rPr>
          <w:t xml:space="preserve"> </w:t>
        </w:r>
        <w:r w:rsidR="003D5B16" w:rsidRPr="003A12B2">
          <w:rPr>
            <w:rStyle w:val="Hyperlink"/>
            <w:lang w:val="en-US"/>
          </w:rPr>
          <w:t>competition</w:t>
        </w:r>
        <w:r w:rsidR="003D5B16" w:rsidRPr="00551CDC">
          <w:rPr>
            <w:rStyle w:val="Hyperlink"/>
            <w:lang w:val="en-US"/>
          </w:rPr>
          <w:t xml:space="preserve"> «</w:t>
        </w:r>
        <w:r w:rsidR="003D5B16" w:rsidRPr="003A12B2">
          <w:rPr>
            <w:rStyle w:val="Hyperlink"/>
            <w:lang w:val="en-US"/>
          </w:rPr>
          <w:t>NEW</w:t>
        </w:r>
        <w:r w:rsidR="003D5B16" w:rsidRPr="00551CDC">
          <w:rPr>
            <w:rStyle w:val="Hyperlink"/>
            <w:lang w:val="en-US"/>
          </w:rPr>
          <w:t xml:space="preserve"> </w:t>
        </w:r>
        <w:r w:rsidR="003D5B16" w:rsidRPr="003A12B2">
          <w:rPr>
            <w:rStyle w:val="Hyperlink"/>
            <w:lang w:val="en-US"/>
          </w:rPr>
          <w:t>BUILDING</w:t>
        </w:r>
        <w:r w:rsidR="003D5B16" w:rsidRPr="00551CDC">
          <w:rPr>
            <w:rStyle w:val="Hyperlink"/>
            <w:lang w:val="en-US"/>
          </w:rPr>
          <w:t xml:space="preserve"> – </w:t>
        </w:r>
        <w:r w:rsidR="003D5B16" w:rsidRPr="003A12B2">
          <w:rPr>
            <w:rStyle w:val="Hyperlink"/>
            <w:lang w:val="en-US"/>
          </w:rPr>
          <w:t>ITU</w:t>
        </w:r>
        <w:r w:rsidR="003D5B16" w:rsidRPr="00551CDC">
          <w:rPr>
            <w:rStyle w:val="Hyperlink"/>
            <w:lang w:val="en-US"/>
          </w:rPr>
          <w:t xml:space="preserve"> </w:t>
        </w:r>
        <w:r w:rsidR="003D5B16" w:rsidRPr="003A12B2">
          <w:rPr>
            <w:rStyle w:val="Hyperlink"/>
            <w:lang w:val="en-US"/>
          </w:rPr>
          <w:t>GENEVA</w:t>
        </w:r>
        <w:r w:rsidR="003D5B16" w:rsidRPr="00551CDC">
          <w:rPr>
            <w:rStyle w:val="Hyperlink"/>
            <w:lang w:val="en-US"/>
          </w:rPr>
          <w:t xml:space="preserve">» 14.04.2017 </w:t>
        </w:r>
        <w:r w:rsidR="003D5B16" w:rsidRPr="003A12B2">
          <w:rPr>
            <w:rStyle w:val="Hyperlink"/>
            <w:lang w:val="en-US"/>
          </w:rPr>
          <w:t>No</w:t>
        </w:r>
        <w:r w:rsidR="003D5B16" w:rsidRPr="00551CDC">
          <w:rPr>
            <w:rStyle w:val="Hyperlink"/>
            <w:lang w:val="en-US"/>
          </w:rPr>
          <w:t>. 1.15.02</w:t>
        </w:r>
      </w:hyperlink>
      <w:r w:rsidRPr="00FE53A8">
        <w:rPr>
          <w:lang w:val="en-US"/>
        </w:rPr>
        <w:t xml:space="preserve">, as well as given in the contribution </w:t>
      </w:r>
      <w:r w:rsidR="003D5B16">
        <w:rPr>
          <w:lang w:val="en-US"/>
        </w:rPr>
        <w:t>by</w:t>
      </w:r>
      <w:r w:rsidRPr="00FE53A8">
        <w:rPr>
          <w:lang w:val="en-US"/>
        </w:rPr>
        <w:t xml:space="preserve"> the Republic of Armenia, the Republic of Belarus, the Kyrgyz Republic and the Russian Federation CWG-FHR-17/19 "Premises of the new ITU Headquarters building that cannot be subject to descoping and the requirements for them are deteriorated".</w:t>
      </w:r>
      <w:r w:rsidR="003D5B16">
        <w:rPr>
          <w:lang w:val="en-US"/>
        </w:rPr>
        <w:t xml:space="preserve"> </w:t>
      </w:r>
    </w:p>
    <w:p w14:paraId="66ED615D" w14:textId="6E348BF8" w:rsidR="003F530C" w:rsidRPr="006C51FD" w:rsidRDefault="003F530C" w:rsidP="00A93EAE">
      <w:pPr>
        <w:tabs>
          <w:tab w:val="clear" w:pos="567"/>
          <w:tab w:val="clear" w:pos="1134"/>
          <w:tab w:val="clear" w:pos="1701"/>
          <w:tab w:val="clear" w:pos="2268"/>
          <w:tab w:val="clear" w:pos="2835"/>
        </w:tabs>
        <w:spacing w:before="240" w:after="120"/>
        <w:ind w:firstLine="709"/>
        <w:jc w:val="both"/>
        <w:rPr>
          <w:b/>
          <w:bCs/>
          <w:i/>
          <w:iCs/>
          <w:lang w:val="en-US"/>
        </w:rPr>
      </w:pPr>
      <w:r w:rsidRPr="001C5304">
        <w:rPr>
          <w:b/>
          <w:bCs/>
          <w:i/>
          <w:iCs/>
          <w:lang w:val="en-US"/>
        </w:rPr>
        <w:t>4.2. </w:t>
      </w:r>
      <w:r w:rsidR="006C51FD" w:rsidRPr="006C51FD">
        <w:rPr>
          <w:b/>
          <w:bCs/>
          <w:i/>
          <w:iCs/>
          <w:lang w:val="en-US"/>
        </w:rPr>
        <w:t>Among</w:t>
      </w:r>
      <w:r w:rsidR="006C51FD">
        <w:rPr>
          <w:b/>
          <w:bCs/>
          <w:i/>
          <w:iCs/>
          <w:lang w:val="en-US"/>
        </w:rPr>
        <w:t xml:space="preserve"> the Union’s staff</w:t>
      </w:r>
    </w:p>
    <w:p w14:paraId="566A44FB" w14:textId="58D066A1" w:rsidR="00EE391E" w:rsidRPr="00EE391E" w:rsidRDefault="00EE391E" w:rsidP="00537C2A">
      <w:pPr>
        <w:tabs>
          <w:tab w:val="clear" w:pos="567"/>
          <w:tab w:val="clear" w:pos="1134"/>
          <w:tab w:val="clear" w:pos="1701"/>
          <w:tab w:val="clear" w:pos="2268"/>
          <w:tab w:val="clear" w:pos="2835"/>
        </w:tabs>
        <w:spacing w:after="120"/>
        <w:ind w:firstLine="709"/>
        <w:jc w:val="both"/>
        <w:rPr>
          <w:lang w:val="en-US"/>
        </w:rPr>
      </w:pPr>
      <w:r w:rsidRPr="00EE391E">
        <w:t xml:space="preserve">For consideration at the additional session of the Council in 2023, the Secretary-General conducted an assessment of the needs for the premises of the future headquarters among ITU staff. ITU staff were asked to complete a short survey developed by the Facilities Management and Building Project Division (FMBPD), the Human Resources Management Department (HRMD) and the ITU Staff Council. A total of 338 responses were collected. During the survey, employees were asked to rate the functionality and amenities of the new building according to their importance. The staff also shared ideas for other facilities and possible measures to mitigate the difficulties associated with the project, such as sharing some facilities with other UN agencies and multi-purpose facilities. The survey also highlighted the importance for employees of both individual offices and the desire for flexibility in their work. The </w:t>
      </w:r>
      <w:r w:rsidR="00EF6F78">
        <w:t xml:space="preserve">staff </w:t>
      </w:r>
      <w:r w:rsidRPr="00EE391E">
        <w:t xml:space="preserve">survey results are available in the </w:t>
      </w:r>
      <w:hyperlink r:id="rId44" w:history="1">
        <w:r w:rsidR="00EF6F78" w:rsidRPr="00104507">
          <w:rPr>
            <w:rStyle w:val="Hyperlink"/>
            <w:lang w:val="en-US"/>
          </w:rPr>
          <w:t>Annex</w:t>
        </w:r>
        <w:r w:rsidR="00EF6F78" w:rsidRPr="00704332">
          <w:rPr>
            <w:rStyle w:val="Hyperlink"/>
            <w:lang w:val="en-US"/>
          </w:rPr>
          <w:t xml:space="preserve"> </w:t>
        </w:r>
        <w:r w:rsidR="00EF6F78" w:rsidRPr="00104507">
          <w:rPr>
            <w:rStyle w:val="Hyperlink"/>
            <w:lang w:val="en-US"/>
          </w:rPr>
          <w:t>B</w:t>
        </w:r>
        <w:r w:rsidR="00EF6F78" w:rsidRPr="00704332">
          <w:rPr>
            <w:rStyle w:val="Hyperlink"/>
            <w:lang w:val="en-US"/>
          </w:rPr>
          <w:t xml:space="preserve"> – </w:t>
        </w:r>
        <w:r w:rsidR="00EF6F78" w:rsidRPr="00104507">
          <w:rPr>
            <w:rStyle w:val="Hyperlink"/>
            <w:lang w:val="en-US"/>
          </w:rPr>
          <w:t>Slides</w:t>
        </w:r>
        <w:r w:rsidR="00EF6F78" w:rsidRPr="00704332">
          <w:rPr>
            <w:rStyle w:val="Hyperlink"/>
            <w:lang w:val="en-US"/>
          </w:rPr>
          <w:t xml:space="preserve"> </w:t>
        </w:r>
        <w:r w:rsidR="00EF6F78" w:rsidRPr="00104507">
          <w:rPr>
            <w:rStyle w:val="Hyperlink"/>
            <w:lang w:val="en-US"/>
          </w:rPr>
          <w:t>presentation</w:t>
        </w:r>
        <w:r w:rsidR="00EF6F78" w:rsidRPr="00704332">
          <w:rPr>
            <w:rStyle w:val="Hyperlink"/>
            <w:lang w:val="en-US"/>
          </w:rPr>
          <w:t xml:space="preserve"> </w:t>
        </w:r>
        <w:r w:rsidR="00EF6F78" w:rsidRPr="00104507">
          <w:rPr>
            <w:rStyle w:val="Hyperlink"/>
            <w:lang w:val="en-US"/>
          </w:rPr>
          <w:t>of</w:t>
        </w:r>
        <w:r w:rsidR="00EF6F78" w:rsidRPr="00704332">
          <w:rPr>
            <w:rStyle w:val="Hyperlink"/>
            <w:lang w:val="en-US"/>
          </w:rPr>
          <w:t xml:space="preserve"> </w:t>
        </w:r>
        <w:r w:rsidR="00EF6F78" w:rsidRPr="00104507">
          <w:rPr>
            <w:rStyle w:val="Hyperlink"/>
            <w:lang w:val="en-US"/>
          </w:rPr>
          <w:t>Document</w:t>
        </w:r>
        <w:r w:rsidR="00EF6F78" w:rsidRPr="00704332">
          <w:rPr>
            <w:rStyle w:val="Hyperlink"/>
            <w:lang w:val="en-US"/>
          </w:rPr>
          <w:t xml:space="preserve"> </w:t>
        </w:r>
        <w:r w:rsidR="00EF6F78" w:rsidRPr="00104507">
          <w:rPr>
            <w:rStyle w:val="Hyperlink"/>
            <w:lang w:val="en-US"/>
          </w:rPr>
          <w:t>C</w:t>
        </w:r>
        <w:r w:rsidR="00EF6F78" w:rsidRPr="00704332">
          <w:rPr>
            <w:rStyle w:val="Hyperlink"/>
            <w:lang w:val="en-US"/>
          </w:rPr>
          <w:t>23-</w:t>
        </w:r>
        <w:r w:rsidR="00EF6F78" w:rsidRPr="00104507">
          <w:rPr>
            <w:rStyle w:val="Hyperlink"/>
            <w:lang w:val="en-US"/>
          </w:rPr>
          <w:t>ADD</w:t>
        </w:r>
        <w:r w:rsidR="00EF6F78" w:rsidRPr="00704332">
          <w:rPr>
            <w:rStyle w:val="Hyperlink"/>
            <w:lang w:val="en-US"/>
          </w:rPr>
          <w:t>/5</w:t>
        </w:r>
      </w:hyperlink>
      <w:r w:rsidRPr="00EE391E">
        <w:t>.</w:t>
      </w:r>
    </w:p>
    <w:p w14:paraId="3BF10FE6" w14:textId="5C675AAB" w:rsidR="003F530C" w:rsidRPr="001C5304" w:rsidRDefault="003F530C" w:rsidP="00A93EAE">
      <w:pPr>
        <w:tabs>
          <w:tab w:val="clear" w:pos="567"/>
          <w:tab w:val="clear" w:pos="1134"/>
          <w:tab w:val="clear" w:pos="1701"/>
          <w:tab w:val="clear" w:pos="2268"/>
          <w:tab w:val="clear" w:pos="2835"/>
        </w:tabs>
        <w:overflowPunct/>
        <w:autoSpaceDE/>
        <w:autoSpaceDN/>
        <w:adjustRightInd/>
        <w:spacing w:before="480" w:after="120"/>
        <w:ind w:firstLine="709"/>
        <w:jc w:val="both"/>
        <w:textAlignment w:val="auto"/>
        <w:rPr>
          <w:b/>
          <w:lang w:val="en-US"/>
        </w:rPr>
      </w:pPr>
      <w:r w:rsidRPr="001C5304">
        <w:rPr>
          <w:b/>
          <w:bCs/>
          <w:lang w:val="en-US"/>
        </w:rPr>
        <w:t>5. </w:t>
      </w:r>
      <w:r w:rsidR="00EF6F78">
        <w:rPr>
          <w:b/>
          <w:lang w:val="en-US"/>
        </w:rPr>
        <w:t>Conclusions</w:t>
      </w:r>
    </w:p>
    <w:p w14:paraId="0C13550D" w14:textId="77777777" w:rsidR="00EF6F78" w:rsidRPr="001C5304" w:rsidRDefault="003F530C" w:rsidP="00A93EAE">
      <w:pPr>
        <w:tabs>
          <w:tab w:val="clear" w:pos="567"/>
          <w:tab w:val="clear" w:pos="1134"/>
          <w:tab w:val="clear" w:pos="1701"/>
          <w:tab w:val="clear" w:pos="2268"/>
          <w:tab w:val="clear" w:pos="2835"/>
        </w:tabs>
        <w:overflowPunct/>
        <w:autoSpaceDE/>
        <w:autoSpaceDN/>
        <w:adjustRightInd/>
        <w:spacing w:before="240" w:after="120"/>
        <w:ind w:firstLine="709"/>
        <w:jc w:val="both"/>
        <w:textAlignment w:val="auto"/>
        <w:rPr>
          <w:b/>
          <w:bCs/>
          <w:i/>
          <w:iCs/>
          <w:lang w:val="en-US"/>
        </w:rPr>
      </w:pPr>
      <w:r w:rsidRPr="001C5304">
        <w:rPr>
          <w:b/>
          <w:bCs/>
          <w:i/>
          <w:iCs/>
          <w:lang w:val="en-US"/>
        </w:rPr>
        <w:t>5.1. </w:t>
      </w:r>
      <w:r w:rsidR="00EF6F78" w:rsidRPr="001C5304">
        <w:rPr>
          <w:b/>
          <w:bCs/>
          <w:i/>
          <w:iCs/>
          <w:lang w:val="en-US"/>
        </w:rPr>
        <w:t xml:space="preserve">Required premises </w:t>
      </w:r>
    </w:p>
    <w:p w14:paraId="6EF85EF8" w14:textId="77777777" w:rsidR="00CE2531" w:rsidRDefault="00CE2531"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CE2531">
        <w:rPr>
          <w:lang w:val="en-US"/>
        </w:rPr>
        <w:t xml:space="preserve">It is obvious that the headquarters building and premises affect the interests not only of the staff, but first and foremost of the delegates from Member States, ITU Sector Members and </w:t>
      </w:r>
      <w:r>
        <w:rPr>
          <w:lang w:val="en-US"/>
        </w:rPr>
        <w:t>Academia</w:t>
      </w:r>
      <w:r w:rsidRPr="00CE2531">
        <w:rPr>
          <w:lang w:val="en-US"/>
        </w:rPr>
        <w:t xml:space="preserve"> visiting the headquarters building to participate in </w:t>
      </w:r>
      <w:r>
        <w:rPr>
          <w:lang w:val="en-US"/>
        </w:rPr>
        <w:t>activities</w:t>
      </w:r>
      <w:r w:rsidRPr="00CE2531">
        <w:rPr>
          <w:lang w:val="en-US"/>
        </w:rPr>
        <w:t xml:space="preserve"> aimed at achieving the purpose of the Union, as stated in Article 1 of the ITU Constitution.</w:t>
      </w:r>
    </w:p>
    <w:p w14:paraId="41098140" w14:textId="6D79A694" w:rsidR="00CE2531" w:rsidRPr="00CE2531" w:rsidRDefault="00CE2531"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CE2531">
        <w:t>The work of delegations far from home requires ensuring comfortable working conditions for delegates, including the exercise of their legal rights to:</w:t>
      </w:r>
    </w:p>
    <w:p w14:paraId="3D25371E" w14:textId="3A699FBE" w:rsidR="00CE2531" w:rsidRDefault="00CE2531" w:rsidP="00A93EAE">
      <w:pPr>
        <w:tabs>
          <w:tab w:val="clear" w:pos="567"/>
          <w:tab w:val="clear" w:pos="1134"/>
          <w:tab w:val="clear" w:pos="1701"/>
          <w:tab w:val="clear" w:pos="2268"/>
          <w:tab w:val="clear" w:pos="2835"/>
        </w:tabs>
        <w:overflowPunct/>
        <w:autoSpaceDE/>
        <w:autoSpaceDN/>
        <w:adjustRightInd/>
        <w:spacing w:after="60"/>
        <w:ind w:left="709" w:hanging="425"/>
        <w:jc w:val="both"/>
        <w:textAlignment w:val="auto"/>
      </w:pPr>
      <w:r w:rsidRPr="00CE2531">
        <w:t>-</w:t>
      </w:r>
      <w:r w:rsidR="00537C2A">
        <w:tab/>
      </w:r>
      <w:r w:rsidRPr="00CE2531">
        <w:t xml:space="preserve">barrier-free access to the Union building and </w:t>
      </w:r>
      <w:proofErr w:type="gramStart"/>
      <w:r w:rsidRPr="00CE2531">
        <w:t>premises;</w:t>
      </w:r>
      <w:proofErr w:type="gramEnd"/>
    </w:p>
    <w:p w14:paraId="790B313A" w14:textId="11186EB5" w:rsidR="00CE2531" w:rsidRDefault="00CE2531" w:rsidP="00A93EAE">
      <w:pPr>
        <w:tabs>
          <w:tab w:val="clear" w:pos="567"/>
          <w:tab w:val="clear" w:pos="1134"/>
          <w:tab w:val="clear" w:pos="1701"/>
          <w:tab w:val="clear" w:pos="2268"/>
          <w:tab w:val="clear" w:pos="2835"/>
        </w:tabs>
        <w:overflowPunct/>
        <w:autoSpaceDE/>
        <w:autoSpaceDN/>
        <w:adjustRightInd/>
        <w:spacing w:before="60" w:after="60"/>
        <w:ind w:left="709" w:hanging="425"/>
        <w:jc w:val="both"/>
        <w:textAlignment w:val="auto"/>
      </w:pPr>
      <w:r w:rsidRPr="00CE2531">
        <w:t>-</w:t>
      </w:r>
      <w:r w:rsidR="00537C2A">
        <w:tab/>
      </w:r>
      <w:r w:rsidRPr="00CE2531">
        <w:t xml:space="preserve">comfortable meeting rooms equipped with audio and video systems, translation systems and booths in the six official languages of the Union, including providing these opportunities for remote </w:t>
      </w:r>
      <w:proofErr w:type="gramStart"/>
      <w:r w:rsidRPr="00CE2531">
        <w:t>participants;</w:t>
      </w:r>
      <w:proofErr w:type="gramEnd"/>
      <w:r w:rsidRPr="00CE2531">
        <w:t xml:space="preserve"> </w:t>
      </w:r>
    </w:p>
    <w:p w14:paraId="2058E3B3" w14:textId="67834DC8" w:rsidR="002D1228" w:rsidRDefault="002D1228" w:rsidP="00A93EAE">
      <w:pPr>
        <w:tabs>
          <w:tab w:val="clear" w:pos="567"/>
          <w:tab w:val="clear" w:pos="1134"/>
          <w:tab w:val="clear" w:pos="1701"/>
          <w:tab w:val="clear" w:pos="2268"/>
          <w:tab w:val="clear" w:pos="2835"/>
        </w:tabs>
        <w:overflowPunct/>
        <w:autoSpaceDE/>
        <w:autoSpaceDN/>
        <w:adjustRightInd/>
        <w:spacing w:before="60" w:after="60"/>
        <w:ind w:left="709" w:hanging="425"/>
        <w:jc w:val="both"/>
        <w:textAlignment w:val="auto"/>
      </w:pPr>
      <w:r>
        <w:t>-</w:t>
      </w:r>
      <w:r w:rsidR="00537C2A">
        <w:tab/>
      </w:r>
      <w:r w:rsidRPr="002D1228">
        <w:t xml:space="preserve">the possibility of organizing demonstrations of technical solutions, achievements, solutions, as well as other presentations in the proposed exhibition areas located in the headquarters building outside the meeting </w:t>
      </w:r>
      <w:proofErr w:type="gramStart"/>
      <w:r w:rsidRPr="002D1228">
        <w:t>rooms;</w:t>
      </w:r>
      <w:proofErr w:type="gramEnd"/>
      <w:r w:rsidRPr="002D1228">
        <w:t xml:space="preserve"> </w:t>
      </w:r>
    </w:p>
    <w:p w14:paraId="20CE5B59" w14:textId="7E885045" w:rsidR="002D1228" w:rsidRDefault="002D1228" w:rsidP="00A93EAE">
      <w:pPr>
        <w:tabs>
          <w:tab w:val="clear" w:pos="567"/>
          <w:tab w:val="clear" w:pos="1134"/>
          <w:tab w:val="clear" w:pos="1701"/>
          <w:tab w:val="clear" w:pos="2268"/>
          <w:tab w:val="clear" w:pos="2835"/>
        </w:tabs>
        <w:overflowPunct/>
        <w:autoSpaceDE/>
        <w:autoSpaceDN/>
        <w:adjustRightInd/>
        <w:spacing w:before="60" w:after="60"/>
        <w:ind w:left="709" w:hanging="425"/>
        <w:jc w:val="both"/>
        <w:textAlignment w:val="auto"/>
      </w:pPr>
      <w:r w:rsidRPr="002D1228">
        <w:t>-</w:t>
      </w:r>
      <w:r w:rsidR="00537C2A">
        <w:tab/>
      </w:r>
      <w:r w:rsidRPr="002D1228">
        <w:t xml:space="preserve">rest in your free time, including during the day, for example, in the recreation </w:t>
      </w:r>
      <w:proofErr w:type="gramStart"/>
      <w:r w:rsidRPr="002D1228">
        <w:t>room;</w:t>
      </w:r>
      <w:proofErr w:type="gramEnd"/>
    </w:p>
    <w:p w14:paraId="76EC5C26" w14:textId="14FD1A8B" w:rsidR="002D1228" w:rsidRDefault="002D1228" w:rsidP="00A93EAE">
      <w:pPr>
        <w:tabs>
          <w:tab w:val="clear" w:pos="567"/>
          <w:tab w:val="clear" w:pos="1134"/>
          <w:tab w:val="clear" w:pos="1701"/>
          <w:tab w:val="clear" w:pos="2268"/>
          <w:tab w:val="clear" w:pos="2835"/>
        </w:tabs>
        <w:overflowPunct/>
        <w:autoSpaceDE/>
        <w:autoSpaceDN/>
        <w:adjustRightInd/>
        <w:spacing w:before="60" w:after="60"/>
        <w:ind w:left="709" w:hanging="425"/>
        <w:jc w:val="both"/>
        <w:textAlignment w:val="auto"/>
      </w:pPr>
      <w:r w:rsidRPr="002D1228">
        <w:t>-</w:t>
      </w:r>
      <w:r w:rsidR="00537C2A">
        <w:tab/>
      </w:r>
      <w:r w:rsidRPr="002D1228">
        <w:t xml:space="preserve">meals at lunch and during the </w:t>
      </w:r>
      <w:proofErr w:type="gramStart"/>
      <w:r w:rsidRPr="002D1228">
        <w:t>day;</w:t>
      </w:r>
      <w:proofErr w:type="gramEnd"/>
    </w:p>
    <w:p w14:paraId="1922B2EA" w14:textId="2BEE474C" w:rsidR="003F530C" w:rsidRPr="002D1228" w:rsidRDefault="002D1228" w:rsidP="00A93EAE">
      <w:pPr>
        <w:tabs>
          <w:tab w:val="clear" w:pos="567"/>
          <w:tab w:val="clear" w:pos="1134"/>
          <w:tab w:val="clear" w:pos="1701"/>
          <w:tab w:val="clear" w:pos="2268"/>
          <w:tab w:val="clear" w:pos="2835"/>
        </w:tabs>
        <w:overflowPunct/>
        <w:autoSpaceDE/>
        <w:autoSpaceDN/>
        <w:adjustRightInd/>
        <w:spacing w:before="60" w:after="120"/>
        <w:ind w:left="709" w:hanging="425"/>
        <w:jc w:val="both"/>
        <w:textAlignment w:val="auto"/>
        <w:rPr>
          <w:lang w:val="en-US"/>
        </w:rPr>
      </w:pPr>
      <w:r w:rsidRPr="002D1228">
        <w:t>-</w:t>
      </w:r>
      <w:r w:rsidR="00537C2A">
        <w:tab/>
      </w:r>
      <w:r w:rsidRPr="002D1228">
        <w:t>the possibility of observing cultural and religious traditions, such as ablution, prayer, etc.</w:t>
      </w:r>
    </w:p>
    <w:p w14:paraId="28CDF338" w14:textId="6462596C" w:rsidR="002D1228" w:rsidRPr="002D1228" w:rsidRDefault="002D1228"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b/>
          <w:bCs/>
          <w:lang w:val="en-US"/>
        </w:rPr>
      </w:pPr>
      <w:r w:rsidRPr="002D1228">
        <w:rPr>
          <w:b/>
          <w:bCs/>
        </w:rPr>
        <w:t xml:space="preserve">However, since the revision of the project, no survey has been conducted among Member States and Sector Members on the needs for the new ITU headquarters </w:t>
      </w:r>
      <w:r>
        <w:rPr>
          <w:b/>
          <w:bCs/>
        </w:rPr>
        <w:t>building</w:t>
      </w:r>
      <w:r w:rsidRPr="002D1228">
        <w:rPr>
          <w:b/>
          <w:bCs/>
        </w:rPr>
        <w:t xml:space="preserve">, but such a survey has been conducted among staff </w:t>
      </w:r>
      <w:r w:rsidRPr="002D1228">
        <w:t>(</w:t>
      </w:r>
      <w:hyperlink r:id="rId45" w:history="1">
        <w:r w:rsidRPr="00104507">
          <w:rPr>
            <w:rStyle w:val="Hyperlink"/>
            <w:lang w:val="en-US"/>
          </w:rPr>
          <w:t>Annex</w:t>
        </w:r>
        <w:r w:rsidRPr="002D1228">
          <w:rPr>
            <w:rStyle w:val="Hyperlink"/>
            <w:lang w:val="en-US"/>
          </w:rPr>
          <w:t xml:space="preserve"> </w:t>
        </w:r>
        <w:r w:rsidRPr="00104507">
          <w:rPr>
            <w:rStyle w:val="Hyperlink"/>
            <w:lang w:val="en-US"/>
          </w:rPr>
          <w:t>B</w:t>
        </w:r>
        <w:r w:rsidRPr="002D1228">
          <w:rPr>
            <w:rStyle w:val="Hyperlink"/>
            <w:lang w:val="en-US"/>
          </w:rPr>
          <w:t xml:space="preserve"> – </w:t>
        </w:r>
        <w:r w:rsidRPr="00104507">
          <w:rPr>
            <w:rStyle w:val="Hyperlink"/>
            <w:lang w:val="en-US"/>
          </w:rPr>
          <w:t>Slides</w:t>
        </w:r>
        <w:r w:rsidRPr="002D1228">
          <w:rPr>
            <w:rStyle w:val="Hyperlink"/>
            <w:lang w:val="en-US"/>
          </w:rPr>
          <w:t xml:space="preserve"> </w:t>
        </w:r>
        <w:r w:rsidRPr="00104507">
          <w:rPr>
            <w:rStyle w:val="Hyperlink"/>
            <w:lang w:val="en-US"/>
          </w:rPr>
          <w:t>presentation</w:t>
        </w:r>
        <w:r w:rsidRPr="002D1228">
          <w:rPr>
            <w:rStyle w:val="Hyperlink"/>
            <w:lang w:val="en-US"/>
          </w:rPr>
          <w:t xml:space="preserve"> </w:t>
        </w:r>
        <w:r w:rsidRPr="00104507">
          <w:rPr>
            <w:rStyle w:val="Hyperlink"/>
            <w:lang w:val="en-US"/>
          </w:rPr>
          <w:t>of</w:t>
        </w:r>
        <w:r w:rsidRPr="002D1228">
          <w:rPr>
            <w:rStyle w:val="Hyperlink"/>
            <w:lang w:val="en-US"/>
          </w:rPr>
          <w:t xml:space="preserve"> </w:t>
        </w:r>
        <w:r w:rsidRPr="00104507">
          <w:rPr>
            <w:rStyle w:val="Hyperlink"/>
            <w:lang w:val="en-US"/>
          </w:rPr>
          <w:t>Document</w:t>
        </w:r>
        <w:r w:rsidRPr="002D1228">
          <w:rPr>
            <w:rStyle w:val="Hyperlink"/>
            <w:lang w:val="en-US"/>
          </w:rPr>
          <w:t xml:space="preserve"> </w:t>
        </w:r>
        <w:r w:rsidRPr="00104507">
          <w:rPr>
            <w:rStyle w:val="Hyperlink"/>
            <w:lang w:val="en-US"/>
          </w:rPr>
          <w:t>C</w:t>
        </w:r>
        <w:r w:rsidRPr="002D1228">
          <w:rPr>
            <w:rStyle w:val="Hyperlink"/>
            <w:lang w:val="en-US"/>
          </w:rPr>
          <w:t>23-</w:t>
        </w:r>
        <w:r w:rsidRPr="00104507">
          <w:rPr>
            <w:rStyle w:val="Hyperlink"/>
            <w:lang w:val="en-US"/>
          </w:rPr>
          <w:t>ADD</w:t>
        </w:r>
        <w:r w:rsidRPr="002D1228">
          <w:rPr>
            <w:rStyle w:val="Hyperlink"/>
            <w:lang w:val="en-US"/>
          </w:rPr>
          <w:t>/5</w:t>
        </w:r>
      </w:hyperlink>
      <w:r w:rsidRPr="002D1228">
        <w:t>).</w:t>
      </w:r>
    </w:p>
    <w:p w14:paraId="45572DB3" w14:textId="489FE5C5" w:rsidR="003F530C" w:rsidRPr="002D1228" w:rsidRDefault="003F530C" w:rsidP="00A93EAE">
      <w:pPr>
        <w:tabs>
          <w:tab w:val="clear" w:pos="567"/>
          <w:tab w:val="clear" w:pos="1134"/>
          <w:tab w:val="clear" w:pos="1701"/>
          <w:tab w:val="clear" w:pos="2268"/>
          <w:tab w:val="clear" w:pos="2835"/>
        </w:tabs>
        <w:overflowPunct/>
        <w:autoSpaceDE/>
        <w:autoSpaceDN/>
        <w:adjustRightInd/>
        <w:spacing w:before="240" w:after="120"/>
        <w:ind w:firstLine="709"/>
        <w:jc w:val="both"/>
        <w:textAlignment w:val="auto"/>
        <w:rPr>
          <w:b/>
          <w:bCs/>
          <w:i/>
          <w:iCs/>
          <w:lang w:val="en-US"/>
        </w:rPr>
      </w:pPr>
      <w:r w:rsidRPr="002D1228">
        <w:rPr>
          <w:b/>
          <w:bCs/>
          <w:i/>
          <w:iCs/>
          <w:lang w:val="en-US"/>
        </w:rPr>
        <w:t>5.2. </w:t>
      </w:r>
      <w:r w:rsidR="002D1228" w:rsidRPr="002D1228">
        <w:rPr>
          <w:b/>
          <w:bCs/>
          <w:i/>
          <w:iCs/>
        </w:rPr>
        <w:t>Key Parameters of Project Change</w:t>
      </w:r>
    </w:p>
    <w:p w14:paraId="188D7097" w14:textId="2A6B25A8" w:rsidR="002D1228" w:rsidRPr="002D1228" w:rsidRDefault="002D1228"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b/>
          <w:bCs/>
          <w:lang w:val="en-US"/>
        </w:rPr>
      </w:pPr>
      <w:r w:rsidRPr="002D1228">
        <w:rPr>
          <w:b/>
          <w:bCs/>
          <w:lang w:val="en-US"/>
        </w:rPr>
        <w:t xml:space="preserve">Today, the ITU headquarters comprises an optimally satisfying number of premises for ITU events and staff work, with a total area of 48,000 square meters, but does not </w:t>
      </w:r>
      <w:proofErr w:type="gramStart"/>
      <w:r w:rsidRPr="002D1228">
        <w:rPr>
          <w:b/>
          <w:bCs/>
          <w:lang w:val="en-US"/>
        </w:rPr>
        <w:t>take into account</w:t>
      </w:r>
      <w:proofErr w:type="gramEnd"/>
      <w:r w:rsidRPr="002D1228">
        <w:rPr>
          <w:b/>
          <w:bCs/>
          <w:lang w:val="en-US"/>
        </w:rPr>
        <w:t xml:space="preserve"> the growing needs of the Union.</w:t>
      </w:r>
    </w:p>
    <w:p w14:paraId="3FD627A2" w14:textId="11D6140A" w:rsidR="002D1228" w:rsidRPr="002D1228" w:rsidRDefault="002D1228"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2D1228">
        <w:t xml:space="preserve">As part of the project to construct the new ITU headquarters building, it was planned to replace the </w:t>
      </w:r>
      <w:proofErr w:type="spellStart"/>
      <w:r w:rsidR="00E57FCB" w:rsidRPr="00E57FCB">
        <w:rPr>
          <w:rFonts w:asciiTheme="minorHAnsi" w:hAnsiTheme="minorHAnsi"/>
        </w:rPr>
        <w:t>Varembé</w:t>
      </w:r>
      <w:proofErr w:type="spellEnd"/>
      <w:r w:rsidR="00E57FCB" w:rsidRPr="00E57FCB">
        <w:rPr>
          <w:rFonts w:asciiTheme="minorHAnsi" w:hAnsiTheme="minorHAnsi"/>
        </w:rPr>
        <w:t xml:space="preserve"> building with a new construction that would also include the offices and facilities of the Tower building</w:t>
      </w:r>
      <w:r w:rsidRPr="002D1228">
        <w:t xml:space="preserve">. Accordingly, the Tower building was to be sold to cover part of the costs, since most of its </w:t>
      </w:r>
      <w:r w:rsidR="00E57FCB" w:rsidRPr="00E57FCB">
        <w:rPr>
          <w:rFonts w:asciiTheme="minorHAnsi" w:hAnsiTheme="minorHAnsi"/>
        </w:rPr>
        <w:t>facilities</w:t>
      </w:r>
      <w:r w:rsidR="00E57FCB" w:rsidRPr="002D1228">
        <w:t xml:space="preserve"> </w:t>
      </w:r>
      <w:r w:rsidRPr="002D1228">
        <w:t xml:space="preserve">were to be included in the new </w:t>
      </w:r>
      <w:proofErr w:type="spellStart"/>
      <w:r w:rsidRPr="002D1228">
        <w:t>Varembé</w:t>
      </w:r>
      <w:proofErr w:type="spellEnd"/>
      <w:r w:rsidRPr="002D1228">
        <w:t xml:space="preserve"> building.</w:t>
      </w:r>
    </w:p>
    <w:p w14:paraId="5D3CE87D" w14:textId="6B3F22A5" w:rsidR="00E57FCB" w:rsidRPr="00E57FCB" w:rsidRDefault="00E57FCB"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b/>
          <w:bCs/>
          <w:lang w:val="en-US"/>
        </w:rPr>
      </w:pPr>
      <w:r w:rsidRPr="00E57FCB">
        <w:rPr>
          <w:b/>
          <w:bCs/>
        </w:rPr>
        <w:t xml:space="preserve">In this case, the total area of the new headquarters would be approximately 40,000 </w:t>
      </w:r>
      <w:r>
        <w:rPr>
          <w:b/>
          <w:bCs/>
          <w:lang w:val="en-US"/>
        </w:rPr>
        <w:t>sqm</w:t>
      </w:r>
      <w:r w:rsidRPr="00E57FCB">
        <w:rPr>
          <w:b/>
          <w:bCs/>
        </w:rPr>
        <w:t>.</w:t>
      </w:r>
    </w:p>
    <w:p w14:paraId="328D0F63" w14:textId="2E0C9DFC" w:rsidR="00E57FCB" w:rsidRPr="00E57FCB" w:rsidRDefault="00E57FCB"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b/>
          <w:bCs/>
          <w:lang w:val="en-US"/>
        </w:rPr>
      </w:pPr>
      <w:r w:rsidRPr="00E57FCB">
        <w:rPr>
          <w:b/>
          <w:bCs/>
          <w:lang w:val="en-US"/>
        </w:rPr>
        <w:t xml:space="preserve">However, the 2024 Council adopted Decision 640, later approved by the ITU Member States, stipulating that the current </w:t>
      </w:r>
      <w:proofErr w:type="spellStart"/>
      <w:r w:rsidRPr="00E57FCB">
        <w:rPr>
          <w:b/>
          <w:bCs/>
          <w:lang w:val="en-US"/>
        </w:rPr>
        <w:t>Varembé</w:t>
      </w:r>
      <w:proofErr w:type="spellEnd"/>
      <w:r w:rsidRPr="00E57FCB">
        <w:rPr>
          <w:b/>
          <w:bCs/>
          <w:lang w:val="en-US"/>
        </w:rPr>
        <w:t xml:space="preserve"> building would be replaced by a new </w:t>
      </w:r>
      <w:proofErr w:type="spellStart"/>
      <w:r w:rsidRPr="00E57FCB">
        <w:rPr>
          <w:b/>
          <w:bCs/>
          <w:lang w:val="en-US"/>
        </w:rPr>
        <w:t>Varembé</w:t>
      </w:r>
      <w:proofErr w:type="spellEnd"/>
      <w:r w:rsidRPr="00E57FCB">
        <w:rPr>
          <w:b/>
          <w:bCs/>
          <w:lang w:val="en-US"/>
        </w:rPr>
        <w:t xml:space="preserve"> building of the same area, measuring 15,000 </w:t>
      </w:r>
      <w:r>
        <w:rPr>
          <w:b/>
          <w:bCs/>
          <w:lang w:val="en-US"/>
        </w:rPr>
        <w:t>sqm</w:t>
      </w:r>
      <w:r w:rsidRPr="00E57FCB">
        <w:rPr>
          <w:b/>
          <w:bCs/>
          <w:lang w:val="en-US"/>
        </w:rPr>
        <w:t>.</w:t>
      </w:r>
    </w:p>
    <w:p w14:paraId="23AE17F2" w14:textId="0895CA0F" w:rsidR="00E57FCB" w:rsidRPr="00E57FCB" w:rsidRDefault="00E57FCB"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b/>
          <w:bCs/>
          <w:lang w:val="en-US"/>
        </w:rPr>
      </w:pPr>
      <w:r w:rsidRPr="00E57FCB">
        <w:rPr>
          <w:b/>
          <w:bCs/>
          <w:lang w:val="en-US"/>
        </w:rPr>
        <w:t xml:space="preserve">Thus, in the event of the sale of the Tower building, the new ITU headquarters would lose approximately 20,000 </w:t>
      </w:r>
      <w:r>
        <w:rPr>
          <w:b/>
          <w:bCs/>
          <w:lang w:val="en-US"/>
        </w:rPr>
        <w:t>sqm</w:t>
      </w:r>
      <w:r w:rsidRPr="00E57FCB">
        <w:rPr>
          <w:b/>
          <w:bCs/>
          <w:lang w:val="en-US"/>
        </w:rPr>
        <w:t xml:space="preserve"> of the Union's premises.</w:t>
      </w:r>
    </w:p>
    <w:p w14:paraId="1449BB79" w14:textId="7C881C57" w:rsidR="003F7C01" w:rsidRPr="00117FC1" w:rsidRDefault="00551CDC" w:rsidP="00A93EAE">
      <w:pPr>
        <w:tabs>
          <w:tab w:val="clear" w:pos="567"/>
          <w:tab w:val="clear" w:pos="1134"/>
          <w:tab w:val="clear" w:pos="1701"/>
          <w:tab w:val="clear" w:pos="2268"/>
          <w:tab w:val="clear" w:pos="2835"/>
        </w:tabs>
        <w:overflowPunct/>
        <w:autoSpaceDE/>
        <w:autoSpaceDN/>
        <w:adjustRightInd/>
        <w:spacing w:before="480" w:after="120"/>
        <w:ind w:firstLine="709"/>
        <w:jc w:val="both"/>
        <w:textAlignment w:val="auto"/>
        <w:rPr>
          <w:b/>
          <w:bCs/>
          <w:lang w:val="en-US"/>
        </w:rPr>
      </w:pPr>
      <w:r w:rsidRPr="006C51FD">
        <w:rPr>
          <w:b/>
          <w:bCs/>
          <w:lang w:val="en-US"/>
        </w:rPr>
        <w:t>6</w:t>
      </w:r>
      <w:r w:rsidR="003F7C01" w:rsidRPr="006C51FD">
        <w:rPr>
          <w:b/>
          <w:bCs/>
          <w:lang w:val="en-US"/>
        </w:rPr>
        <w:t xml:space="preserve">. </w:t>
      </w:r>
      <w:r w:rsidR="00117FC1">
        <w:rPr>
          <w:b/>
          <w:bCs/>
          <w:lang w:val="en-US"/>
        </w:rPr>
        <w:t>Proposals</w:t>
      </w:r>
    </w:p>
    <w:p w14:paraId="7AFC1CCC" w14:textId="07DD88A9" w:rsidR="00E57FCB" w:rsidRPr="00E57FCB" w:rsidRDefault="00E57FCB" w:rsidP="00537C2A">
      <w:pPr>
        <w:tabs>
          <w:tab w:val="clear" w:pos="567"/>
          <w:tab w:val="clear" w:pos="1134"/>
          <w:tab w:val="clear" w:pos="1701"/>
          <w:tab w:val="clear" w:pos="2268"/>
          <w:tab w:val="clear" w:pos="2835"/>
        </w:tabs>
        <w:overflowPunct/>
        <w:autoSpaceDE/>
        <w:autoSpaceDN/>
        <w:adjustRightInd/>
        <w:spacing w:after="120"/>
        <w:ind w:firstLine="709"/>
        <w:jc w:val="both"/>
        <w:textAlignment w:val="auto"/>
        <w:rPr>
          <w:lang w:val="en-US"/>
        </w:rPr>
      </w:pPr>
      <w:r w:rsidRPr="00E57FCB">
        <w:t xml:space="preserve">Given that the ITU Headquarters is located in Geneva, near the Place des Nations, on a site comprising approximately </w:t>
      </w:r>
      <w:r w:rsidRPr="00E57FCB">
        <w:rPr>
          <w:b/>
          <w:bCs/>
        </w:rPr>
        <w:t>48,000 sqm. of administrative space</w:t>
      </w:r>
      <w:r w:rsidRPr="00E57FCB">
        <w:t xml:space="preserve"> across three buildings: the Tower (21,000 sqm.), </w:t>
      </w:r>
      <w:proofErr w:type="spellStart"/>
      <w:r w:rsidRPr="00E57FCB">
        <w:t>Varembé</w:t>
      </w:r>
      <w:proofErr w:type="spellEnd"/>
      <w:r w:rsidRPr="00E57FCB">
        <w:t xml:space="preserve"> (15,000 sqm.), and </w:t>
      </w:r>
      <w:proofErr w:type="spellStart"/>
      <w:r w:rsidRPr="00E57FCB">
        <w:t>Montbrillant</w:t>
      </w:r>
      <w:proofErr w:type="spellEnd"/>
      <w:r w:rsidRPr="00E57FCB">
        <w:t xml:space="preserve"> (12,000 sqm.), the implementation of the new project was originally intended to replace approximately 36,000 sqm. </w:t>
      </w:r>
      <w:r w:rsidRPr="00095FFF">
        <w:rPr>
          <w:b/>
          <w:bCs/>
        </w:rPr>
        <w:t xml:space="preserve">with a new </w:t>
      </w:r>
      <w:proofErr w:type="spellStart"/>
      <w:r w:rsidRPr="00095FFF">
        <w:rPr>
          <w:b/>
          <w:bCs/>
        </w:rPr>
        <w:t>Varembé</w:t>
      </w:r>
      <w:proofErr w:type="spellEnd"/>
      <w:r w:rsidRPr="00095FFF">
        <w:rPr>
          <w:b/>
          <w:bCs/>
        </w:rPr>
        <w:t xml:space="preserve"> building. This new building was designed to also include the facilities of the Tower building, resulting in a total of approximately 36,000 sqm. However, in accordance with Decision 640 (C24), this planned area was reduced by 21,000 sqm. to match the size of the existing </w:t>
      </w:r>
      <w:proofErr w:type="spellStart"/>
      <w:r w:rsidRPr="00095FFF">
        <w:rPr>
          <w:b/>
          <w:bCs/>
        </w:rPr>
        <w:t>Varembé</w:t>
      </w:r>
      <w:proofErr w:type="spellEnd"/>
      <w:r w:rsidRPr="00095FFF">
        <w:rPr>
          <w:b/>
          <w:bCs/>
        </w:rPr>
        <w:t xml:space="preserve"> building, resulting in a new area of 15,000 sqm.</w:t>
      </w:r>
      <w:r w:rsidRPr="00E57FCB">
        <w:t xml:space="preserve"> The contributors propose that the </w:t>
      </w:r>
      <w:r>
        <w:t>CWG</w:t>
      </w:r>
      <w:r w:rsidRPr="00E57FCB">
        <w:t>-</w:t>
      </w:r>
      <w:r>
        <w:t>FHR</w:t>
      </w:r>
      <w:r w:rsidRPr="00E57FCB">
        <w:t xml:space="preserve"> recommend that the Council, for subsequent submission to PP-26, the following</w:t>
      </w:r>
      <w:r w:rsidRPr="00E57FCB">
        <w:rPr>
          <w:lang w:val="en-US"/>
        </w:rPr>
        <w:t>:</w:t>
      </w:r>
    </w:p>
    <w:p w14:paraId="16B73275" w14:textId="24D1B1F3" w:rsidR="003F7C01" w:rsidRPr="001C5304" w:rsidRDefault="003F7C01" w:rsidP="00A93EAE">
      <w:pPr>
        <w:tabs>
          <w:tab w:val="clear" w:pos="567"/>
          <w:tab w:val="clear" w:pos="1134"/>
          <w:tab w:val="clear" w:pos="1701"/>
          <w:tab w:val="clear" w:pos="2268"/>
          <w:tab w:val="clear" w:pos="2835"/>
        </w:tabs>
        <w:overflowPunct/>
        <w:autoSpaceDE/>
        <w:autoSpaceDN/>
        <w:adjustRightInd/>
        <w:spacing w:before="240" w:after="120"/>
        <w:ind w:left="709" w:hanging="425"/>
        <w:jc w:val="both"/>
        <w:textAlignment w:val="auto"/>
        <w:rPr>
          <w:lang w:val="en-US"/>
        </w:rPr>
      </w:pPr>
      <w:r w:rsidRPr="00095FFF">
        <w:rPr>
          <w:lang w:val="en-US"/>
        </w:rPr>
        <w:t>-</w:t>
      </w:r>
      <w:r w:rsidR="00A93EAE">
        <w:rPr>
          <w:lang w:val="en-US"/>
        </w:rPr>
        <w:tab/>
      </w:r>
      <w:r w:rsidR="00E57FCB">
        <w:rPr>
          <w:lang w:val="en-US"/>
        </w:rPr>
        <w:t>to</w:t>
      </w:r>
      <w:r w:rsidR="00E57FCB" w:rsidRPr="00095FFF">
        <w:rPr>
          <w:lang w:val="en-US"/>
        </w:rPr>
        <w:t xml:space="preserve"> </w:t>
      </w:r>
      <w:r w:rsidR="00E57FCB">
        <w:rPr>
          <w:lang w:val="en-US"/>
        </w:rPr>
        <w:t>revise</w:t>
      </w:r>
      <w:r w:rsidR="00185A8D" w:rsidRPr="00095FFF">
        <w:rPr>
          <w:lang w:val="en-US"/>
        </w:rPr>
        <w:t xml:space="preserve"> </w:t>
      </w:r>
      <w:r w:rsidR="00E57FCB">
        <w:rPr>
          <w:lang w:val="en-US"/>
        </w:rPr>
        <w:t>Resolution</w:t>
      </w:r>
      <w:r w:rsidR="00185A8D" w:rsidRPr="00095FFF">
        <w:rPr>
          <w:lang w:val="en-US"/>
        </w:rPr>
        <w:t xml:space="preserve"> 212 </w:t>
      </w:r>
      <w:r w:rsidR="00095FFF">
        <w:rPr>
          <w:lang w:val="en-US"/>
        </w:rPr>
        <w:t>of</w:t>
      </w:r>
      <w:r w:rsidR="00095FFF" w:rsidRPr="00095FFF">
        <w:rPr>
          <w:lang w:val="en-US"/>
        </w:rPr>
        <w:t xml:space="preserve"> </w:t>
      </w:r>
      <w:r w:rsidR="00095FFF">
        <w:rPr>
          <w:lang w:val="en-US"/>
        </w:rPr>
        <w:t>the</w:t>
      </w:r>
      <w:r w:rsidR="00095FFF" w:rsidRPr="00095FFF">
        <w:rPr>
          <w:lang w:val="en-US"/>
        </w:rPr>
        <w:t xml:space="preserve"> </w:t>
      </w:r>
      <w:r w:rsidR="00095FFF">
        <w:rPr>
          <w:lang w:val="en-US"/>
        </w:rPr>
        <w:t>Plenipotentiary</w:t>
      </w:r>
      <w:r w:rsidR="00095FFF" w:rsidRPr="00095FFF">
        <w:rPr>
          <w:lang w:val="en-US"/>
        </w:rPr>
        <w:t xml:space="preserve"> </w:t>
      </w:r>
      <w:r w:rsidR="00095FFF">
        <w:rPr>
          <w:lang w:val="en-US"/>
        </w:rPr>
        <w:t>Conference</w:t>
      </w:r>
      <w:r w:rsidR="00551CDC" w:rsidRPr="00095FFF">
        <w:rPr>
          <w:lang w:val="en-US"/>
        </w:rPr>
        <w:t xml:space="preserve">, </w:t>
      </w:r>
      <w:r w:rsidR="00E57FCB">
        <w:rPr>
          <w:lang w:val="en-US"/>
        </w:rPr>
        <w:t>Decision</w:t>
      </w:r>
      <w:r w:rsidR="00551CDC" w:rsidRPr="00095FFF">
        <w:rPr>
          <w:lang w:val="en-US"/>
        </w:rPr>
        <w:t xml:space="preserve"> 588 </w:t>
      </w:r>
      <w:r w:rsidR="00E57FCB">
        <w:rPr>
          <w:lang w:val="en-US"/>
        </w:rPr>
        <w:t>and</w:t>
      </w:r>
      <w:r w:rsidR="00551CDC" w:rsidRPr="00095FFF">
        <w:rPr>
          <w:lang w:val="en-US"/>
        </w:rPr>
        <w:t xml:space="preserve"> </w:t>
      </w:r>
      <w:r w:rsidR="00E57FCB">
        <w:rPr>
          <w:lang w:val="en-US"/>
        </w:rPr>
        <w:t>Decision</w:t>
      </w:r>
      <w:r w:rsidR="00E57FCB" w:rsidRPr="00095FFF">
        <w:rPr>
          <w:lang w:val="en-US"/>
        </w:rPr>
        <w:t xml:space="preserve"> </w:t>
      </w:r>
      <w:r w:rsidR="00551CDC" w:rsidRPr="00095FFF">
        <w:rPr>
          <w:lang w:val="en-US"/>
        </w:rPr>
        <w:t xml:space="preserve">619 </w:t>
      </w:r>
      <w:r w:rsidR="00095FFF" w:rsidRPr="00095FFF">
        <w:t xml:space="preserve">regarding the future composition of the ITU Headquarters, as proposed in Annex </w:t>
      </w:r>
      <w:proofErr w:type="gramStart"/>
      <w:r w:rsidR="00095FFF" w:rsidRPr="00095FFF">
        <w:t>1</w:t>
      </w:r>
      <w:r w:rsidR="00095FFF" w:rsidRPr="00095FFF">
        <w:rPr>
          <w:lang w:val="en-US"/>
        </w:rPr>
        <w:t>;</w:t>
      </w:r>
      <w:proofErr w:type="gramEnd"/>
    </w:p>
    <w:p w14:paraId="28AA043C" w14:textId="0E5557A4" w:rsidR="00095FFF" w:rsidRPr="00095FFF" w:rsidRDefault="00095FFF" w:rsidP="00A93EAE">
      <w:pPr>
        <w:tabs>
          <w:tab w:val="clear" w:pos="567"/>
          <w:tab w:val="clear" w:pos="1134"/>
          <w:tab w:val="clear" w:pos="1701"/>
          <w:tab w:val="clear" w:pos="2268"/>
          <w:tab w:val="clear" w:pos="2835"/>
        </w:tabs>
        <w:overflowPunct/>
        <w:autoSpaceDE/>
        <w:autoSpaceDN/>
        <w:adjustRightInd/>
        <w:spacing w:after="120"/>
        <w:ind w:left="709" w:hanging="425"/>
        <w:jc w:val="both"/>
        <w:textAlignment w:val="auto"/>
        <w:rPr>
          <w:lang w:val="en-US"/>
        </w:rPr>
      </w:pPr>
      <w:r w:rsidRPr="00095FFF">
        <w:rPr>
          <w:lang w:val="en-US"/>
        </w:rPr>
        <w:t>-</w:t>
      </w:r>
      <w:r w:rsidR="00A93EAE">
        <w:rPr>
          <w:lang w:val="en-US"/>
        </w:rPr>
        <w:tab/>
      </w:r>
      <w:r w:rsidRPr="00095FFF">
        <w:rPr>
          <w:lang w:val="en-US"/>
        </w:rPr>
        <w:t>retain the Tower building and refrain from its sale to meet the growing premises needs of the Union's Member States and Sector Members.</w:t>
      </w:r>
    </w:p>
    <w:p w14:paraId="3CDCD3C7" w14:textId="2CA4D625" w:rsidR="00095FFF" w:rsidRPr="00095FFF" w:rsidRDefault="00095FFF" w:rsidP="00A93EAE">
      <w:pPr>
        <w:tabs>
          <w:tab w:val="clear" w:pos="567"/>
          <w:tab w:val="clear" w:pos="1134"/>
          <w:tab w:val="clear" w:pos="1701"/>
          <w:tab w:val="clear" w:pos="2268"/>
          <w:tab w:val="clear" w:pos="2835"/>
        </w:tabs>
        <w:overflowPunct/>
        <w:autoSpaceDE/>
        <w:autoSpaceDN/>
        <w:adjustRightInd/>
        <w:spacing w:after="120"/>
        <w:ind w:left="709" w:hanging="425"/>
        <w:jc w:val="both"/>
        <w:textAlignment w:val="auto"/>
        <w:rPr>
          <w:lang w:val="en-US"/>
        </w:rPr>
      </w:pPr>
      <w:r>
        <w:rPr>
          <w:lang w:val="en-US"/>
        </w:rPr>
        <w:t>-</w:t>
      </w:r>
      <w:r w:rsidR="00A93EAE">
        <w:rPr>
          <w:lang w:val="en-US"/>
        </w:rPr>
        <w:tab/>
      </w:r>
      <w:r w:rsidRPr="00095FFF">
        <w:rPr>
          <w:lang w:val="en-US"/>
        </w:rPr>
        <w:t>retain "</w:t>
      </w:r>
      <w:r>
        <w:rPr>
          <w:lang w:val="en-US"/>
        </w:rPr>
        <w:t>Room</w:t>
      </w:r>
      <w:r w:rsidRPr="00095FFF">
        <w:rPr>
          <w:lang w:val="en-US"/>
        </w:rPr>
        <w:t xml:space="preserve"> A", "Popov </w:t>
      </w:r>
      <w:r w:rsidR="0040534F">
        <w:rPr>
          <w:lang w:val="en-US"/>
        </w:rPr>
        <w:t>Room</w:t>
      </w:r>
      <w:r w:rsidRPr="00095FFF">
        <w:rPr>
          <w:lang w:val="en-US"/>
        </w:rPr>
        <w:t>", "</w:t>
      </w:r>
      <w:r w:rsidR="0040534F">
        <w:rPr>
          <w:lang w:val="en-US"/>
        </w:rPr>
        <w:t>Room</w:t>
      </w:r>
      <w:r w:rsidRPr="00095FFF">
        <w:rPr>
          <w:lang w:val="en-US"/>
        </w:rPr>
        <w:t xml:space="preserve"> C", and other meeting </w:t>
      </w:r>
      <w:r w:rsidR="0040534F">
        <w:rPr>
          <w:lang w:val="en-US"/>
        </w:rPr>
        <w:t>rooms</w:t>
      </w:r>
      <w:r w:rsidRPr="00095FFF">
        <w:rPr>
          <w:lang w:val="en-US"/>
        </w:rPr>
        <w:t xml:space="preserve"> located within the Tower building.</w:t>
      </w:r>
    </w:p>
    <w:p w14:paraId="425ED567" w14:textId="2BBB7C40" w:rsidR="00095FFF" w:rsidRPr="00095FFF" w:rsidRDefault="00095FFF" w:rsidP="00A93EAE">
      <w:pPr>
        <w:keepNext/>
        <w:keepLines/>
        <w:tabs>
          <w:tab w:val="clear" w:pos="567"/>
          <w:tab w:val="clear" w:pos="1134"/>
          <w:tab w:val="clear" w:pos="1701"/>
          <w:tab w:val="clear" w:pos="2268"/>
          <w:tab w:val="clear" w:pos="2835"/>
        </w:tabs>
        <w:overflowPunct/>
        <w:autoSpaceDE/>
        <w:autoSpaceDN/>
        <w:adjustRightInd/>
        <w:spacing w:after="120"/>
        <w:ind w:left="709" w:hanging="425"/>
        <w:jc w:val="both"/>
        <w:textAlignment w:val="auto"/>
        <w:rPr>
          <w:lang w:val="en-US"/>
        </w:rPr>
      </w:pPr>
      <w:r>
        <w:rPr>
          <w:lang w:val="en-US"/>
        </w:rPr>
        <w:t>-</w:t>
      </w:r>
      <w:r w:rsidR="00A93EAE">
        <w:rPr>
          <w:lang w:val="en-US"/>
        </w:rPr>
        <w:tab/>
      </w:r>
      <w:r w:rsidRPr="00095FFF">
        <w:rPr>
          <w:lang w:val="en-US"/>
        </w:rPr>
        <w:t xml:space="preserve">preserve the historical contributions of ITU Members to the Union's future history, along with the numerous items and gifts of a national character: interior and decorative elements; busts of historical figures </w:t>
      </w:r>
      <w:r>
        <w:rPr>
          <w:lang w:val="en-US"/>
        </w:rPr>
        <w:t>exhibited</w:t>
      </w:r>
      <w:r w:rsidRPr="00095FFF">
        <w:rPr>
          <w:lang w:val="en-US"/>
        </w:rPr>
        <w:t xml:space="preserve"> in the lobby near the exit to the helicopter pad adjacent to Popov </w:t>
      </w:r>
      <w:r>
        <w:rPr>
          <w:lang w:val="en-US"/>
        </w:rPr>
        <w:t xml:space="preserve">Room </w:t>
      </w:r>
      <w:r w:rsidRPr="00095FFF">
        <w:rPr>
          <w:lang w:val="en-US"/>
        </w:rPr>
        <w:t xml:space="preserve">and in the lobbies of the </w:t>
      </w:r>
      <w:proofErr w:type="spellStart"/>
      <w:r w:rsidRPr="00095FFF">
        <w:rPr>
          <w:lang w:val="en-US"/>
        </w:rPr>
        <w:t>Varembé</w:t>
      </w:r>
      <w:proofErr w:type="spellEnd"/>
      <w:r w:rsidRPr="00095FFF">
        <w:rPr>
          <w:lang w:val="en-US"/>
        </w:rPr>
        <w:t xml:space="preserve"> building; the </w:t>
      </w:r>
      <w:r>
        <w:rPr>
          <w:lang w:val="en-US"/>
        </w:rPr>
        <w:t>name</w:t>
      </w:r>
      <w:r w:rsidRPr="00095FFF">
        <w:rPr>
          <w:lang w:val="en-US"/>
        </w:rPr>
        <w:t xml:space="preserve"> "Popov </w:t>
      </w:r>
      <w:r w:rsidR="0040534F">
        <w:rPr>
          <w:lang w:val="en-US"/>
        </w:rPr>
        <w:t>Room</w:t>
      </w:r>
      <w:r w:rsidRPr="00095FFF">
        <w:rPr>
          <w:lang w:val="en-US"/>
        </w:rPr>
        <w:t>"; and the monument "To</w:t>
      </w:r>
      <w:r w:rsidR="006C51FD">
        <w:rPr>
          <w:lang w:val="en-US"/>
        </w:rPr>
        <w:t>ward</w:t>
      </w:r>
      <w:r w:rsidRPr="00095FFF">
        <w:rPr>
          <w:lang w:val="en-US"/>
        </w:rPr>
        <w:t xml:space="preserve"> the Sun" installed at the entrance of the </w:t>
      </w:r>
      <w:proofErr w:type="spellStart"/>
      <w:r w:rsidRPr="00095FFF">
        <w:rPr>
          <w:lang w:val="en-US"/>
        </w:rPr>
        <w:t>Varembé</w:t>
      </w:r>
      <w:proofErr w:type="spellEnd"/>
      <w:r w:rsidRPr="00095FFF">
        <w:rPr>
          <w:lang w:val="en-US"/>
        </w:rPr>
        <w:t xml:space="preserve"> building.</w:t>
      </w:r>
    </w:p>
    <w:p w14:paraId="69D7025F" w14:textId="54E9306C" w:rsidR="00101C44" w:rsidRDefault="00551CDC" w:rsidP="00A93EAE">
      <w:pPr>
        <w:tabs>
          <w:tab w:val="clear" w:pos="567"/>
          <w:tab w:val="clear" w:pos="1134"/>
          <w:tab w:val="clear" w:pos="1701"/>
          <w:tab w:val="clear" w:pos="2268"/>
          <w:tab w:val="clear" w:pos="2835"/>
        </w:tabs>
        <w:overflowPunct/>
        <w:autoSpaceDE/>
        <w:autoSpaceDN/>
        <w:adjustRightInd/>
        <w:spacing w:after="120"/>
        <w:ind w:left="709" w:hanging="425"/>
        <w:jc w:val="both"/>
        <w:textAlignment w:val="auto"/>
        <w:rPr>
          <w:lang w:val="en-US"/>
        </w:rPr>
      </w:pPr>
      <w:r w:rsidRPr="006C51FD">
        <w:rPr>
          <w:lang w:val="en-US"/>
        </w:rPr>
        <w:t>-</w:t>
      </w:r>
      <w:r w:rsidR="00A93EAE">
        <w:rPr>
          <w:lang w:val="en-US"/>
        </w:rPr>
        <w:tab/>
      </w:r>
      <w:r w:rsidR="006C51FD" w:rsidRPr="006C51FD">
        <w:rPr>
          <w:lang w:val="en-US"/>
        </w:rPr>
        <w:t xml:space="preserve">to </w:t>
      </w:r>
      <w:r w:rsidR="006C51FD">
        <w:rPr>
          <w:lang w:val="en-US"/>
        </w:rPr>
        <w:t>instruct</w:t>
      </w:r>
      <w:r w:rsidR="006C51FD" w:rsidRPr="006C51FD">
        <w:rPr>
          <w:lang w:val="en-US"/>
        </w:rPr>
        <w:t xml:space="preserve"> the Secretary-General to submit to the next meeting of the </w:t>
      </w:r>
      <w:r w:rsidR="006C51FD">
        <w:rPr>
          <w:lang w:val="en-US"/>
        </w:rPr>
        <w:t>CWG</w:t>
      </w:r>
      <w:r w:rsidR="006C51FD" w:rsidRPr="006C51FD">
        <w:rPr>
          <w:lang w:val="en-US"/>
        </w:rPr>
        <w:t>-</w:t>
      </w:r>
      <w:r w:rsidR="006C51FD">
        <w:rPr>
          <w:lang w:val="en-US"/>
        </w:rPr>
        <w:t>FHR</w:t>
      </w:r>
      <w:r w:rsidR="006C51FD" w:rsidRPr="006C51FD">
        <w:rPr>
          <w:lang w:val="en-US"/>
        </w:rPr>
        <w:t xml:space="preserve"> in January 2026 a conceptual project outlining the planned office and </w:t>
      </w:r>
      <w:r w:rsidR="006C51FD">
        <w:rPr>
          <w:lang w:val="en-US"/>
        </w:rPr>
        <w:t>facilities</w:t>
      </w:r>
      <w:r w:rsidR="006C51FD" w:rsidRPr="006C51FD">
        <w:rPr>
          <w:lang w:val="en-US"/>
        </w:rPr>
        <w:t xml:space="preserve"> in the new alternative "</w:t>
      </w:r>
      <w:proofErr w:type="spellStart"/>
      <w:r w:rsidR="006C51FD" w:rsidRPr="006C51FD">
        <w:rPr>
          <w:lang w:val="en-US"/>
        </w:rPr>
        <w:t>Varembé</w:t>
      </w:r>
      <w:proofErr w:type="spellEnd"/>
      <w:r w:rsidR="006C51FD" w:rsidRPr="006C51FD">
        <w:rPr>
          <w:lang w:val="en-US"/>
        </w:rPr>
        <w:t>" building project (15,000 sqm), with a reassessment, in the interest of meeting the needs of the Members and staff of the ITU, as provided for in Council Resolution 640 and other previous Council and Plenipotentiary Conference resolutions.</w:t>
      </w:r>
    </w:p>
    <w:p w14:paraId="53463DBC" w14:textId="33D1EE57" w:rsidR="00A93EAE" w:rsidRPr="006C51FD" w:rsidRDefault="00A93EAE" w:rsidP="00A93EAE">
      <w:pPr>
        <w:tabs>
          <w:tab w:val="clear" w:pos="567"/>
          <w:tab w:val="clear" w:pos="1134"/>
          <w:tab w:val="clear" w:pos="1701"/>
          <w:tab w:val="clear" w:pos="2268"/>
          <w:tab w:val="clear" w:pos="2835"/>
        </w:tabs>
        <w:overflowPunct/>
        <w:autoSpaceDE/>
        <w:autoSpaceDN/>
        <w:adjustRightInd/>
        <w:spacing w:before="600"/>
        <w:ind w:left="709" w:hanging="425"/>
        <w:jc w:val="center"/>
        <w:textAlignment w:val="auto"/>
        <w:rPr>
          <w:lang w:val="en-US"/>
        </w:rPr>
      </w:pPr>
      <w:r>
        <w:rPr>
          <w:lang w:val="en-US"/>
        </w:rPr>
        <w:t>_________________</w:t>
      </w:r>
    </w:p>
    <w:sectPr w:rsidR="00A93EAE" w:rsidRPr="006C51FD" w:rsidSect="00A76F78">
      <w:footerReference w:type="default" r:id="rId46"/>
      <w:headerReference w:type="first" r:id="rId47"/>
      <w:footerReference w:type="first" r:id="rId48"/>
      <w:pgSz w:w="11907" w:h="16834"/>
      <w:pgMar w:top="1418" w:right="992"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49BF4" w14:textId="77777777" w:rsidR="007D7C00" w:rsidRDefault="007D7C00">
      <w:r>
        <w:separator/>
      </w:r>
    </w:p>
  </w:endnote>
  <w:endnote w:type="continuationSeparator" w:id="0">
    <w:p w14:paraId="693212E5" w14:textId="77777777" w:rsidR="007D7C00" w:rsidRDefault="007D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rsidTr="0042469C">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3A5BEADE"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r w:rsidR="00A52C84" w:rsidRPr="00BA3A51">
            <w:rPr>
              <w:bCs/>
              <w:lang w:val="fr-CH"/>
            </w:rPr>
            <w:t>CWG-</w:t>
          </w:r>
          <w:r w:rsidR="000F6AB8">
            <w:rPr>
              <w:bCs/>
              <w:lang w:val="fr-CH"/>
            </w:rPr>
            <w:t>FHR</w:t>
          </w:r>
          <w:r w:rsidR="00A52C84" w:rsidRPr="00BA3A51">
            <w:rPr>
              <w:bCs/>
              <w:lang w:val="fr-CH"/>
            </w:rPr>
            <w:t>-</w:t>
          </w:r>
          <w:r w:rsidR="00101C44">
            <w:rPr>
              <w:bCs/>
              <w:lang w:val="fr-CH"/>
            </w:rPr>
            <w:t>21</w:t>
          </w:r>
          <w:r w:rsidR="000F6AB8">
            <w:rPr>
              <w:bCs/>
              <w:lang w:val="fr-CH"/>
            </w:rPr>
            <w:t>/</w:t>
          </w:r>
          <w:r w:rsidR="00537C2A">
            <w:rPr>
              <w:bCs/>
              <w:lang w:val="fr-CH"/>
            </w:rPr>
            <w:t>21</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r w:rsidRPr="00191EA3">
              <w:rPr>
                <w:rStyle w:val="Hyperlink"/>
                <w:u w:val="none"/>
              </w:rPr>
              <w:t>council.itu.int/working-groups</w:t>
            </w:r>
          </w:hyperlink>
        </w:p>
      </w:tc>
      <w:tc>
        <w:tcPr>
          <w:tcW w:w="6957" w:type="dxa"/>
        </w:tcPr>
        <w:p w14:paraId="3E34F891" w14:textId="1BE93C84"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r w:rsidRPr="000F6AB8">
            <w:rPr>
              <w:bCs/>
              <w:lang w:val="es-ES"/>
            </w:rPr>
            <w:t>C</w:t>
          </w:r>
          <w:r w:rsidR="00A52C84" w:rsidRPr="000F6AB8">
            <w:rPr>
              <w:bCs/>
              <w:lang w:val="es-ES"/>
            </w:rPr>
            <w:t>WG-</w:t>
          </w:r>
          <w:r w:rsidR="000F6AB8" w:rsidRPr="000F6AB8">
            <w:rPr>
              <w:bCs/>
              <w:lang w:val="es-ES"/>
            </w:rPr>
            <w:t>FHR</w:t>
          </w:r>
          <w:r w:rsidR="00A52C84" w:rsidRPr="000F6AB8">
            <w:rPr>
              <w:bCs/>
              <w:lang w:val="es-ES"/>
            </w:rPr>
            <w:t>-</w:t>
          </w:r>
          <w:r w:rsidR="00101C44">
            <w:rPr>
              <w:bCs/>
              <w:lang w:val="es-ES"/>
            </w:rPr>
            <w:t>21</w:t>
          </w:r>
          <w:r w:rsidRPr="000F6AB8">
            <w:rPr>
              <w:bCs/>
              <w:lang w:val="es-ES"/>
            </w:rPr>
            <w:t>/</w:t>
          </w:r>
          <w:r w:rsidR="00537C2A">
            <w:rPr>
              <w:bCs/>
              <w:lang w:val="es-ES"/>
            </w:rPr>
            <w:t>21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570FB" w14:textId="77777777" w:rsidR="007D7C00" w:rsidRDefault="007D7C00">
      <w:r>
        <w:t>____________________</w:t>
      </w:r>
    </w:p>
  </w:footnote>
  <w:footnote w:type="continuationSeparator" w:id="0">
    <w:p w14:paraId="7145C5E1" w14:textId="77777777" w:rsidR="007D7C00" w:rsidRDefault="007D7C00">
      <w:r>
        <w:continuationSeparator/>
      </w:r>
    </w:p>
  </w:footnote>
  <w:footnote w:id="1">
    <w:p w14:paraId="374C603B" w14:textId="7284075A" w:rsidR="00905862" w:rsidRPr="0040534F" w:rsidRDefault="00905862" w:rsidP="007B0A05">
      <w:pPr>
        <w:tabs>
          <w:tab w:val="clear" w:pos="567"/>
          <w:tab w:val="clear" w:pos="1134"/>
          <w:tab w:val="clear" w:pos="1701"/>
          <w:tab w:val="clear" w:pos="2268"/>
          <w:tab w:val="clear" w:pos="2835"/>
          <w:tab w:val="left" w:pos="284"/>
        </w:tabs>
        <w:overflowPunct/>
        <w:autoSpaceDE/>
        <w:autoSpaceDN/>
        <w:adjustRightInd/>
        <w:jc w:val="both"/>
        <w:textAlignment w:val="auto"/>
        <w:rPr>
          <w:lang w:val="en-US"/>
        </w:rPr>
      </w:pPr>
      <w:r w:rsidRPr="0040534F">
        <w:rPr>
          <w:rStyle w:val="FootnoteReference"/>
        </w:rPr>
        <w:footnoteRef/>
      </w:r>
      <w:r w:rsidR="007B0A05">
        <w:rPr>
          <w:lang w:val="en-US"/>
        </w:rPr>
        <w:tab/>
      </w:r>
      <w:r w:rsidR="002E0473" w:rsidRPr="007B0A05">
        <w:rPr>
          <w:sz w:val="20"/>
          <w:lang w:val="en-US"/>
        </w:rPr>
        <w:t>RCC Communications Administrations</w:t>
      </w:r>
      <w:r w:rsidR="007B0A05" w:rsidRPr="007B0A05">
        <w:rPr>
          <w:sz w:val="20"/>
        </w:rPr>
        <w:t xml:space="preserve"> [</w:t>
      </w:r>
      <w:r w:rsidR="007B0A05" w:rsidRPr="007B0A05">
        <w:rPr>
          <w:sz w:val="20"/>
          <w:lang w:val="en-US"/>
        </w:rPr>
        <w:t>Republic of Azerbaijan, Republic of Armenia, Republic of Belarus, Kyrgyz Republic, Russian Federation, Republic of Tajikistan, and Republic of Uzbekistan]</w:t>
      </w:r>
      <w:r w:rsidRPr="007B0A05">
        <w:rPr>
          <w:sz w:val="20"/>
          <w:lang w:val="en-US"/>
        </w:rPr>
        <w:t xml:space="preserve">, </w:t>
      </w:r>
      <w:r w:rsidR="0040534F" w:rsidRPr="007B0A05">
        <w:rPr>
          <w:sz w:val="20"/>
          <w:lang w:val="en-US"/>
        </w:rPr>
        <w:t xml:space="preserve">authors of the contribution to the Session of Council 2019 </w:t>
      </w:r>
      <w:r w:rsidRPr="007B0A05">
        <w:rPr>
          <w:sz w:val="20"/>
          <w:lang w:val="en-US"/>
        </w:rPr>
        <w:t>(</w:t>
      </w:r>
      <w:hyperlink r:id="rId1" w:history="1">
        <w:r w:rsidR="0040534F" w:rsidRPr="007B0A05">
          <w:rPr>
            <w:rStyle w:val="Hyperlink"/>
            <w:sz w:val="20"/>
            <w:lang w:val="en-US"/>
          </w:rPr>
          <w:t>Document C19/76</w:t>
        </w:r>
      </w:hyperlink>
      <w:r w:rsidRPr="007B0A05">
        <w:rPr>
          <w:sz w:val="20"/>
          <w:lang w:val="en-US"/>
        </w:rPr>
        <w:t xml:space="preserve">) </w:t>
      </w:r>
      <w:r w:rsidR="0040534F" w:rsidRPr="007B0A05">
        <w:rPr>
          <w:sz w:val="20"/>
          <w:lang w:val="en-US"/>
        </w:rPr>
        <w:t xml:space="preserve">“Ensuring the preservation of contributions/donations from ITU participants in the existing buildings of the Union when implementing the project for the construction of the Union's new headquarters premises” and of the contribution to the </w:t>
      </w:r>
      <w:r w:rsidR="0001120A" w:rsidRPr="007B0A05">
        <w:rPr>
          <w:sz w:val="20"/>
          <w:lang w:val="en-US"/>
        </w:rPr>
        <w:t>17</w:t>
      </w:r>
      <w:r w:rsidR="0040534F" w:rsidRPr="007B0A05">
        <w:rPr>
          <w:sz w:val="20"/>
          <w:vertAlign w:val="superscript"/>
          <w:lang w:val="en-US"/>
        </w:rPr>
        <w:t>th</w:t>
      </w:r>
      <w:r w:rsidR="0040534F" w:rsidRPr="007B0A05">
        <w:rPr>
          <w:sz w:val="20"/>
          <w:lang w:val="en-US"/>
        </w:rPr>
        <w:t xml:space="preserve"> meeting of the CWG-FHR</w:t>
      </w:r>
      <w:r w:rsidR="0001120A" w:rsidRPr="007B0A05">
        <w:rPr>
          <w:sz w:val="20"/>
          <w:lang w:val="en-US"/>
        </w:rPr>
        <w:t xml:space="preserve"> (</w:t>
      </w:r>
      <w:hyperlink r:id="rId2" w:history="1">
        <w:r w:rsidR="0040534F" w:rsidRPr="007B0A05">
          <w:rPr>
            <w:rStyle w:val="Hyperlink"/>
            <w:sz w:val="20"/>
            <w:lang w:val="it-IT"/>
          </w:rPr>
          <w:t>Document CWG-FHR-17/19</w:t>
        </w:r>
      </w:hyperlink>
      <w:r w:rsidR="0001120A" w:rsidRPr="007B0A05">
        <w:rPr>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bookmarkStart w:id="13" w:name="_Hlk133422111"/>
        <w:p w14:paraId="23997244" w14:textId="77777777" w:rsidR="00AD3606" w:rsidRPr="009621F8" w:rsidRDefault="00191EA3"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E1356A" id="_x0000_t202" coordsize="21600,21600" o:spt="202" path="m,l,21600r21600,l21600,xe">
                    <v:stroke joinstyle="miter"/>
                    <v:path gradientshapeok="t" o:connecttype="rect"/>
                  </v:shapetype>
                  <v:shape id="Text Box 2" o:spid="_x0000_s1026" type="#_x0000_t202" style="position:absolute;margin-left:113.1pt;margin-top:.4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fillcolor="white [3212]" stroked="f">
                    <v:textbox style="mso-fit-shape-to-text:t" inset="1mm,,1mm">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4"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B67EA"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70B2307"/>
    <w:multiLevelType w:val="multilevel"/>
    <w:tmpl w:val="07162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37538"/>
    <w:multiLevelType w:val="hybridMultilevel"/>
    <w:tmpl w:val="59A21D70"/>
    <w:lvl w:ilvl="0" w:tplc="E9B0AE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81537184">
    <w:abstractNumId w:val="0"/>
  </w:num>
  <w:num w:numId="2" w16cid:durableId="252007231">
    <w:abstractNumId w:val="2"/>
  </w:num>
  <w:num w:numId="3" w16cid:durableId="1705596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1120A"/>
    <w:rsid w:val="000120E4"/>
    <w:rsid w:val="000210D4"/>
    <w:rsid w:val="00046146"/>
    <w:rsid w:val="00063016"/>
    <w:rsid w:val="00066795"/>
    <w:rsid w:val="00076AF6"/>
    <w:rsid w:val="00085CF2"/>
    <w:rsid w:val="00095FFF"/>
    <w:rsid w:val="000A46EA"/>
    <w:rsid w:val="000B1705"/>
    <w:rsid w:val="000D0F57"/>
    <w:rsid w:val="000D75B2"/>
    <w:rsid w:val="000F6AB8"/>
    <w:rsid w:val="00100696"/>
    <w:rsid w:val="00101C44"/>
    <w:rsid w:val="0010381E"/>
    <w:rsid w:val="001048A2"/>
    <w:rsid w:val="001121F5"/>
    <w:rsid w:val="00117FC1"/>
    <w:rsid w:val="00130599"/>
    <w:rsid w:val="001400DC"/>
    <w:rsid w:val="00140CE1"/>
    <w:rsid w:val="00147C54"/>
    <w:rsid w:val="0017539C"/>
    <w:rsid w:val="00175AC2"/>
    <w:rsid w:val="0017609F"/>
    <w:rsid w:val="001857D5"/>
    <w:rsid w:val="00185A8D"/>
    <w:rsid w:val="00191EA3"/>
    <w:rsid w:val="001A19CD"/>
    <w:rsid w:val="001A4249"/>
    <w:rsid w:val="001A7D1D"/>
    <w:rsid w:val="001B51DD"/>
    <w:rsid w:val="001C50D9"/>
    <w:rsid w:val="001C5304"/>
    <w:rsid w:val="001C628E"/>
    <w:rsid w:val="001E0F7B"/>
    <w:rsid w:val="001E0FBE"/>
    <w:rsid w:val="001E3ED8"/>
    <w:rsid w:val="001E5FE7"/>
    <w:rsid w:val="002016B1"/>
    <w:rsid w:val="002041EC"/>
    <w:rsid w:val="002119FD"/>
    <w:rsid w:val="002130E0"/>
    <w:rsid w:val="00235A86"/>
    <w:rsid w:val="00244F7F"/>
    <w:rsid w:val="0025570E"/>
    <w:rsid w:val="002608B7"/>
    <w:rsid w:val="00264425"/>
    <w:rsid w:val="00265875"/>
    <w:rsid w:val="0027303B"/>
    <w:rsid w:val="0028109B"/>
    <w:rsid w:val="002A2188"/>
    <w:rsid w:val="002B1F58"/>
    <w:rsid w:val="002C1C7A"/>
    <w:rsid w:val="002C54E2"/>
    <w:rsid w:val="002D1228"/>
    <w:rsid w:val="002E0473"/>
    <w:rsid w:val="002E0AC3"/>
    <w:rsid w:val="0030160F"/>
    <w:rsid w:val="00301AEE"/>
    <w:rsid w:val="003145DF"/>
    <w:rsid w:val="0032020F"/>
    <w:rsid w:val="00320223"/>
    <w:rsid w:val="00322D0D"/>
    <w:rsid w:val="00337E3F"/>
    <w:rsid w:val="00361465"/>
    <w:rsid w:val="003877F5"/>
    <w:rsid w:val="003942D4"/>
    <w:rsid w:val="0039514F"/>
    <w:rsid w:val="003958A8"/>
    <w:rsid w:val="003B29C2"/>
    <w:rsid w:val="003C20CA"/>
    <w:rsid w:val="003C2533"/>
    <w:rsid w:val="003D5A7F"/>
    <w:rsid w:val="003D5B16"/>
    <w:rsid w:val="003D635C"/>
    <w:rsid w:val="003F530C"/>
    <w:rsid w:val="003F7C01"/>
    <w:rsid w:val="004016E2"/>
    <w:rsid w:val="0040435A"/>
    <w:rsid w:val="0040534F"/>
    <w:rsid w:val="00416A24"/>
    <w:rsid w:val="0042059E"/>
    <w:rsid w:val="004316AC"/>
    <w:rsid w:val="00431D9E"/>
    <w:rsid w:val="00433CE8"/>
    <w:rsid w:val="00434A5C"/>
    <w:rsid w:val="004544D9"/>
    <w:rsid w:val="00472BAD"/>
    <w:rsid w:val="00484009"/>
    <w:rsid w:val="00490E72"/>
    <w:rsid w:val="00491157"/>
    <w:rsid w:val="00491A64"/>
    <w:rsid w:val="004921C8"/>
    <w:rsid w:val="00495B0B"/>
    <w:rsid w:val="004A1B8B"/>
    <w:rsid w:val="004A424B"/>
    <w:rsid w:val="004A5A32"/>
    <w:rsid w:val="004D1851"/>
    <w:rsid w:val="004D599D"/>
    <w:rsid w:val="004E2EA5"/>
    <w:rsid w:val="004E3AEB"/>
    <w:rsid w:val="004F3819"/>
    <w:rsid w:val="0050223C"/>
    <w:rsid w:val="00507750"/>
    <w:rsid w:val="005243FF"/>
    <w:rsid w:val="005311D6"/>
    <w:rsid w:val="00536422"/>
    <w:rsid w:val="00537C2A"/>
    <w:rsid w:val="00541070"/>
    <w:rsid w:val="00551CDC"/>
    <w:rsid w:val="00564FBC"/>
    <w:rsid w:val="005800BC"/>
    <w:rsid w:val="00581349"/>
    <w:rsid w:val="00582442"/>
    <w:rsid w:val="005A335D"/>
    <w:rsid w:val="005A7D51"/>
    <w:rsid w:val="005C13D4"/>
    <w:rsid w:val="005C77C0"/>
    <w:rsid w:val="005E2BD5"/>
    <w:rsid w:val="005F3269"/>
    <w:rsid w:val="0060353C"/>
    <w:rsid w:val="0060523F"/>
    <w:rsid w:val="00613B55"/>
    <w:rsid w:val="00615961"/>
    <w:rsid w:val="00623AE3"/>
    <w:rsid w:val="006261F4"/>
    <w:rsid w:val="00631CAF"/>
    <w:rsid w:val="0064737F"/>
    <w:rsid w:val="006535F1"/>
    <w:rsid w:val="0065557D"/>
    <w:rsid w:val="00660D50"/>
    <w:rsid w:val="00662984"/>
    <w:rsid w:val="00667828"/>
    <w:rsid w:val="006716BB"/>
    <w:rsid w:val="00675BA8"/>
    <w:rsid w:val="0068138B"/>
    <w:rsid w:val="0069163C"/>
    <w:rsid w:val="006973C8"/>
    <w:rsid w:val="006A7156"/>
    <w:rsid w:val="006B1859"/>
    <w:rsid w:val="006B6680"/>
    <w:rsid w:val="006B6DCC"/>
    <w:rsid w:val="006C3F8D"/>
    <w:rsid w:val="006C51FD"/>
    <w:rsid w:val="00702DEF"/>
    <w:rsid w:val="0070430B"/>
    <w:rsid w:val="00706861"/>
    <w:rsid w:val="00726B8C"/>
    <w:rsid w:val="00730F83"/>
    <w:rsid w:val="0075051B"/>
    <w:rsid w:val="007548C5"/>
    <w:rsid w:val="0077110E"/>
    <w:rsid w:val="00775655"/>
    <w:rsid w:val="00793188"/>
    <w:rsid w:val="00794D34"/>
    <w:rsid w:val="007B0A05"/>
    <w:rsid w:val="007B5206"/>
    <w:rsid w:val="007C5FC5"/>
    <w:rsid w:val="007D7C00"/>
    <w:rsid w:val="008059AD"/>
    <w:rsid w:val="00806E3C"/>
    <w:rsid w:val="00813E5E"/>
    <w:rsid w:val="00816C2C"/>
    <w:rsid w:val="0083581B"/>
    <w:rsid w:val="00860EED"/>
    <w:rsid w:val="00863874"/>
    <w:rsid w:val="00864AFF"/>
    <w:rsid w:val="00865925"/>
    <w:rsid w:val="00880567"/>
    <w:rsid w:val="00891503"/>
    <w:rsid w:val="008B2D64"/>
    <w:rsid w:val="008B4A6A"/>
    <w:rsid w:val="008C7E27"/>
    <w:rsid w:val="008F3822"/>
    <w:rsid w:val="008F7448"/>
    <w:rsid w:val="0090147A"/>
    <w:rsid w:val="0090389B"/>
    <w:rsid w:val="00905862"/>
    <w:rsid w:val="009173EF"/>
    <w:rsid w:val="009258F5"/>
    <w:rsid w:val="00932906"/>
    <w:rsid w:val="00961860"/>
    <w:rsid w:val="00961B0B"/>
    <w:rsid w:val="00962D33"/>
    <w:rsid w:val="0099599A"/>
    <w:rsid w:val="009B38C3"/>
    <w:rsid w:val="009D6CA6"/>
    <w:rsid w:val="009E09F2"/>
    <w:rsid w:val="009E17BD"/>
    <w:rsid w:val="009E485A"/>
    <w:rsid w:val="00A04CEC"/>
    <w:rsid w:val="00A065AC"/>
    <w:rsid w:val="00A27F92"/>
    <w:rsid w:val="00A32257"/>
    <w:rsid w:val="00A36D20"/>
    <w:rsid w:val="00A43C03"/>
    <w:rsid w:val="00A44E67"/>
    <w:rsid w:val="00A46CD0"/>
    <w:rsid w:val="00A501D6"/>
    <w:rsid w:val="00A514A4"/>
    <w:rsid w:val="00A52C84"/>
    <w:rsid w:val="00A55622"/>
    <w:rsid w:val="00A76F78"/>
    <w:rsid w:val="00A83502"/>
    <w:rsid w:val="00A93EAE"/>
    <w:rsid w:val="00AD15B3"/>
    <w:rsid w:val="00AD3606"/>
    <w:rsid w:val="00AD4A3D"/>
    <w:rsid w:val="00AF4F78"/>
    <w:rsid w:val="00AF6386"/>
    <w:rsid w:val="00AF6E49"/>
    <w:rsid w:val="00B04A67"/>
    <w:rsid w:val="00B0583C"/>
    <w:rsid w:val="00B248BC"/>
    <w:rsid w:val="00B358B2"/>
    <w:rsid w:val="00B40A81"/>
    <w:rsid w:val="00B44910"/>
    <w:rsid w:val="00B5202C"/>
    <w:rsid w:val="00B6350C"/>
    <w:rsid w:val="00B72267"/>
    <w:rsid w:val="00B73DD1"/>
    <w:rsid w:val="00B76EB6"/>
    <w:rsid w:val="00B7737B"/>
    <w:rsid w:val="00B824C8"/>
    <w:rsid w:val="00B849D3"/>
    <w:rsid w:val="00B84B9D"/>
    <w:rsid w:val="00B9007F"/>
    <w:rsid w:val="00BA3A51"/>
    <w:rsid w:val="00BC251A"/>
    <w:rsid w:val="00BD032B"/>
    <w:rsid w:val="00BD0614"/>
    <w:rsid w:val="00BD094B"/>
    <w:rsid w:val="00BE2640"/>
    <w:rsid w:val="00BE4C42"/>
    <w:rsid w:val="00BF06F0"/>
    <w:rsid w:val="00C01189"/>
    <w:rsid w:val="00C374DE"/>
    <w:rsid w:val="00C47AD4"/>
    <w:rsid w:val="00C52D81"/>
    <w:rsid w:val="00C55198"/>
    <w:rsid w:val="00C61DE1"/>
    <w:rsid w:val="00C725C6"/>
    <w:rsid w:val="00C82AFE"/>
    <w:rsid w:val="00C922C7"/>
    <w:rsid w:val="00CA6393"/>
    <w:rsid w:val="00CB18FF"/>
    <w:rsid w:val="00CB24AA"/>
    <w:rsid w:val="00CD0C08"/>
    <w:rsid w:val="00CD3C91"/>
    <w:rsid w:val="00CE03FB"/>
    <w:rsid w:val="00CE2531"/>
    <w:rsid w:val="00CE433C"/>
    <w:rsid w:val="00CF0161"/>
    <w:rsid w:val="00CF33F3"/>
    <w:rsid w:val="00D06183"/>
    <w:rsid w:val="00D22C42"/>
    <w:rsid w:val="00D45669"/>
    <w:rsid w:val="00D46480"/>
    <w:rsid w:val="00D464CC"/>
    <w:rsid w:val="00D522F6"/>
    <w:rsid w:val="00D65041"/>
    <w:rsid w:val="00DB00D5"/>
    <w:rsid w:val="00DB1936"/>
    <w:rsid w:val="00DB384B"/>
    <w:rsid w:val="00DD421B"/>
    <w:rsid w:val="00DF0189"/>
    <w:rsid w:val="00E06FD5"/>
    <w:rsid w:val="00E10E80"/>
    <w:rsid w:val="00E124F0"/>
    <w:rsid w:val="00E227F3"/>
    <w:rsid w:val="00E4728B"/>
    <w:rsid w:val="00E545C6"/>
    <w:rsid w:val="00E57FCB"/>
    <w:rsid w:val="00E60F04"/>
    <w:rsid w:val="00E63EFF"/>
    <w:rsid w:val="00E65B24"/>
    <w:rsid w:val="00E6620D"/>
    <w:rsid w:val="00E854E4"/>
    <w:rsid w:val="00E86DBF"/>
    <w:rsid w:val="00EB0D6F"/>
    <w:rsid w:val="00EB2232"/>
    <w:rsid w:val="00EB5724"/>
    <w:rsid w:val="00EC5337"/>
    <w:rsid w:val="00ED575C"/>
    <w:rsid w:val="00EE391E"/>
    <w:rsid w:val="00EE49E8"/>
    <w:rsid w:val="00EE609C"/>
    <w:rsid w:val="00EF6F78"/>
    <w:rsid w:val="00F10B59"/>
    <w:rsid w:val="00F12A69"/>
    <w:rsid w:val="00F16BAB"/>
    <w:rsid w:val="00F2150A"/>
    <w:rsid w:val="00F231D8"/>
    <w:rsid w:val="00F44C00"/>
    <w:rsid w:val="00F44E48"/>
    <w:rsid w:val="00F45D2C"/>
    <w:rsid w:val="00F46C5F"/>
    <w:rsid w:val="00F6006F"/>
    <w:rsid w:val="00F60868"/>
    <w:rsid w:val="00F632C0"/>
    <w:rsid w:val="00F74694"/>
    <w:rsid w:val="00F86596"/>
    <w:rsid w:val="00F93FD4"/>
    <w:rsid w:val="00F94A63"/>
    <w:rsid w:val="00FA1C28"/>
    <w:rsid w:val="00FB1279"/>
    <w:rsid w:val="00FB6B76"/>
    <w:rsid w:val="00FB7596"/>
    <w:rsid w:val="00FE4077"/>
    <w:rsid w:val="00FE500D"/>
    <w:rsid w:val="00FE53A8"/>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4D4C5DDE-B542-431D-8EBB-0086F28C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qFormat/>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 w:type="character" w:customStyle="1" w:styleId="enumlev1Char">
    <w:name w:val="enumlev1 Char"/>
    <w:link w:val="enumlev1"/>
    <w:qFormat/>
    <w:rsid w:val="0010381E"/>
    <w:rPr>
      <w:rFonts w:ascii="Calibri" w:hAnsi="Calibri"/>
      <w:sz w:val="24"/>
      <w:lang w:val="en-GB" w:eastAsia="en-US"/>
    </w:rPr>
  </w:style>
  <w:style w:type="paragraph" w:styleId="ListParagraph">
    <w:name w:val="List Paragraph"/>
    <w:basedOn w:val="Normal"/>
    <w:uiPriority w:val="34"/>
    <w:qFormat/>
    <w:rsid w:val="0010381E"/>
    <w:pPr>
      <w:ind w:left="720"/>
      <w:contextualSpacing/>
    </w:pPr>
  </w:style>
  <w:style w:type="paragraph" w:styleId="NormalWeb">
    <w:name w:val="Normal (Web)"/>
    <w:basedOn w:val="Normal"/>
    <w:semiHidden/>
    <w:unhideWhenUsed/>
    <w:rsid w:val="009258F5"/>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8-CL-C-0123/en" TargetMode="External"/><Relationship Id="rId18" Type="http://schemas.openxmlformats.org/officeDocument/2006/relationships/hyperlink" Target="https://www.itu.int/md/S19-CL-C-0076/en" TargetMode="External"/><Relationship Id="rId26" Type="http://schemas.openxmlformats.org/officeDocument/2006/relationships/hyperlink" Target="https://www.itu.int/md/S16-CL-C-0124/en" TargetMode="External"/><Relationship Id="rId39" Type="http://schemas.openxmlformats.org/officeDocument/2006/relationships/hyperlink" Target="https://www.itu.int/md/S25-CL-C-0007/en" TargetMode="External"/><Relationship Id="rId21" Type="http://schemas.openxmlformats.org/officeDocument/2006/relationships/hyperlink" Target="https://www.itu.int/md/S23-CL-C-0104/en" TargetMode="External"/><Relationship Id="rId34" Type="http://schemas.openxmlformats.org/officeDocument/2006/relationships/hyperlink" Target="https://www.itu.int/md/S19-CL-C-0076/en" TargetMode="External"/><Relationship Id="rId42" Type="http://schemas.openxmlformats.org/officeDocument/2006/relationships/hyperlink" Target="https://www.itu.int/md/S17-CL-C-0007/en"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19-CL-190610-DL-0012/en" TargetMode="External"/><Relationship Id="rId29" Type="http://schemas.openxmlformats.org/officeDocument/2006/relationships/hyperlink" Target="https://www.itu.int/md/S24-CL-C-0132/en" TargetMode="External"/><Relationship Id="rId11" Type="http://schemas.openxmlformats.org/officeDocument/2006/relationships/hyperlink" Target="https://www.itu.int/md/S16-CL-C-0007/en" TargetMode="External"/><Relationship Id="rId24" Type="http://schemas.openxmlformats.org/officeDocument/2006/relationships/hyperlink" Target="https://www.itu.int/md/S24-CWGFHR17-C-0019/en" TargetMode="External"/><Relationship Id="rId32" Type="http://schemas.openxmlformats.org/officeDocument/2006/relationships/hyperlink" Target="https://www.itu.int/hqbuilding/wp-content/uploads/2022/03/regulations-specifications-site-programme-en.pdf" TargetMode="External"/><Relationship Id="rId37" Type="http://schemas.openxmlformats.org/officeDocument/2006/relationships/hyperlink" Target="https://www.itu.int/md/S24-CL-C-0132/en" TargetMode="External"/><Relationship Id="rId40" Type="http://schemas.openxmlformats.org/officeDocument/2006/relationships/hyperlink" Target="https://www.itu.int/md/S17-CL-C-0007/en" TargetMode="External"/><Relationship Id="rId45" Type="http://schemas.openxmlformats.org/officeDocument/2006/relationships/hyperlink" Target="https://www.itu.int/en/council/Documents/2023/HQP-Slides-presentation-Sept23.pdf" TargetMode="External"/><Relationship Id="rId5" Type="http://schemas.openxmlformats.org/officeDocument/2006/relationships/numbering" Target="numbering.xml"/><Relationship Id="rId15" Type="http://schemas.openxmlformats.org/officeDocument/2006/relationships/hyperlink" Target="https://www.itu.int/md/S19-CL-C-0120/en" TargetMode="External"/><Relationship Id="rId23" Type="http://schemas.openxmlformats.org/officeDocument/2006/relationships/hyperlink" Target="https://www.itu.int/md/S25-CL-C-0083/en" TargetMode="External"/><Relationship Id="rId28" Type="http://schemas.openxmlformats.org/officeDocument/2006/relationships/hyperlink" Target="https://www.itu.int/md/S21-CL-C-0099/en" TargetMode="External"/><Relationship Id="rId36" Type="http://schemas.openxmlformats.org/officeDocument/2006/relationships/hyperlink" Target="https://www.itu.int/md/S19-CL-C-0107/en"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0-CL-C-0007/en" TargetMode="External"/><Relationship Id="rId31" Type="http://schemas.openxmlformats.org/officeDocument/2006/relationships/hyperlink" Target="https://www.itu.int/en/council/Documents/basic-texts-2023/RES-212-r.pdf" TargetMode="External"/><Relationship Id="rId44" Type="http://schemas.openxmlformats.org/officeDocument/2006/relationships/hyperlink" Target="https://www.itu.int/en/council/Documents/2023/HQP-Slides-presentation-Sept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19-CL-C-0076/en" TargetMode="External"/><Relationship Id="rId22" Type="http://schemas.openxmlformats.org/officeDocument/2006/relationships/hyperlink" Target="https://www.itu.int/md/S23-C23ADD-C-0005/en" TargetMode="External"/><Relationship Id="rId27" Type="http://schemas.openxmlformats.org/officeDocument/2006/relationships/hyperlink" Target="https://www.itu.int/md/S19-CLADD-C-0005/en" TargetMode="External"/><Relationship Id="rId30" Type="http://schemas.openxmlformats.org/officeDocument/2006/relationships/hyperlink" Target="https://www.itu.int/en/council/Documents/basic-texts/RES-212-r.pdf" TargetMode="External"/><Relationship Id="rId35" Type="http://schemas.openxmlformats.org/officeDocument/2006/relationships/hyperlink" Target="https://www.itu.int/md/S19-CL-C-0120/en" TargetMode="External"/><Relationship Id="rId43" Type="http://schemas.openxmlformats.org/officeDocument/2006/relationships/hyperlink" Target="https://www.itu.int/hqbuilding/wp-content/uploads/2022/03/regulations-specifications-site-programme-en.pdf" TargetMode="External"/><Relationship Id="rId48"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tu.int/md/S17-CL-C-0007/en" TargetMode="External"/><Relationship Id="rId17" Type="http://schemas.openxmlformats.org/officeDocument/2006/relationships/hyperlink" Target="https://www.itu.int/md/S19-CLADD-C-0002/en" TargetMode="External"/><Relationship Id="rId25" Type="http://schemas.openxmlformats.org/officeDocument/2006/relationships/hyperlink" Target="https://www.itu.int/md/S15-RCWGHQP2-C-0002/en" TargetMode="External"/><Relationship Id="rId33" Type="http://schemas.openxmlformats.org/officeDocument/2006/relationships/hyperlink" Target="https://www.itu.int/md/S24-CWGFHR17-C-0019/en" TargetMode="External"/><Relationship Id="rId38" Type="http://schemas.openxmlformats.org/officeDocument/2006/relationships/hyperlink" Target="https://www.itu.int/md/S25-CL-C-0083/en" TargetMode="External"/><Relationship Id="rId46" Type="http://schemas.openxmlformats.org/officeDocument/2006/relationships/footer" Target="footer1.xml"/><Relationship Id="rId20" Type="http://schemas.openxmlformats.org/officeDocument/2006/relationships/hyperlink" Target="https://www.itu.int/md/S21-CL-C-0007/en" TargetMode="External"/><Relationship Id="rId41" Type="http://schemas.openxmlformats.org/officeDocument/2006/relationships/hyperlink" Target="https://www.itu.int/hqbuilding/wp-content/uploads/2022/03/regulations-specifications-site-programme-en.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md/S24-CWGFHR17-C-0019/en" TargetMode="External"/><Relationship Id="rId1" Type="http://schemas.openxmlformats.org/officeDocument/2006/relationships/hyperlink" Target="https://www.itu.int/md/S19-CL-C-007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8D152A5F-4396-4723-B368-03BE6B91B35F}">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1aaea1ea-72e4-4374-b05e-72e2f16fb7ae"/>
    <ds:schemaRef ds:uri="http://schemas.microsoft.com/sharepoint/v3"/>
    <ds:schemaRef ds:uri="http://www.w3.org/XML/1998/namespace"/>
  </ds:schemaRefs>
</ds:datastoreItem>
</file>

<file path=customXml/itemProps3.xml><?xml version="1.0" encoding="utf-8"?>
<ds:datastoreItem xmlns:ds="http://schemas.openxmlformats.org/officeDocument/2006/customXml" ds:itemID="{34AA7618-6AD7-4D4E-B925-0FE7BACAE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F90EF3-2B15-48E6-BB99-162B0A5C8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2268</Words>
  <Characters>14889</Characters>
  <Application>Microsoft Office Word</Application>
  <DocSecurity>0</DocSecurity>
  <Lines>124</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Contribution by RCC - The Union's headquarters premises project -  Streamlining the decision-making foundations of the Union's governing bodies</vt:lpstr>
      <vt:lpstr/>
    </vt:vector>
  </TitlesOfParts>
  <Manager/>
  <Company/>
  <LinksUpToDate>false</LinksUpToDate>
  <CharactersWithSpaces>17123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RCC - The Union's headquarters premises project -  Streamlining the decision-making foundations of the Union's governing bodies</dc:title>
  <dc:subject>ITU Council Working Group on financial and human resources</dc:subject>
  <dc:creator>GBS</dc:creator>
  <cp:keywords>CWG-FHR</cp:keywords>
  <dc:description/>
  <cp:lastModifiedBy>GBS</cp:lastModifiedBy>
  <cp:revision>2</cp:revision>
  <dcterms:created xsi:type="dcterms:W3CDTF">2025-09-11T09:55:00Z</dcterms:created>
  <dcterms:modified xsi:type="dcterms:W3CDTF">2025-09-11T09:55:00Z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y fmtid="{D5CDD505-2E9C-101B-9397-08002B2CF9AE}" pid="3" name="ContentTypeId">
    <vt:lpwstr>0x0101001E46BE2403204D4E844191C3480CD35B</vt:lpwstr>
  </property>
</Properties>
</file>