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B0270A" w:rsidRPr="008E0B4D" w14:paraId="5F1F81F2" w14:textId="77777777" w:rsidTr="00AD3606">
        <w:trPr>
          <w:cantSplit/>
          <w:trHeight w:val="23"/>
        </w:trPr>
        <w:tc>
          <w:tcPr>
            <w:tcW w:w="3969" w:type="dxa"/>
            <w:vMerge w:val="restart"/>
            <w:tcMar>
              <w:left w:w="0" w:type="dxa"/>
            </w:tcMar>
          </w:tcPr>
          <w:p w14:paraId="16DC1941" w14:textId="77777777" w:rsidR="00AD3606" w:rsidRPr="00B0270A" w:rsidRDefault="00AD3606" w:rsidP="00472BAD">
            <w:pPr>
              <w:tabs>
                <w:tab w:val="left" w:pos="851"/>
              </w:tabs>
              <w:spacing w:before="0" w:line="240" w:lineRule="atLeast"/>
              <w:rPr>
                <w:rFonts w:ascii="Times New Roman" w:hAnsi="Times New Roman"/>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667F6BFA" w:rsidR="00AD3606" w:rsidRPr="008E0B4D" w:rsidRDefault="00AD3606" w:rsidP="00472BAD">
            <w:pPr>
              <w:tabs>
                <w:tab w:val="left" w:pos="851"/>
              </w:tabs>
              <w:spacing w:before="0" w:line="240" w:lineRule="atLeast"/>
              <w:jc w:val="right"/>
              <w:rPr>
                <w:rFonts w:cs="Calibri"/>
                <w:b/>
                <w:lang w:val="fr-FR"/>
              </w:rPr>
            </w:pPr>
            <w:r w:rsidRPr="008E0B4D">
              <w:rPr>
                <w:rFonts w:cs="Calibri"/>
                <w:b/>
                <w:lang w:val="fr-FR"/>
              </w:rPr>
              <w:t>Document C</w:t>
            </w:r>
            <w:r w:rsidR="00A52C84" w:rsidRPr="008E0B4D">
              <w:rPr>
                <w:rFonts w:cs="Calibri"/>
                <w:b/>
                <w:lang w:val="fr-FR"/>
              </w:rPr>
              <w:t>WG-</w:t>
            </w:r>
            <w:r w:rsidR="000F6AB8" w:rsidRPr="008E0B4D">
              <w:rPr>
                <w:rFonts w:cs="Calibri"/>
                <w:b/>
                <w:lang w:val="fr-FR"/>
              </w:rPr>
              <w:t>FHR</w:t>
            </w:r>
            <w:r w:rsidR="00A52C84" w:rsidRPr="008E0B4D">
              <w:rPr>
                <w:rFonts w:cs="Calibri"/>
                <w:b/>
                <w:lang w:val="fr-FR"/>
              </w:rPr>
              <w:t>-</w:t>
            </w:r>
            <w:r w:rsidR="00101C44" w:rsidRPr="008E0B4D">
              <w:rPr>
                <w:rFonts w:cs="Calibri"/>
                <w:b/>
                <w:lang w:val="fr-FR"/>
              </w:rPr>
              <w:t>21</w:t>
            </w:r>
            <w:r w:rsidR="00301AEE" w:rsidRPr="008E0B4D">
              <w:rPr>
                <w:rFonts w:cs="Calibri"/>
                <w:b/>
                <w:lang w:val="fr-FR"/>
              </w:rPr>
              <w:t>/</w:t>
            </w:r>
            <w:r w:rsidR="008E0B4D">
              <w:rPr>
                <w:rFonts w:cs="Calibri"/>
                <w:b/>
                <w:lang w:val="fr-FR"/>
              </w:rPr>
              <w:t>15</w:t>
            </w:r>
          </w:p>
        </w:tc>
      </w:tr>
      <w:tr w:rsidR="00B0270A" w:rsidRPr="008E0B4D" w14:paraId="6E85BAE5" w14:textId="77777777" w:rsidTr="00AD3606">
        <w:trPr>
          <w:cantSplit/>
        </w:trPr>
        <w:tc>
          <w:tcPr>
            <w:tcW w:w="3969" w:type="dxa"/>
            <w:vMerge/>
          </w:tcPr>
          <w:p w14:paraId="56C90872" w14:textId="77777777" w:rsidR="00AD3606" w:rsidRPr="00B0270A" w:rsidRDefault="00AD3606" w:rsidP="00AD3606">
            <w:pPr>
              <w:tabs>
                <w:tab w:val="left" w:pos="851"/>
              </w:tabs>
              <w:spacing w:line="240" w:lineRule="atLeast"/>
              <w:rPr>
                <w:rFonts w:ascii="Times New Roman" w:hAnsi="Times New Roman"/>
                <w:b/>
                <w:lang w:val="fr-FR"/>
              </w:rPr>
            </w:pPr>
            <w:bookmarkStart w:id="6" w:name="ddate" w:colFirst="1" w:colLast="1"/>
            <w:bookmarkEnd w:id="0"/>
            <w:bookmarkEnd w:id="1"/>
          </w:p>
        </w:tc>
        <w:tc>
          <w:tcPr>
            <w:tcW w:w="5245" w:type="dxa"/>
          </w:tcPr>
          <w:p w14:paraId="7955E02B" w14:textId="37B9D5DC" w:rsidR="00AD3606" w:rsidRPr="008E0B4D" w:rsidRDefault="008E0B4D" w:rsidP="00AD3606">
            <w:pPr>
              <w:tabs>
                <w:tab w:val="left" w:pos="851"/>
              </w:tabs>
              <w:spacing w:before="0"/>
              <w:jc w:val="right"/>
              <w:rPr>
                <w:rFonts w:cs="Calibri"/>
                <w:b/>
              </w:rPr>
            </w:pPr>
            <w:r>
              <w:rPr>
                <w:rFonts w:cs="Calibri"/>
                <w:b/>
              </w:rPr>
              <w:t>27 August 2025</w:t>
            </w:r>
          </w:p>
        </w:tc>
      </w:tr>
      <w:tr w:rsidR="00B0270A" w:rsidRPr="008E0B4D" w14:paraId="5CB1986F" w14:textId="77777777" w:rsidTr="00AD3606">
        <w:trPr>
          <w:cantSplit/>
          <w:trHeight w:val="23"/>
        </w:trPr>
        <w:tc>
          <w:tcPr>
            <w:tcW w:w="3969" w:type="dxa"/>
            <w:vMerge/>
          </w:tcPr>
          <w:p w14:paraId="1B5FC4FA" w14:textId="77777777" w:rsidR="00AD3606" w:rsidRPr="00B0270A" w:rsidRDefault="00AD3606" w:rsidP="00AD3606">
            <w:pPr>
              <w:tabs>
                <w:tab w:val="left" w:pos="851"/>
              </w:tabs>
              <w:spacing w:line="240" w:lineRule="atLeast"/>
              <w:rPr>
                <w:rFonts w:ascii="Times New Roman" w:hAnsi="Times New Roman"/>
                <w:b/>
              </w:rPr>
            </w:pPr>
            <w:bookmarkStart w:id="7" w:name="dorlang" w:colFirst="1" w:colLast="1"/>
            <w:bookmarkEnd w:id="6"/>
          </w:p>
        </w:tc>
        <w:tc>
          <w:tcPr>
            <w:tcW w:w="5245" w:type="dxa"/>
          </w:tcPr>
          <w:p w14:paraId="44145FF2" w14:textId="77777777" w:rsidR="00AD3606" w:rsidRPr="008E0B4D" w:rsidRDefault="00891503" w:rsidP="00AD3606">
            <w:pPr>
              <w:tabs>
                <w:tab w:val="left" w:pos="851"/>
              </w:tabs>
              <w:spacing w:before="0" w:line="240" w:lineRule="atLeast"/>
              <w:jc w:val="right"/>
              <w:rPr>
                <w:rFonts w:cs="Calibri"/>
                <w:b/>
              </w:rPr>
            </w:pPr>
            <w:r w:rsidRPr="008E0B4D">
              <w:rPr>
                <w:rFonts w:cs="Calibri"/>
                <w:b/>
              </w:rPr>
              <w:t>English only</w:t>
            </w:r>
          </w:p>
        </w:tc>
      </w:tr>
      <w:tr w:rsidR="00B0270A" w:rsidRPr="008E0B4D" w14:paraId="083860DE" w14:textId="77777777" w:rsidTr="00AD3606">
        <w:trPr>
          <w:cantSplit/>
          <w:trHeight w:val="23"/>
        </w:trPr>
        <w:tc>
          <w:tcPr>
            <w:tcW w:w="3969" w:type="dxa"/>
          </w:tcPr>
          <w:p w14:paraId="2431CC24" w14:textId="77777777" w:rsidR="00472BAD" w:rsidRPr="00B0270A" w:rsidRDefault="00472BAD" w:rsidP="00AD3606">
            <w:pPr>
              <w:tabs>
                <w:tab w:val="left" w:pos="851"/>
              </w:tabs>
              <w:spacing w:line="240" w:lineRule="atLeast"/>
              <w:rPr>
                <w:rFonts w:ascii="Times New Roman" w:hAnsi="Times New Roman"/>
                <w:b/>
              </w:rPr>
            </w:pPr>
          </w:p>
        </w:tc>
        <w:tc>
          <w:tcPr>
            <w:tcW w:w="5245" w:type="dxa"/>
          </w:tcPr>
          <w:p w14:paraId="2571578C" w14:textId="77777777" w:rsidR="00472BAD" w:rsidRPr="008E0B4D" w:rsidRDefault="00472BAD" w:rsidP="00AD3606">
            <w:pPr>
              <w:tabs>
                <w:tab w:val="left" w:pos="851"/>
              </w:tabs>
              <w:spacing w:before="0" w:line="240" w:lineRule="atLeast"/>
              <w:jc w:val="right"/>
              <w:rPr>
                <w:rFonts w:cs="Calibri"/>
                <w:b/>
              </w:rPr>
            </w:pPr>
          </w:p>
        </w:tc>
      </w:tr>
      <w:tr w:rsidR="00B0270A" w:rsidRPr="008E0B4D" w14:paraId="7FB28110" w14:textId="77777777" w:rsidTr="00AD3606">
        <w:trPr>
          <w:cantSplit/>
        </w:trPr>
        <w:tc>
          <w:tcPr>
            <w:tcW w:w="9214" w:type="dxa"/>
            <w:gridSpan w:val="2"/>
            <w:tcMar>
              <w:left w:w="0" w:type="dxa"/>
            </w:tcMar>
          </w:tcPr>
          <w:p w14:paraId="75E8D14E" w14:textId="0ACCD820" w:rsidR="00AD3606" w:rsidRPr="008E0B4D" w:rsidRDefault="006973C8" w:rsidP="00E4728B">
            <w:pPr>
              <w:pStyle w:val="Source"/>
              <w:framePr w:hSpace="0" w:wrap="auto" w:vAnchor="margin" w:hAnchor="text" w:xAlign="left" w:yAlign="inline"/>
              <w:rPr>
                <w:rFonts w:cs="Calibri"/>
              </w:rPr>
            </w:pPr>
            <w:bookmarkStart w:id="8" w:name="dsource" w:colFirst="0" w:colLast="0"/>
            <w:bookmarkEnd w:id="7"/>
            <w:r w:rsidRPr="008E0B4D">
              <w:rPr>
                <w:rFonts w:cs="Calibri"/>
              </w:rPr>
              <w:t xml:space="preserve">Contribution by </w:t>
            </w:r>
            <w:r w:rsidR="006D5604" w:rsidRPr="008E0B4D">
              <w:rPr>
                <w:rFonts w:cs="Calibri"/>
              </w:rPr>
              <w:t>India (Republic of)</w:t>
            </w:r>
          </w:p>
        </w:tc>
      </w:tr>
      <w:tr w:rsidR="00B0270A" w:rsidRPr="008E0B4D" w14:paraId="02D4D1B9" w14:textId="77777777" w:rsidTr="00AD3606">
        <w:trPr>
          <w:cantSplit/>
        </w:trPr>
        <w:tc>
          <w:tcPr>
            <w:tcW w:w="9214" w:type="dxa"/>
            <w:gridSpan w:val="2"/>
            <w:tcMar>
              <w:left w:w="0" w:type="dxa"/>
            </w:tcMar>
          </w:tcPr>
          <w:p w14:paraId="7E0E3A05" w14:textId="176E85BB" w:rsidR="00AD3606" w:rsidRPr="008E0B4D" w:rsidRDefault="00B0270A" w:rsidP="00E4728B">
            <w:pPr>
              <w:pStyle w:val="Subtitle"/>
              <w:framePr w:hSpace="0" w:wrap="auto" w:xAlign="left" w:yAlign="inline"/>
              <w:rPr>
                <w:rFonts w:cs="Calibri"/>
              </w:rPr>
            </w:pPr>
            <w:bookmarkStart w:id="9" w:name="dtitle1" w:colFirst="0" w:colLast="0"/>
            <w:bookmarkStart w:id="10" w:name="_Hlk207189771"/>
            <w:bookmarkEnd w:id="8"/>
            <w:r w:rsidRPr="008E0B4D">
              <w:rPr>
                <w:rFonts w:cs="Calibri"/>
                <w:lang w:val="en-IN"/>
              </w:rPr>
              <w:t>BIDDING PROCESS FOR HOSTING ITU CONFERENCES</w:t>
            </w:r>
            <w:bookmarkEnd w:id="10"/>
          </w:p>
        </w:tc>
      </w:tr>
      <w:tr w:rsidR="00B0270A" w:rsidRPr="008E0B4D"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8E0B4D" w:rsidRDefault="00F16BAB" w:rsidP="00F16BAB">
            <w:pPr>
              <w:spacing w:before="160"/>
              <w:rPr>
                <w:rFonts w:cs="Calibri"/>
                <w:b/>
                <w:bCs/>
                <w:sz w:val="26"/>
                <w:szCs w:val="26"/>
              </w:rPr>
            </w:pPr>
            <w:r w:rsidRPr="008E0B4D">
              <w:rPr>
                <w:rFonts w:cs="Calibri"/>
                <w:b/>
                <w:bCs/>
                <w:sz w:val="26"/>
                <w:szCs w:val="26"/>
              </w:rPr>
              <w:t>Purpose</w:t>
            </w:r>
          </w:p>
          <w:p w14:paraId="70507045" w14:textId="77777777" w:rsidR="0013105B" w:rsidRPr="008E0B4D" w:rsidRDefault="0013105B" w:rsidP="008E0B4D">
            <w:pPr>
              <w:jc w:val="both"/>
              <w:rPr>
                <w:rFonts w:cs="Calibri"/>
              </w:rPr>
            </w:pPr>
            <w:r w:rsidRPr="008E0B4D">
              <w:rPr>
                <w:rFonts w:cs="Calibri"/>
              </w:rPr>
              <w:t>This contribution is submitted in response to the Council’s decision to establish a formal, collaborative, and transparent bidding process for hosting future ITU conferences. India welcomes this initiative and proposes specific criteria and procedural elements to support the development of this process by the CWG-FHR during its planned session in January 2026.</w:t>
            </w:r>
          </w:p>
          <w:p w14:paraId="5F9D7DC7" w14:textId="6DCD194C" w:rsidR="00AD3606" w:rsidRPr="008E0B4D" w:rsidRDefault="00AD3606" w:rsidP="00F16BAB">
            <w:pPr>
              <w:spacing w:before="160"/>
              <w:rPr>
                <w:rFonts w:cs="Calibri"/>
                <w:b/>
                <w:bCs/>
                <w:sz w:val="26"/>
                <w:szCs w:val="26"/>
              </w:rPr>
            </w:pPr>
            <w:r w:rsidRPr="008E0B4D">
              <w:rPr>
                <w:rFonts w:cs="Calibri"/>
                <w:b/>
                <w:bCs/>
                <w:sz w:val="26"/>
                <w:szCs w:val="26"/>
              </w:rPr>
              <w:t>Action required</w:t>
            </w:r>
          </w:p>
          <w:p w14:paraId="2F6AC9A9" w14:textId="024082CD" w:rsidR="0013105B" w:rsidRPr="008E0B4D" w:rsidRDefault="008E0B4D" w:rsidP="008E0B4D">
            <w:pPr>
              <w:pStyle w:val="NormalWeb"/>
              <w:spacing w:before="160" w:beforeAutospacing="0" w:after="0" w:afterAutospacing="0"/>
              <w:rPr>
                <w:rFonts w:ascii="Calibri" w:hAnsi="Calibri" w:cs="Calibri"/>
              </w:rPr>
            </w:pPr>
            <w:r w:rsidRPr="008E0B4D">
              <w:rPr>
                <w:rFonts w:ascii="Calibri" w:hAnsi="Calibri" w:cs="Calibri"/>
                <w:lang w:val="en-GB"/>
              </w:rPr>
              <w:t xml:space="preserve">The Council Working Group on financial and human resources </w:t>
            </w:r>
            <w:r w:rsidR="0013105B" w:rsidRPr="008E0B4D">
              <w:rPr>
                <w:rFonts w:ascii="Calibri" w:hAnsi="Calibri" w:cs="Calibri"/>
              </w:rPr>
              <w:t>is invited to:</w:t>
            </w:r>
          </w:p>
          <w:p w14:paraId="2EC733F5" w14:textId="549E5A53" w:rsidR="0013105B" w:rsidRPr="008E0B4D" w:rsidRDefault="008E0B4D" w:rsidP="008E0B4D">
            <w:pPr>
              <w:pStyle w:val="NormalWeb"/>
              <w:numPr>
                <w:ilvl w:val="0"/>
                <w:numId w:val="8"/>
              </w:numPr>
              <w:spacing w:before="120" w:beforeAutospacing="0" w:after="120" w:afterAutospacing="0"/>
              <w:rPr>
                <w:rFonts w:ascii="Calibri" w:hAnsi="Calibri" w:cs="Calibri"/>
              </w:rPr>
            </w:pPr>
            <w:r>
              <w:rPr>
                <w:rFonts w:ascii="Calibri" w:hAnsi="Calibri" w:cs="Calibri"/>
                <w:b/>
                <w:bCs/>
              </w:rPr>
              <w:t>c</w:t>
            </w:r>
            <w:r w:rsidR="0013105B" w:rsidRPr="008E0B4D">
              <w:rPr>
                <w:rFonts w:ascii="Calibri" w:hAnsi="Calibri" w:cs="Calibri"/>
                <w:b/>
                <w:bCs/>
              </w:rPr>
              <w:t>onsider</w:t>
            </w:r>
            <w:r w:rsidR="0013105B" w:rsidRPr="008E0B4D">
              <w:rPr>
                <w:rFonts w:ascii="Calibri" w:hAnsi="Calibri" w:cs="Calibri"/>
              </w:rPr>
              <w:t xml:space="preserve"> the benchmarks and process recommendations provided in this </w:t>
            </w:r>
            <w:proofErr w:type="gramStart"/>
            <w:r w:rsidR="0013105B" w:rsidRPr="008E0B4D">
              <w:rPr>
                <w:rFonts w:ascii="Calibri" w:hAnsi="Calibri" w:cs="Calibri"/>
              </w:rPr>
              <w:t>contribution</w:t>
            </w:r>
            <w:r>
              <w:rPr>
                <w:rFonts w:ascii="Calibri" w:hAnsi="Calibri" w:cs="Calibri"/>
              </w:rPr>
              <w:t>;</w:t>
            </w:r>
            <w:proofErr w:type="gramEnd"/>
          </w:p>
          <w:p w14:paraId="2B21167F" w14:textId="3A208A27" w:rsidR="0013105B" w:rsidRPr="008E0B4D" w:rsidRDefault="008E0B4D" w:rsidP="008E0B4D">
            <w:pPr>
              <w:pStyle w:val="NormalWeb"/>
              <w:numPr>
                <w:ilvl w:val="0"/>
                <w:numId w:val="8"/>
              </w:numPr>
              <w:spacing w:before="120" w:beforeAutospacing="0" w:after="120" w:afterAutospacing="0"/>
              <w:rPr>
                <w:rFonts w:ascii="Calibri" w:hAnsi="Calibri" w:cs="Calibri"/>
              </w:rPr>
            </w:pPr>
            <w:r>
              <w:rPr>
                <w:rFonts w:ascii="Calibri" w:hAnsi="Calibri" w:cs="Calibri"/>
                <w:b/>
                <w:bCs/>
              </w:rPr>
              <w:t>t</w:t>
            </w:r>
            <w:r w:rsidR="0013105B" w:rsidRPr="008E0B4D">
              <w:rPr>
                <w:rFonts w:ascii="Calibri" w:hAnsi="Calibri" w:cs="Calibri"/>
                <w:b/>
                <w:bCs/>
              </w:rPr>
              <w:t>ake them into account</w:t>
            </w:r>
            <w:r w:rsidR="0013105B" w:rsidRPr="008E0B4D">
              <w:rPr>
                <w:rFonts w:ascii="Calibri" w:hAnsi="Calibri" w:cs="Calibri"/>
              </w:rPr>
              <w:t xml:space="preserve"> when formulating a comprehensive bidding process for hosting ITU conferences.</w:t>
            </w:r>
          </w:p>
          <w:p w14:paraId="46700B46" w14:textId="7C143847" w:rsidR="00AD3606" w:rsidRPr="008E0B4D" w:rsidRDefault="00AD3606" w:rsidP="00F16BAB">
            <w:pPr>
              <w:spacing w:before="160"/>
              <w:rPr>
                <w:rFonts w:cs="Calibri"/>
                <w:b/>
                <w:bCs/>
                <w:sz w:val="26"/>
                <w:szCs w:val="26"/>
              </w:rPr>
            </w:pPr>
            <w:r w:rsidRPr="008E0B4D">
              <w:rPr>
                <w:rFonts w:cs="Calibri"/>
                <w:b/>
                <w:bCs/>
                <w:sz w:val="26"/>
                <w:szCs w:val="26"/>
              </w:rPr>
              <w:t>References</w:t>
            </w:r>
          </w:p>
          <w:p w14:paraId="536D45A2" w14:textId="03F63FFC" w:rsidR="001C5FDF" w:rsidRPr="008E0B4D" w:rsidRDefault="001C5FDF" w:rsidP="00E5556D">
            <w:pPr>
              <w:spacing w:after="160"/>
              <w:rPr>
                <w:rFonts w:cs="Calibri"/>
                <w:bCs/>
                <w:i/>
                <w:iCs/>
                <w:sz w:val="22"/>
                <w:szCs w:val="22"/>
                <w:lang w:val="fr-CH"/>
              </w:rPr>
            </w:pPr>
            <w:r w:rsidRPr="008E0B4D">
              <w:rPr>
                <w:rFonts w:cs="Calibri"/>
                <w:bCs/>
                <w:i/>
                <w:iCs/>
                <w:sz w:val="22"/>
                <w:szCs w:val="22"/>
                <w:lang w:val="fr-CH"/>
              </w:rPr>
              <w:t xml:space="preserve">Council Document </w:t>
            </w:r>
            <w:hyperlink r:id="rId11" w:history="1">
              <w:r w:rsidRPr="008E0B4D">
                <w:rPr>
                  <w:rStyle w:val="Hyperlink"/>
                  <w:rFonts w:cs="Calibri"/>
                  <w:bCs/>
                  <w:i/>
                  <w:iCs/>
                  <w:sz w:val="22"/>
                  <w:szCs w:val="22"/>
                  <w:lang w:val="fr-CH"/>
                </w:rPr>
                <w:t>C25/101</w:t>
              </w:r>
              <w:r w:rsidR="008E0B4D" w:rsidRPr="008E0B4D">
                <w:rPr>
                  <w:rStyle w:val="Hyperlink"/>
                  <w:rFonts w:cs="Calibri"/>
                  <w:bCs/>
                  <w:i/>
                  <w:iCs/>
                  <w:sz w:val="22"/>
                  <w:szCs w:val="22"/>
                  <w:lang w:val="fr-CH"/>
                </w:rPr>
                <w:t>(Rev.1)</w:t>
              </w:r>
            </w:hyperlink>
            <w:r w:rsidRPr="008E0B4D">
              <w:rPr>
                <w:rFonts w:cs="Calibri"/>
                <w:bCs/>
                <w:i/>
                <w:iCs/>
                <w:sz w:val="22"/>
                <w:szCs w:val="22"/>
                <w:lang w:val="fr-CH"/>
              </w:rPr>
              <w:t xml:space="preserve">, CWG-FHR Document </w:t>
            </w:r>
            <w:hyperlink r:id="rId12" w:history="1">
              <w:r w:rsidRPr="008E0B4D">
                <w:rPr>
                  <w:rStyle w:val="Hyperlink"/>
                  <w:rFonts w:cs="Calibri"/>
                  <w:bCs/>
                  <w:i/>
                  <w:iCs/>
                  <w:sz w:val="22"/>
                  <w:szCs w:val="22"/>
                  <w:lang w:val="fr-CH"/>
                </w:rPr>
                <w:t>CWG-FHR-21/7</w:t>
              </w:r>
            </w:hyperlink>
          </w:p>
        </w:tc>
      </w:tr>
    </w:tbl>
    <w:p w14:paraId="24C96653" w14:textId="77777777" w:rsidR="00E227F3" w:rsidRPr="008E0B4D" w:rsidRDefault="00E227F3">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lang w:val="fr-CH"/>
        </w:rPr>
      </w:pPr>
      <w:bookmarkStart w:id="11" w:name="_Hlk133421428"/>
      <w:bookmarkEnd w:id="2"/>
      <w:bookmarkEnd w:id="9"/>
    </w:p>
    <w:bookmarkEnd w:id="3"/>
    <w:bookmarkEnd w:id="4"/>
    <w:p w14:paraId="0BEFBF88" w14:textId="33571E3B" w:rsidR="00101C44" w:rsidRPr="008E0B4D" w:rsidRDefault="0090147A" w:rsidP="008E0B4D">
      <w:pPr>
        <w:pStyle w:val="ListParagraph"/>
        <w:numPr>
          <w:ilvl w:val="0"/>
          <w:numId w:val="6"/>
        </w:numPr>
        <w:tabs>
          <w:tab w:val="clear" w:pos="567"/>
          <w:tab w:val="clear" w:pos="1134"/>
          <w:tab w:val="clear" w:pos="1701"/>
          <w:tab w:val="clear" w:pos="2268"/>
          <w:tab w:val="clear" w:pos="2835"/>
        </w:tabs>
        <w:overflowPunct/>
        <w:autoSpaceDE/>
        <w:autoSpaceDN/>
        <w:adjustRightInd/>
        <w:spacing w:after="120"/>
        <w:ind w:left="0" w:firstLine="0"/>
        <w:contextualSpacing w:val="0"/>
        <w:textAlignment w:val="auto"/>
        <w:rPr>
          <w:rFonts w:asciiTheme="minorHAnsi" w:hAnsiTheme="minorHAnsi" w:cstheme="minorHAnsi"/>
          <w:b/>
          <w:bCs/>
        </w:rPr>
      </w:pPr>
      <w:r w:rsidRPr="008E0B4D">
        <w:rPr>
          <w:rFonts w:asciiTheme="minorHAnsi" w:hAnsiTheme="minorHAnsi" w:cstheme="minorHAnsi"/>
          <w:lang w:val="fr-CH"/>
        </w:rPr>
        <w:br w:type="page"/>
      </w:r>
      <w:bookmarkEnd w:id="5"/>
      <w:bookmarkEnd w:id="11"/>
      <w:r w:rsidR="001C1F3D" w:rsidRPr="008E0B4D">
        <w:rPr>
          <w:rFonts w:asciiTheme="minorHAnsi" w:hAnsiTheme="minorHAnsi" w:cstheme="minorHAnsi"/>
          <w:b/>
          <w:bCs/>
        </w:rPr>
        <w:lastRenderedPageBreak/>
        <w:t>Background</w:t>
      </w:r>
    </w:p>
    <w:p w14:paraId="5B5AB2DC" w14:textId="22DBCFE5" w:rsidR="0013105B" w:rsidRPr="008E0B4D" w:rsidRDefault="0013105B" w:rsidP="008E0B4D">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8E0B4D">
        <w:rPr>
          <w:rFonts w:asciiTheme="minorHAnsi" w:hAnsiTheme="minorHAnsi" w:cstheme="minorHAnsi"/>
        </w:rPr>
        <w:t xml:space="preserve">At recent Council sessions, the importance of developing a transparent and systematic approach for selecting host countries for ITU conferences was emphasized, particularly </w:t>
      </w:r>
      <w:proofErr w:type="gramStart"/>
      <w:r w:rsidRPr="008E0B4D">
        <w:rPr>
          <w:rFonts w:asciiTheme="minorHAnsi" w:hAnsiTheme="minorHAnsi" w:cstheme="minorHAnsi"/>
        </w:rPr>
        <w:t>in light of</w:t>
      </w:r>
      <w:proofErr w:type="gramEnd"/>
      <w:r w:rsidRPr="008E0B4D">
        <w:rPr>
          <w:rFonts w:asciiTheme="minorHAnsi" w:hAnsiTheme="minorHAnsi" w:cstheme="minorHAnsi"/>
        </w:rPr>
        <w:t xml:space="preserve"> multiple expressions of interest for major conferences. Hosting high-level events requires significant logistical, financial, and operational commitment. A </w:t>
      </w:r>
      <w:proofErr w:type="spellStart"/>
      <w:r w:rsidRPr="008E0B4D">
        <w:rPr>
          <w:rFonts w:asciiTheme="minorHAnsi" w:hAnsiTheme="minorHAnsi" w:cstheme="minorHAnsi"/>
        </w:rPr>
        <w:t>well defined</w:t>
      </w:r>
      <w:proofErr w:type="spellEnd"/>
      <w:r w:rsidRPr="008E0B4D">
        <w:rPr>
          <w:rFonts w:asciiTheme="minorHAnsi" w:hAnsiTheme="minorHAnsi" w:cstheme="minorHAnsi"/>
        </w:rPr>
        <w:t xml:space="preserve"> and early selection process will enable host countries to make necessary arrangements well in advance, ensuring the success of the event and satisfaction of all participants.</w:t>
      </w:r>
    </w:p>
    <w:p w14:paraId="04E0243A" w14:textId="0F108306" w:rsidR="0087734B" w:rsidRPr="008E0B4D" w:rsidRDefault="0013105B" w:rsidP="00FB3361">
      <w:pPr>
        <w:pStyle w:val="ListParagraph"/>
        <w:numPr>
          <w:ilvl w:val="0"/>
          <w:numId w:val="6"/>
        </w:numPr>
        <w:tabs>
          <w:tab w:val="clear" w:pos="567"/>
          <w:tab w:val="clear" w:pos="1134"/>
          <w:tab w:val="clear" w:pos="1701"/>
          <w:tab w:val="clear" w:pos="2268"/>
          <w:tab w:val="clear" w:pos="2835"/>
        </w:tabs>
        <w:overflowPunct/>
        <w:autoSpaceDE/>
        <w:autoSpaceDN/>
        <w:adjustRightInd/>
        <w:spacing w:before="360" w:after="120"/>
        <w:ind w:left="0" w:firstLine="0"/>
        <w:contextualSpacing w:val="0"/>
        <w:textAlignment w:val="auto"/>
        <w:rPr>
          <w:rFonts w:asciiTheme="minorHAnsi" w:hAnsiTheme="minorHAnsi" w:cstheme="minorHAnsi"/>
          <w:b/>
        </w:rPr>
      </w:pPr>
      <w:r w:rsidRPr="008E0B4D">
        <w:rPr>
          <w:rFonts w:asciiTheme="minorHAnsi" w:hAnsiTheme="minorHAnsi" w:cstheme="minorHAnsi"/>
          <w:b/>
        </w:rPr>
        <w:t>India’s proposal</w:t>
      </w:r>
    </w:p>
    <w:p w14:paraId="459571F6" w14:textId="51CAC0A2" w:rsidR="00744EFB" w:rsidRPr="008E0B4D" w:rsidRDefault="0013105B" w:rsidP="008E0B4D">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rPr>
      </w:pPr>
      <w:r w:rsidRPr="008E0B4D">
        <w:rPr>
          <w:rFonts w:asciiTheme="minorHAnsi" w:hAnsiTheme="minorHAnsi" w:cstheme="minorHAnsi"/>
        </w:rPr>
        <w:t>India proposes the following key elements for inclusion in the formal bidding process:</w:t>
      </w:r>
    </w:p>
    <w:p w14:paraId="0DFA5D41" w14:textId="1BB19880" w:rsidR="00744EFB" w:rsidRPr="008E0B4D" w:rsidRDefault="0013105B" w:rsidP="00FB3361">
      <w:pPr>
        <w:pStyle w:val="ListParagraph"/>
        <w:numPr>
          <w:ilvl w:val="1"/>
          <w:numId w:val="6"/>
        </w:numPr>
        <w:tabs>
          <w:tab w:val="clear" w:pos="567"/>
          <w:tab w:val="clear" w:pos="1134"/>
          <w:tab w:val="clear" w:pos="1701"/>
          <w:tab w:val="clear" w:pos="2268"/>
          <w:tab w:val="clear" w:pos="2835"/>
        </w:tabs>
        <w:overflowPunct/>
        <w:autoSpaceDE/>
        <w:autoSpaceDN/>
        <w:adjustRightInd/>
        <w:spacing w:before="240" w:after="160"/>
        <w:ind w:left="0" w:firstLine="0"/>
        <w:contextualSpacing w:val="0"/>
        <w:textAlignment w:val="auto"/>
        <w:rPr>
          <w:rFonts w:asciiTheme="minorHAnsi" w:hAnsiTheme="minorHAnsi" w:cstheme="minorHAnsi"/>
          <w:b/>
        </w:rPr>
      </w:pPr>
      <w:r w:rsidRPr="008E0B4D">
        <w:rPr>
          <w:rFonts w:asciiTheme="minorHAnsi" w:hAnsiTheme="minorHAnsi" w:cstheme="minorHAnsi"/>
          <w:b/>
        </w:rPr>
        <w:t>Benchmarks for Evaluating Candidatures</w:t>
      </w:r>
    </w:p>
    <w:tbl>
      <w:tblPr>
        <w:tblStyle w:val="TableGrid"/>
        <w:tblW w:w="0" w:type="auto"/>
        <w:tblInd w:w="562" w:type="dxa"/>
        <w:tblLayout w:type="fixed"/>
        <w:tblLook w:val="04A0" w:firstRow="1" w:lastRow="0" w:firstColumn="1" w:lastColumn="0" w:noHBand="0" w:noVBand="1"/>
      </w:tblPr>
      <w:tblGrid>
        <w:gridCol w:w="3119"/>
        <w:gridCol w:w="5335"/>
      </w:tblGrid>
      <w:tr w:rsidR="00B0270A" w:rsidRPr="008E0B4D" w14:paraId="32A822EA" w14:textId="77777777" w:rsidTr="00744EFB">
        <w:tc>
          <w:tcPr>
            <w:tcW w:w="3119" w:type="dxa"/>
            <w:hideMark/>
          </w:tcPr>
          <w:p w14:paraId="022D0336"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40" w:after="40"/>
              <w:jc w:val="center"/>
              <w:textAlignment w:val="auto"/>
              <w:rPr>
                <w:rFonts w:asciiTheme="minorHAnsi" w:hAnsiTheme="minorHAnsi" w:cstheme="minorHAnsi"/>
                <w:bCs/>
                <w:szCs w:val="24"/>
                <w:lang w:val="en-IN" w:eastAsia="en-IN"/>
              </w:rPr>
            </w:pPr>
            <w:r w:rsidRPr="008E0B4D">
              <w:rPr>
                <w:rFonts w:asciiTheme="minorHAnsi" w:hAnsiTheme="minorHAnsi" w:cstheme="minorHAnsi"/>
                <w:bCs/>
                <w:szCs w:val="24"/>
                <w:lang w:val="en-IN" w:eastAsia="en-IN"/>
              </w:rPr>
              <w:t>Criteria</w:t>
            </w:r>
          </w:p>
        </w:tc>
        <w:tc>
          <w:tcPr>
            <w:tcW w:w="5335" w:type="dxa"/>
            <w:hideMark/>
          </w:tcPr>
          <w:p w14:paraId="13E0D06A"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40" w:after="40"/>
              <w:jc w:val="center"/>
              <w:textAlignment w:val="auto"/>
              <w:rPr>
                <w:rFonts w:asciiTheme="minorHAnsi" w:hAnsiTheme="minorHAnsi" w:cstheme="minorHAnsi"/>
                <w:bCs/>
                <w:szCs w:val="24"/>
                <w:lang w:val="en-IN" w:eastAsia="en-IN"/>
              </w:rPr>
            </w:pPr>
            <w:r w:rsidRPr="008E0B4D">
              <w:rPr>
                <w:rFonts w:asciiTheme="minorHAnsi" w:hAnsiTheme="minorHAnsi" w:cstheme="minorHAnsi"/>
                <w:bCs/>
                <w:szCs w:val="24"/>
                <w:lang w:val="en-IN" w:eastAsia="en-IN"/>
              </w:rPr>
              <w:t>Description</w:t>
            </w:r>
          </w:p>
        </w:tc>
      </w:tr>
      <w:tr w:rsidR="00B0270A" w:rsidRPr="008E0B4D" w14:paraId="070EFDB9" w14:textId="77777777" w:rsidTr="00744EFB">
        <w:tc>
          <w:tcPr>
            <w:tcW w:w="3119" w:type="dxa"/>
            <w:hideMark/>
          </w:tcPr>
          <w:p w14:paraId="77504285"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Venue Infrastructure</w:t>
            </w:r>
          </w:p>
        </w:tc>
        <w:tc>
          <w:tcPr>
            <w:tcW w:w="5335" w:type="dxa"/>
            <w:hideMark/>
          </w:tcPr>
          <w:p w14:paraId="5D14EE83"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 xml:space="preserve">Adequacy and flexibility of conference </w:t>
            </w:r>
            <w:proofErr w:type="spellStart"/>
            <w:r w:rsidRPr="008E0B4D">
              <w:rPr>
                <w:rFonts w:asciiTheme="minorHAnsi" w:hAnsiTheme="minorHAnsi" w:cstheme="minorHAnsi"/>
                <w:szCs w:val="24"/>
                <w:lang w:val="en-IN" w:eastAsia="en-IN"/>
              </w:rPr>
              <w:t>center</w:t>
            </w:r>
            <w:proofErr w:type="spellEnd"/>
            <w:r w:rsidRPr="008E0B4D">
              <w:rPr>
                <w:rFonts w:asciiTheme="minorHAnsi" w:hAnsiTheme="minorHAnsi" w:cstheme="minorHAnsi"/>
                <w:szCs w:val="24"/>
                <w:lang w:val="en-IN" w:eastAsia="en-IN"/>
              </w:rPr>
              <w:t>, number of meeting rooms, and office facilities</w:t>
            </w:r>
          </w:p>
        </w:tc>
      </w:tr>
      <w:tr w:rsidR="00B0270A" w:rsidRPr="008E0B4D" w14:paraId="68A34400" w14:textId="77777777" w:rsidTr="00744EFB">
        <w:tc>
          <w:tcPr>
            <w:tcW w:w="3119" w:type="dxa"/>
            <w:hideMark/>
          </w:tcPr>
          <w:p w14:paraId="6528456C"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Accommodation Capacity</w:t>
            </w:r>
          </w:p>
        </w:tc>
        <w:tc>
          <w:tcPr>
            <w:tcW w:w="5335" w:type="dxa"/>
            <w:hideMark/>
          </w:tcPr>
          <w:p w14:paraId="54FC284F" w14:textId="24BCE2A0"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Availability and proximity of hotels</w:t>
            </w:r>
          </w:p>
        </w:tc>
      </w:tr>
      <w:tr w:rsidR="00B0270A" w:rsidRPr="008E0B4D" w14:paraId="6FE31551" w14:textId="77777777" w:rsidTr="00744EFB">
        <w:tc>
          <w:tcPr>
            <w:tcW w:w="3119" w:type="dxa"/>
            <w:hideMark/>
          </w:tcPr>
          <w:p w14:paraId="5A74A404" w14:textId="15247A60" w:rsidR="00744EFB" w:rsidRPr="008E0B4D" w:rsidRDefault="009E045E"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Connectivity</w:t>
            </w:r>
          </w:p>
        </w:tc>
        <w:tc>
          <w:tcPr>
            <w:tcW w:w="5335" w:type="dxa"/>
            <w:hideMark/>
          </w:tcPr>
          <w:p w14:paraId="47C51C7F"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International flight connectivity and efficient local transport systems</w:t>
            </w:r>
          </w:p>
        </w:tc>
      </w:tr>
      <w:tr w:rsidR="00B0270A" w:rsidRPr="008E0B4D" w14:paraId="68CC856D" w14:textId="77777777" w:rsidTr="00744EFB">
        <w:tc>
          <w:tcPr>
            <w:tcW w:w="3119" w:type="dxa"/>
            <w:hideMark/>
          </w:tcPr>
          <w:p w14:paraId="75B5B4D1"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Internet and ICT Readiness</w:t>
            </w:r>
          </w:p>
        </w:tc>
        <w:tc>
          <w:tcPr>
            <w:tcW w:w="5335" w:type="dxa"/>
            <w:hideMark/>
          </w:tcPr>
          <w:p w14:paraId="56E6A172"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Secure, high-speed internet across venue and official hotels</w:t>
            </w:r>
          </w:p>
        </w:tc>
      </w:tr>
      <w:tr w:rsidR="00B0270A" w:rsidRPr="008E0B4D" w14:paraId="307A6500" w14:textId="77777777" w:rsidTr="00744EFB">
        <w:tc>
          <w:tcPr>
            <w:tcW w:w="3119" w:type="dxa"/>
            <w:hideMark/>
          </w:tcPr>
          <w:p w14:paraId="09279FD6"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Security and Safety</w:t>
            </w:r>
          </w:p>
        </w:tc>
        <w:tc>
          <w:tcPr>
            <w:tcW w:w="5335" w:type="dxa"/>
            <w:hideMark/>
          </w:tcPr>
          <w:p w14:paraId="502B842C" w14:textId="271DFA7C"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 xml:space="preserve">Host </w:t>
            </w:r>
            <w:r w:rsidR="0082055F" w:rsidRPr="008E0B4D">
              <w:rPr>
                <w:rFonts w:asciiTheme="minorHAnsi" w:hAnsiTheme="minorHAnsi" w:cstheme="minorHAnsi"/>
                <w:szCs w:val="24"/>
                <w:lang w:val="en-IN" w:eastAsia="en-IN"/>
              </w:rPr>
              <w:t>Country’s</w:t>
            </w:r>
            <w:r w:rsidRPr="008E0B4D">
              <w:rPr>
                <w:rFonts w:asciiTheme="minorHAnsi" w:hAnsiTheme="minorHAnsi" w:cstheme="minorHAnsi"/>
                <w:szCs w:val="24"/>
                <w:lang w:val="en-IN" w:eastAsia="en-IN"/>
              </w:rPr>
              <w:t xml:space="preserve"> record and readiness for large international events</w:t>
            </w:r>
          </w:p>
        </w:tc>
      </w:tr>
      <w:tr w:rsidR="00B0270A" w:rsidRPr="008E0B4D" w14:paraId="14BF9E7E" w14:textId="77777777" w:rsidTr="00744EFB">
        <w:tc>
          <w:tcPr>
            <w:tcW w:w="3119" w:type="dxa"/>
            <w:hideMark/>
          </w:tcPr>
          <w:p w14:paraId="628182BF"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Medical Facilities</w:t>
            </w:r>
          </w:p>
        </w:tc>
        <w:tc>
          <w:tcPr>
            <w:tcW w:w="5335" w:type="dxa"/>
            <w:hideMark/>
          </w:tcPr>
          <w:p w14:paraId="1D81B9BF"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Access to emergency and high-quality healthcare services</w:t>
            </w:r>
          </w:p>
        </w:tc>
      </w:tr>
      <w:tr w:rsidR="00B0270A" w:rsidRPr="008E0B4D" w14:paraId="35368B7A" w14:textId="77777777" w:rsidTr="00744EFB">
        <w:tc>
          <w:tcPr>
            <w:tcW w:w="3119" w:type="dxa"/>
            <w:hideMark/>
          </w:tcPr>
          <w:p w14:paraId="143A3690"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bCs/>
                <w:szCs w:val="24"/>
                <w:lang w:val="en-IN" w:eastAsia="en-IN"/>
              </w:rPr>
              <w:t>Compliance with ITU Regulations</w:t>
            </w:r>
          </w:p>
        </w:tc>
        <w:tc>
          <w:tcPr>
            <w:tcW w:w="5335" w:type="dxa"/>
            <w:hideMark/>
          </w:tcPr>
          <w:p w14:paraId="184BF65A" w14:textId="77777777" w:rsidR="00744EFB" w:rsidRPr="008E0B4D" w:rsidRDefault="00744EFB" w:rsidP="00FB3361">
            <w:pPr>
              <w:tabs>
                <w:tab w:val="clear" w:pos="567"/>
                <w:tab w:val="clear" w:pos="1134"/>
                <w:tab w:val="clear" w:pos="1701"/>
                <w:tab w:val="clear" w:pos="2268"/>
                <w:tab w:val="clear" w:pos="2835"/>
              </w:tabs>
              <w:overflowPunct/>
              <w:autoSpaceDE/>
              <w:autoSpaceDN/>
              <w:adjustRightInd/>
              <w:spacing w:before="20" w:after="20"/>
              <w:textAlignment w:val="auto"/>
              <w:rPr>
                <w:rFonts w:asciiTheme="minorHAnsi" w:hAnsiTheme="minorHAnsi" w:cstheme="minorHAnsi"/>
                <w:szCs w:val="24"/>
                <w:lang w:val="en-IN" w:eastAsia="en-IN"/>
              </w:rPr>
            </w:pPr>
            <w:r w:rsidRPr="008E0B4D">
              <w:rPr>
                <w:rFonts w:asciiTheme="minorHAnsi" w:hAnsiTheme="minorHAnsi" w:cstheme="minorHAnsi"/>
                <w:szCs w:val="24"/>
                <w:lang w:val="en-IN" w:eastAsia="en-IN"/>
              </w:rPr>
              <w:t>Adherence to ITU travel policies and the 1947 Convention on Privileges and Immunities</w:t>
            </w:r>
          </w:p>
        </w:tc>
      </w:tr>
    </w:tbl>
    <w:p w14:paraId="75F8AF79" w14:textId="5574558C" w:rsidR="0013105B" w:rsidRPr="008E0B4D" w:rsidRDefault="0013105B" w:rsidP="00FB3361">
      <w:pPr>
        <w:pStyle w:val="Heading4"/>
        <w:keepNext w:val="0"/>
        <w:keepLines w:val="0"/>
        <w:tabs>
          <w:tab w:val="clear" w:pos="567"/>
          <w:tab w:val="clear" w:pos="1134"/>
          <w:tab w:val="clear" w:pos="1701"/>
          <w:tab w:val="clear" w:pos="2268"/>
          <w:tab w:val="clear" w:pos="2835"/>
        </w:tabs>
        <w:spacing w:before="360" w:after="120"/>
        <w:ind w:left="0" w:firstLine="0"/>
        <w:rPr>
          <w:rFonts w:asciiTheme="minorHAnsi" w:hAnsiTheme="minorHAnsi" w:cstheme="minorHAnsi"/>
          <w:b w:val="0"/>
          <w:lang w:val="en-IN" w:eastAsia="en-IN"/>
        </w:rPr>
      </w:pPr>
      <w:r w:rsidRPr="008E0B4D">
        <w:rPr>
          <w:rStyle w:val="Strong"/>
          <w:rFonts w:asciiTheme="minorHAnsi" w:hAnsiTheme="minorHAnsi" w:cstheme="minorHAnsi"/>
          <w:b/>
          <w:bCs w:val="0"/>
        </w:rPr>
        <w:t>2</w:t>
      </w:r>
      <w:r w:rsidR="0087734B" w:rsidRPr="008E0B4D">
        <w:rPr>
          <w:rStyle w:val="Strong"/>
          <w:rFonts w:asciiTheme="minorHAnsi" w:hAnsiTheme="minorHAnsi" w:cstheme="minorHAnsi"/>
          <w:b/>
          <w:bCs w:val="0"/>
        </w:rPr>
        <w:t>.2</w:t>
      </w:r>
      <w:r w:rsidR="008E0B4D">
        <w:rPr>
          <w:rStyle w:val="Strong"/>
          <w:rFonts w:asciiTheme="minorHAnsi" w:hAnsiTheme="minorHAnsi" w:cstheme="minorHAnsi"/>
          <w:b/>
          <w:bCs w:val="0"/>
        </w:rPr>
        <w:tab/>
      </w:r>
      <w:r w:rsidR="0087734B" w:rsidRPr="008E0B4D">
        <w:rPr>
          <w:rStyle w:val="Strong"/>
          <w:rFonts w:asciiTheme="minorHAnsi" w:hAnsiTheme="minorHAnsi" w:cstheme="minorHAnsi"/>
          <w:b/>
          <w:bCs w:val="0"/>
        </w:rPr>
        <w:t>Timeframe for s</w:t>
      </w:r>
      <w:r w:rsidRPr="008E0B4D">
        <w:rPr>
          <w:rStyle w:val="Strong"/>
          <w:rFonts w:asciiTheme="minorHAnsi" w:hAnsiTheme="minorHAnsi" w:cstheme="minorHAnsi"/>
          <w:b/>
          <w:bCs w:val="0"/>
        </w:rPr>
        <w:t>election</w:t>
      </w:r>
    </w:p>
    <w:p w14:paraId="60709E14" w14:textId="643DCACB" w:rsidR="0013105B" w:rsidRPr="008E0B4D" w:rsidRDefault="0013105B" w:rsidP="008E0B4D">
      <w:pPr>
        <w:pStyle w:val="NormalWeb"/>
        <w:numPr>
          <w:ilvl w:val="0"/>
          <w:numId w:val="9"/>
        </w:numPr>
        <w:tabs>
          <w:tab w:val="clear" w:pos="720"/>
        </w:tabs>
        <w:spacing w:before="120" w:beforeAutospacing="0" w:after="120" w:afterAutospacing="0"/>
        <w:ind w:left="709" w:hanging="425"/>
        <w:jc w:val="both"/>
        <w:rPr>
          <w:rFonts w:asciiTheme="minorHAnsi" w:hAnsiTheme="minorHAnsi" w:cstheme="minorHAnsi"/>
        </w:rPr>
      </w:pPr>
      <w:r w:rsidRPr="008E0B4D">
        <w:rPr>
          <w:rFonts w:asciiTheme="minorHAnsi" w:hAnsiTheme="minorHAnsi" w:cstheme="minorHAnsi"/>
        </w:rPr>
        <w:t>The host country for major ITU conferences (e.g., Plenipotentiary, WRC, WTDC</w:t>
      </w:r>
      <w:r w:rsidR="0082055F" w:rsidRPr="008E0B4D">
        <w:rPr>
          <w:rFonts w:asciiTheme="minorHAnsi" w:hAnsiTheme="minorHAnsi" w:cstheme="minorHAnsi"/>
        </w:rPr>
        <w:t xml:space="preserve"> and WTSA</w:t>
      </w:r>
      <w:r w:rsidRPr="008E0B4D">
        <w:rPr>
          <w:rFonts w:asciiTheme="minorHAnsi" w:hAnsiTheme="minorHAnsi" w:cstheme="minorHAnsi"/>
        </w:rPr>
        <w:t xml:space="preserve">) should be </w:t>
      </w:r>
      <w:r w:rsidR="0082055F" w:rsidRPr="008E0B4D">
        <w:rPr>
          <w:rFonts w:asciiTheme="minorHAnsi" w:hAnsiTheme="minorHAnsi" w:cstheme="minorHAnsi"/>
        </w:rPr>
        <w:t>ideally decided</w:t>
      </w:r>
      <w:r w:rsidR="0082055F" w:rsidRPr="008E0B4D">
        <w:rPr>
          <w:rStyle w:val="Strong"/>
          <w:rFonts w:asciiTheme="minorHAnsi" w:hAnsiTheme="minorHAnsi" w:cstheme="minorHAnsi"/>
          <w:b w:val="0"/>
        </w:rPr>
        <w:t xml:space="preserve"> (5</w:t>
      </w:r>
      <w:r w:rsidRPr="008E0B4D">
        <w:rPr>
          <w:rStyle w:val="Strong"/>
          <w:rFonts w:asciiTheme="minorHAnsi" w:hAnsiTheme="minorHAnsi" w:cstheme="minorHAnsi"/>
          <w:b w:val="0"/>
        </w:rPr>
        <w:t>) years in advance</w:t>
      </w:r>
      <w:r w:rsidRPr="008E0B4D">
        <w:rPr>
          <w:rFonts w:asciiTheme="minorHAnsi" w:hAnsiTheme="minorHAnsi" w:cstheme="minorHAnsi"/>
        </w:rPr>
        <w:t>.</w:t>
      </w:r>
    </w:p>
    <w:p w14:paraId="5B6D5F79" w14:textId="2032789E" w:rsidR="0013105B" w:rsidRPr="008E0B4D" w:rsidRDefault="0013105B" w:rsidP="008E0B4D">
      <w:pPr>
        <w:pStyle w:val="NormalWeb"/>
        <w:numPr>
          <w:ilvl w:val="0"/>
          <w:numId w:val="9"/>
        </w:numPr>
        <w:tabs>
          <w:tab w:val="clear" w:pos="720"/>
        </w:tabs>
        <w:spacing w:before="120" w:beforeAutospacing="0" w:after="120" w:afterAutospacing="0"/>
        <w:ind w:left="709" w:hanging="425"/>
        <w:jc w:val="both"/>
        <w:rPr>
          <w:rFonts w:asciiTheme="minorHAnsi" w:hAnsiTheme="minorHAnsi" w:cstheme="minorHAnsi"/>
        </w:rPr>
      </w:pPr>
      <w:r w:rsidRPr="008E0B4D">
        <w:rPr>
          <w:rFonts w:asciiTheme="minorHAnsi" w:hAnsiTheme="minorHAnsi" w:cstheme="minorHAnsi"/>
        </w:rPr>
        <w:t xml:space="preserve">This will </w:t>
      </w:r>
      <w:r w:rsidR="00570B17" w:rsidRPr="008E0B4D">
        <w:rPr>
          <w:rFonts w:asciiTheme="minorHAnsi" w:hAnsiTheme="minorHAnsi" w:cstheme="minorHAnsi"/>
        </w:rPr>
        <w:t>provide</w:t>
      </w:r>
      <w:r w:rsidRPr="008E0B4D">
        <w:rPr>
          <w:rFonts w:asciiTheme="minorHAnsi" w:hAnsiTheme="minorHAnsi" w:cstheme="minorHAnsi"/>
        </w:rPr>
        <w:t xml:space="preserve"> for sufficient preparation time, including infrastructure development, coordination with the ITU Secretariat, and engagement with local and international stakeholders.</w:t>
      </w:r>
    </w:p>
    <w:p w14:paraId="0DF4889D" w14:textId="712C36AE" w:rsidR="0013105B" w:rsidRPr="008E0B4D" w:rsidRDefault="0013105B" w:rsidP="00FB3361">
      <w:pPr>
        <w:pStyle w:val="Heading4"/>
        <w:keepNext w:val="0"/>
        <w:keepLines w:val="0"/>
        <w:numPr>
          <w:ilvl w:val="1"/>
          <w:numId w:val="12"/>
        </w:numPr>
        <w:tabs>
          <w:tab w:val="clear" w:pos="567"/>
          <w:tab w:val="clear" w:pos="1134"/>
          <w:tab w:val="clear" w:pos="1701"/>
          <w:tab w:val="clear" w:pos="2268"/>
          <w:tab w:val="clear" w:pos="2835"/>
        </w:tabs>
        <w:spacing w:before="240" w:after="120"/>
        <w:ind w:left="0" w:firstLine="0"/>
        <w:jc w:val="both"/>
        <w:rPr>
          <w:rStyle w:val="Strong"/>
          <w:rFonts w:asciiTheme="minorHAnsi" w:hAnsiTheme="minorHAnsi" w:cstheme="minorHAnsi"/>
          <w:b/>
          <w:bCs w:val="0"/>
        </w:rPr>
      </w:pPr>
      <w:r w:rsidRPr="008E0B4D">
        <w:rPr>
          <w:rStyle w:val="Strong"/>
          <w:rFonts w:asciiTheme="minorHAnsi" w:hAnsiTheme="minorHAnsi" w:cstheme="minorHAnsi"/>
          <w:b/>
          <w:bCs w:val="0"/>
        </w:rPr>
        <w:t>Selection Principles</w:t>
      </w:r>
    </w:p>
    <w:p w14:paraId="53787FCD" w14:textId="3FC6D655" w:rsidR="00570B17" w:rsidRPr="008E0B4D" w:rsidRDefault="0013105B" w:rsidP="008E0B4D">
      <w:pPr>
        <w:pStyle w:val="NormalWeb"/>
        <w:numPr>
          <w:ilvl w:val="0"/>
          <w:numId w:val="10"/>
        </w:numPr>
        <w:tabs>
          <w:tab w:val="clear" w:pos="720"/>
        </w:tabs>
        <w:spacing w:before="120" w:beforeAutospacing="0" w:after="120" w:afterAutospacing="0"/>
        <w:ind w:left="709" w:hanging="425"/>
        <w:jc w:val="both"/>
        <w:rPr>
          <w:rFonts w:asciiTheme="minorHAnsi" w:hAnsiTheme="minorHAnsi" w:cstheme="minorHAnsi"/>
        </w:rPr>
      </w:pPr>
      <w:r w:rsidRPr="008E0B4D">
        <w:rPr>
          <w:rStyle w:val="Strong"/>
          <w:rFonts w:asciiTheme="minorHAnsi" w:hAnsiTheme="minorHAnsi" w:cstheme="minorHAnsi"/>
          <w:b w:val="0"/>
        </w:rPr>
        <w:t>Eligibility</w:t>
      </w:r>
      <w:r w:rsidRPr="008E0B4D">
        <w:rPr>
          <w:rFonts w:asciiTheme="minorHAnsi" w:hAnsiTheme="minorHAnsi" w:cstheme="minorHAnsi"/>
        </w:rPr>
        <w:t>: Candidatures must meet or exceed all benchmark criteria outlined above.</w:t>
      </w:r>
    </w:p>
    <w:p w14:paraId="19863D9E" w14:textId="507633D5" w:rsidR="00744EFB" w:rsidRPr="008E0B4D" w:rsidRDefault="0013105B" w:rsidP="008E0B4D">
      <w:pPr>
        <w:pStyle w:val="NormalWeb"/>
        <w:numPr>
          <w:ilvl w:val="0"/>
          <w:numId w:val="10"/>
        </w:numPr>
        <w:tabs>
          <w:tab w:val="clear" w:pos="720"/>
        </w:tabs>
        <w:spacing w:before="120" w:beforeAutospacing="0" w:after="120" w:afterAutospacing="0"/>
        <w:ind w:left="709" w:hanging="425"/>
        <w:jc w:val="both"/>
        <w:rPr>
          <w:rFonts w:asciiTheme="minorHAnsi" w:hAnsiTheme="minorHAnsi" w:cstheme="minorHAnsi"/>
        </w:rPr>
      </w:pPr>
      <w:r w:rsidRPr="008E0B4D">
        <w:rPr>
          <w:rStyle w:val="Strong"/>
          <w:rFonts w:asciiTheme="minorHAnsi" w:hAnsiTheme="minorHAnsi" w:cstheme="minorHAnsi"/>
          <w:b w:val="0"/>
        </w:rPr>
        <w:t>Selection</w:t>
      </w:r>
      <w:r w:rsidR="00744EFB" w:rsidRPr="008E0B4D">
        <w:rPr>
          <w:rStyle w:val="Strong"/>
          <w:rFonts w:asciiTheme="minorHAnsi" w:hAnsiTheme="minorHAnsi" w:cstheme="minorHAnsi"/>
          <w:b w:val="0"/>
        </w:rPr>
        <w:t xml:space="preserve"> approach</w:t>
      </w:r>
      <w:r w:rsidRPr="008E0B4D">
        <w:rPr>
          <w:rFonts w:asciiTheme="minorHAnsi" w:hAnsiTheme="minorHAnsi" w:cstheme="minorHAnsi"/>
        </w:rPr>
        <w:t>:</w:t>
      </w:r>
      <w:r w:rsidR="00744EFB" w:rsidRPr="008E0B4D">
        <w:rPr>
          <w:rFonts w:asciiTheme="minorHAnsi" w:hAnsiTheme="minorHAnsi" w:cstheme="minorHAnsi"/>
        </w:rPr>
        <w:t xml:space="preserve"> </w:t>
      </w:r>
    </w:p>
    <w:p w14:paraId="44DDFAB9" w14:textId="0F800624" w:rsidR="0082055F" w:rsidRPr="008E0B4D" w:rsidRDefault="0082055F" w:rsidP="008E0B4D">
      <w:pPr>
        <w:pStyle w:val="NormalWeb"/>
        <w:numPr>
          <w:ilvl w:val="0"/>
          <w:numId w:val="16"/>
        </w:numPr>
        <w:spacing w:before="120" w:beforeAutospacing="0" w:after="120" w:afterAutospacing="0"/>
        <w:ind w:left="1134" w:hanging="425"/>
        <w:jc w:val="both"/>
        <w:rPr>
          <w:rFonts w:asciiTheme="minorHAnsi" w:hAnsiTheme="minorHAnsi" w:cstheme="minorHAnsi"/>
        </w:rPr>
      </w:pPr>
      <w:r w:rsidRPr="008E0B4D">
        <w:rPr>
          <w:rFonts w:asciiTheme="minorHAnsi" w:hAnsiTheme="minorHAnsi" w:cstheme="minorHAnsi"/>
        </w:rPr>
        <w:t>The list of candidate countries, who applied before the Council Meeting scheduled at least 5 years before the proposed event, should be prepared by ITU and presented to the Council.</w:t>
      </w:r>
    </w:p>
    <w:p w14:paraId="3D784521" w14:textId="74BB4391" w:rsidR="0082055F" w:rsidRPr="008E0B4D" w:rsidRDefault="0082055F" w:rsidP="008E0B4D">
      <w:pPr>
        <w:pStyle w:val="NormalWeb"/>
        <w:numPr>
          <w:ilvl w:val="0"/>
          <w:numId w:val="16"/>
        </w:numPr>
        <w:spacing w:before="120" w:beforeAutospacing="0" w:after="120" w:afterAutospacing="0"/>
        <w:ind w:left="1134" w:hanging="425"/>
        <w:jc w:val="both"/>
        <w:rPr>
          <w:rFonts w:asciiTheme="minorHAnsi" w:hAnsiTheme="minorHAnsi" w:cstheme="minorHAnsi"/>
        </w:rPr>
      </w:pPr>
      <w:r w:rsidRPr="008E0B4D">
        <w:rPr>
          <w:rFonts w:asciiTheme="minorHAnsi" w:hAnsiTheme="minorHAnsi" w:cstheme="minorHAnsi"/>
        </w:rPr>
        <w:lastRenderedPageBreak/>
        <w:t>If there is only one candidature meeting the benchmarks, it should be finalised during the Council Meeting five years before the event.</w:t>
      </w:r>
    </w:p>
    <w:p w14:paraId="4087D2B4" w14:textId="61C735E8" w:rsidR="00744EFB" w:rsidRPr="008E0B4D" w:rsidRDefault="0082055F" w:rsidP="008E0B4D">
      <w:pPr>
        <w:pStyle w:val="NormalWeb"/>
        <w:numPr>
          <w:ilvl w:val="0"/>
          <w:numId w:val="16"/>
        </w:numPr>
        <w:spacing w:before="120" w:beforeAutospacing="0" w:after="120" w:afterAutospacing="0"/>
        <w:ind w:left="1134" w:hanging="425"/>
        <w:jc w:val="both"/>
        <w:rPr>
          <w:rFonts w:asciiTheme="minorHAnsi" w:hAnsiTheme="minorHAnsi" w:cstheme="minorHAnsi"/>
        </w:rPr>
      </w:pPr>
      <w:r w:rsidRPr="008E0B4D">
        <w:rPr>
          <w:rFonts w:asciiTheme="minorHAnsi" w:hAnsiTheme="minorHAnsi" w:cstheme="minorHAnsi"/>
        </w:rPr>
        <w:t xml:space="preserve">If </w:t>
      </w:r>
      <w:r w:rsidR="00744EFB" w:rsidRPr="008E0B4D">
        <w:rPr>
          <w:rFonts w:asciiTheme="minorHAnsi" w:hAnsiTheme="minorHAnsi" w:cstheme="minorHAnsi"/>
        </w:rPr>
        <w:t>multiple candidatures</w:t>
      </w:r>
      <w:r w:rsidRPr="008E0B4D">
        <w:rPr>
          <w:rFonts w:asciiTheme="minorHAnsi" w:hAnsiTheme="minorHAnsi" w:cstheme="minorHAnsi"/>
        </w:rPr>
        <w:t xml:space="preserve"> are available</w:t>
      </w:r>
      <w:r w:rsidR="00744EFB" w:rsidRPr="008E0B4D">
        <w:rPr>
          <w:rFonts w:asciiTheme="minorHAnsi" w:hAnsiTheme="minorHAnsi" w:cstheme="minorHAnsi"/>
        </w:rPr>
        <w:t xml:space="preserve"> meet</w:t>
      </w:r>
      <w:r w:rsidRPr="008E0B4D">
        <w:rPr>
          <w:rFonts w:asciiTheme="minorHAnsi" w:hAnsiTheme="minorHAnsi" w:cstheme="minorHAnsi"/>
        </w:rPr>
        <w:t>ing</w:t>
      </w:r>
      <w:r w:rsidR="00744EFB" w:rsidRPr="008E0B4D">
        <w:rPr>
          <w:rFonts w:asciiTheme="minorHAnsi" w:hAnsiTheme="minorHAnsi" w:cstheme="minorHAnsi"/>
        </w:rPr>
        <w:t xml:space="preserve"> the benchmarks, a </w:t>
      </w:r>
      <w:r w:rsidR="00744EFB" w:rsidRPr="008E0B4D">
        <w:rPr>
          <w:rFonts w:asciiTheme="minorHAnsi" w:hAnsiTheme="minorHAnsi" w:cstheme="minorHAnsi"/>
          <w:bCs/>
        </w:rPr>
        <w:t>first-come, first-qualified</w:t>
      </w:r>
      <w:r w:rsidR="00744EFB" w:rsidRPr="008E0B4D">
        <w:rPr>
          <w:rFonts w:asciiTheme="minorHAnsi" w:hAnsiTheme="minorHAnsi" w:cstheme="minorHAnsi"/>
        </w:rPr>
        <w:t xml:space="preserve"> principle may be </w:t>
      </w:r>
      <w:r w:rsidRPr="008E0B4D">
        <w:rPr>
          <w:rFonts w:asciiTheme="minorHAnsi" w:hAnsiTheme="minorHAnsi" w:cstheme="minorHAnsi"/>
        </w:rPr>
        <w:t>applied and finalised during the Council Meeting five years before the event.</w:t>
      </w:r>
    </w:p>
    <w:p w14:paraId="407AAC2C" w14:textId="7B14ED3B" w:rsidR="00744EFB" w:rsidRPr="008E0B4D" w:rsidRDefault="0082055F" w:rsidP="008E0B4D">
      <w:pPr>
        <w:pStyle w:val="NormalWeb"/>
        <w:numPr>
          <w:ilvl w:val="0"/>
          <w:numId w:val="16"/>
        </w:numPr>
        <w:spacing w:before="120" w:beforeAutospacing="0" w:after="120" w:afterAutospacing="0"/>
        <w:ind w:left="1134" w:hanging="425"/>
        <w:jc w:val="both"/>
        <w:rPr>
          <w:rFonts w:asciiTheme="minorHAnsi" w:hAnsiTheme="minorHAnsi" w:cstheme="minorHAnsi"/>
        </w:rPr>
      </w:pPr>
      <w:r w:rsidRPr="008E0B4D">
        <w:rPr>
          <w:rFonts w:asciiTheme="minorHAnsi" w:hAnsiTheme="minorHAnsi" w:cstheme="minorHAnsi"/>
        </w:rPr>
        <w:t>The procedure will be implemented for future events after 2031</w:t>
      </w:r>
      <w:r w:rsidR="003809FE" w:rsidRPr="008E0B4D">
        <w:rPr>
          <w:rFonts w:asciiTheme="minorHAnsi" w:hAnsiTheme="minorHAnsi" w:cstheme="minorHAnsi"/>
        </w:rPr>
        <w:t>(assuming that the procedure will be approved in Council 2026)</w:t>
      </w:r>
    </w:p>
    <w:p w14:paraId="4932DEAF" w14:textId="66B883AD" w:rsidR="00F27C26" w:rsidRPr="008E0B4D" w:rsidRDefault="0013105B" w:rsidP="00FB3361">
      <w:pPr>
        <w:pStyle w:val="NormalWeb"/>
        <w:numPr>
          <w:ilvl w:val="0"/>
          <w:numId w:val="10"/>
        </w:numPr>
        <w:tabs>
          <w:tab w:val="clear" w:pos="720"/>
        </w:tabs>
        <w:spacing w:before="240" w:beforeAutospacing="0" w:after="120" w:afterAutospacing="0"/>
        <w:ind w:left="709" w:hanging="425"/>
        <w:jc w:val="both"/>
        <w:rPr>
          <w:rFonts w:asciiTheme="minorHAnsi" w:hAnsiTheme="minorHAnsi" w:cstheme="minorHAnsi"/>
        </w:rPr>
      </w:pPr>
      <w:r w:rsidRPr="008E0B4D">
        <w:rPr>
          <w:rStyle w:val="Strong"/>
          <w:rFonts w:asciiTheme="minorHAnsi" w:hAnsiTheme="minorHAnsi" w:cstheme="minorHAnsi"/>
          <w:b w:val="0"/>
        </w:rPr>
        <w:t>Documentation</w:t>
      </w:r>
      <w:r w:rsidRPr="008E0B4D">
        <w:rPr>
          <w:rFonts w:asciiTheme="minorHAnsi" w:hAnsiTheme="minorHAnsi" w:cstheme="minorHAnsi"/>
        </w:rPr>
        <w:t>: All candidatures should submit a hosting proposal including logistics availability, compliance assurances, and letters of governmental support.</w:t>
      </w:r>
    </w:p>
    <w:p w14:paraId="2E15AA58" w14:textId="73C55AA1" w:rsidR="00475B29" w:rsidRPr="008E0B4D" w:rsidRDefault="0013105B" w:rsidP="00FB3361">
      <w:pPr>
        <w:pStyle w:val="ListParagraph"/>
        <w:numPr>
          <w:ilvl w:val="0"/>
          <w:numId w:val="12"/>
        </w:numPr>
        <w:tabs>
          <w:tab w:val="clear" w:pos="567"/>
          <w:tab w:val="clear" w:pos="1134"/>
          <w:tab w:val="clear" w:pos="1701"/>
          <w:tab w:val="clear" w:pos="2268"/>
          <w:tab w:val="clear" w:pos="2835"/>
        </w:tabs>
        <w:spacing w:before="360" w:after="120"/>
        <w:ind w:left="0" w:right="9" w:firstLine="0"/>
        <w:contextualSpacing w:val="0"/>
        <w:jc w:val="both"/>
        <w:rPr>
          <w:rFonts w:asciiTheme="minorHAnsi" w:hAnsiTheme="minorHAnsi" w:cstheme="minorHAnsi"/>
          <w:b/>
          <w:bCs/>
        </w:rPr>
      </w:pPr>
      <w:r w:rsidRPr="008E0B4D">
        <w:rPr>
          <w:rFonts w:asciiTheme="minorHAnsi" w:hAnsiTheme="minorHAnsi" w:cstheme="minorHAnsi"/>
          <w:b/>
          <w:bCs/>
        </w:rPr>
        <w:t>Conclusion</w:t>
      </w:r>
    </w:p>
    <w:p w14:paraId="07C30DF8" w14:textId="77777777" w:rsidR="0013105B" w:rsidRPr="008E0B4D" w:rsidRDefault="0013105B" w:rsidP="008E0B4D">
      <w:pPr>
        <w:pStyle w:val="NormalWeb"/>
        <w:spacing w:before="120" w:beforeAutospacing="0" w:after="120" w:afterAutospacing="0"/>
        <w:jc w:val="both"/>
        <w:rPr>
          <w:rFonts w:asciiTheme="minorHAnsi" w:hAnsiTheme="minorHAnsi" w:cstheme="minorHAnsi"/>
        </w:rPr>
      </w:pPr>
      <w:r w:rsidRPr="008E0B4D">
        <w:rPr>
          <w:rFonts w:asciiTheme="minorHAnsi" w:hAnsiTheme="minorHAnsi" w:cstheme="minorHAnsi"/>
        </w:rPr>
        <w:t>India reaffirms its commitment to contributing to the effective functioning of the ITU and supports the establishment of a fair and transparent system for the selection of host countries for ITU conferences. The proposed benchmarks and principles aim to enhance predictability, fairness, and quality in the organization of future conferences.</w:t>
      </w:r>
    </w:p>
    <w:p w14:paraId="60FBAAA6" w14:textId="77777777" w:rsidR="0013105B" w:rsidRPr="008E0B4D" w:rsidRDefault="0013105B" w:rsidP="008E0B4D">
      <w:pPr>
        <w:pStyle w:val="NormalWeb"/>
        <w:spacing w:before="120" w:beforeAutospacing="0" w:after="120" w:afterAutospacing="0"/>
        <w:jc w:val="both"/>
        <w:rPr>
          <w:rFonts w:asciiTheme="minorHAnsi" w:hAnsiTheme="minorHAnsi" w:cstheme="minorHAnsi"/>
        </w:rPr>
      </w:pPr>
      <w:r w:rsidRPr="008E0B4D">
        <w:rPr>
          <w:rFonts w:asciiTheme="minorHAnsi" w:hAnsiTheme="minorHAnsi" w:cstheme="minorHAnsi"/>
        </w:rPr>
        <w:t xml:space="preserve">We request the CWG-FHR to </w:t>
      </w:r>
      <w:r w:rsidRPr="00FB3361">
        <w:rPr>
          <w:rFonts w:asciiTheme="minorHAnsi" w:hAnsiTheme="minorHAnsi" w:cstheme="minorHAnsi"/>
          <w:b/>
          <w:bCs/>
        </w:rPr>
        <w:t>consider</w:t>
      </w:r>
      <w:r w:rsidRPr="008E0B4D">
        <w:rPr>
          <w:rFonts w:asciiTheme="minorHAnsi" w:hAnsiTheme="minorHAnsi" w:cstheme="minorHAnsi"/>
        </w:rPr>
        <w:t xml:space="preserve"> these proposals and </w:t>
      </w:r>
      <w:r w:rsidRPr="00FB3361">
        <w:rPr>
          <w:rFonts w:asciiTheme="minorHAnsi" w:hAnsiTheme="minorHAnsi" w:cstheme="minorHAnsi"/>
          <w:b/>
          <w:bCs/>
        </w:rPr>
        <w:t>incorporate</w:t>
      </w:r>
      <w:r w:rsidRPr="008E0B4D">
        <w:rPr>
          <w:rFonts w:asciiTheme="minorHAnsi" w:hAnsiTheme="minorHAnsi" w:cstheme="minorHAnsi"/>
        </w:rPr>
        <w:t xml:space="preserve"> them into the bidding framework under development.</w:t>
      </w:r>
    </w:p>
    <w:p w14:paraId="69D7025F" w14:textId="0036BCB0" w:rsidR="00101C44" w:rsidRPr="008E0B4D" w:rsidRDefault="008E0B4D" w:rsidP="0013105B">
      <w:pPr>
        <w:jc w:val="center"/>
        <w:rPr>
          <w:rFonts w:asciiTheme="minorHAnsi" w:hAnsiTheme="minorHAnsi" w:cstheme="minorHAnsi"/>
        </w:rPr>
      </w:pPr>
      <w:r>
        <w:rPr>
          <w:rFonts w:asciiTheme="minorHAnsi" w:hAnsiTheme="minorHAnsi" w:cstheme="minorHAnsi"/>
        </w:rPr>
        <w:t>___</w:t>
      </w:r>
      <w:r w:rsidR="00101C44" w:rsidRPr="008E0B4D">
        <w:rPr>
          <w:rFonts w:asciiTheme="minorHAnsi" w:hAnsiTheme="minorHAnsi" w:cstheme="minorHAnsi"/>
        </w:rPr>
        <w:t>_____________</w:t>
      </w:r>
    </w:p>
    <w:sectPr w:rsidR="00101C44" w:rsidRPr="008E0B4D" w:rsidSect="00EA2131">
      <w:footerReference w:type="default" r:id="rId13"/>
      <w:headerReference w:type="first" r:id="rId14"/>
      <w:footerReference w:type="first" r:id="rId15"/>
      <w:pgSz w:w="11907" w:h="16834"/>
      <w:pgMar w:top="1418" w:right="1418" w:bottom="1701"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FD6B" w14:textId="77777777" w:rsidR="00D10DD4" w:rsidRDefault="00D10DD4">
      <w:r>
        <w:separator/>
      </w:r>
    </w:p>
  </w:endnote>
  <w:endnote w:type="continuationSeparator" w:id="0">
    <w:p w14:paraId="324AE87E" w14:textId="77777777" w:rsidR="00D10DD4" w:rsidRDefault="00D1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154145DF"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8E0B4D">
            <w:rPr>
              <w:bCs/>
              <w:lang w:val="fr-CH"/>
            </w:rPr>
            <w:t>15</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009E045E">
            <w:rPr>
              <w:noProof/>
              <w:lang w:val="fr-CH"/>
            </w:rPr>
            <w:t>3</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6C2784BB" w:rsidR="00EE49E8" w:rsidRPr="000F6AB8" w:rsidRDefault="00EE49E8" w:rsidP="001C5FDF">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8E0B4D">
            <w:rPr>
              <w:bCs/>
              <w:lang w:val="es-ES"/>
            </w:rPr>
            <w:t>21/15-E</w:t>
          </w:r>
          <w:r w:rsidRPr="000F6AB8">
            <w:rPr>
              <w:bCs/>
              <w:lang w:val="es-ES"/>
            </w:rPr>
            <w:tab/>
          </w:r>
          <w:r>
            <w:fldChar w:fldCharType="begin"/>
          </w:r>
          <w:r w:rsidRPr="000F6AB8">
            <w:rPr>
              <w:lang w:val="es-ES"/>
            </w:rPr>
            <w:instrText>PAGE</w:instrText>
          </w:r>
          <w:r>
            <w:fldChar w:fldCharType="separate"/>
          </w:r>
          <w:r w:rsidR="009E045E">
            <w:rPr>
              <w:noProof/>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205E" w14:textId="77777777" w:rsidR="00D10DD4" w:rsidRDefault="00D10DD4">
      <w:r>
        <w:t>____________________</w:t>
      </w:r>
    </w:p>
  </w:footnote>
  <w:footnote w:type="continuationSeparator" w:id="0">
    <w:p w14:paraId="3FA1CFA2" w14:textId="77777777" w:rsidR="00D10DD4" w:rsidRDefault="00D1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2" w:name="_Hlk133422111"/>
          <w:r w:rsidRPr="00130599">
            <w:rPr>
              <w:rFonts w:ascii="Arial" w:hAnsi="Arial" w:cs="Arial"/>
              <w:b/>
              <w:bCs/>
              <w:noProof/>
              <w:color w:val="009CD6"/>
              <w:szCs w:val="18"/>
              <w:lang w:val="en-IN" w:eastAsia="en-IN"/>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lang w:val="en-IN" w:eastAsia="en-IN"/>
            </w:rPr>
            <w:drawing>
              <wp:inline distT="0" distB="0" distL="0" distR="0" wp14:anchorId="07F64D12" wp14:editId="0EF76A7B">
                <wp:extent cx="3671597" cy="612000"/>
                <wp:effectExtent l="0" t="0" r="0" b="0"/>
                <wp:docPr id="40389267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C8B4F01" w14:textId="77777777" w:rsidR="00AD3606" w:rsidRDefault="00DB00D5">
    <w:pPr>
      <w:pStyle w:val="Header"/>
    </w:pPr>
    <w:r w:rsidRPr="00802C2C">
      <w:rPr>
        <w:rFonts w:ascii="Avenir Nxt2 W1G Medium" w:eastAsia="Avenir Nxt2 W1G Medium" w:hAnsi="Avenir Nxt2 W1G Medium" w:cs="Avenir Nxt2 W1G Medium"/>
        <w:noProof/>
        <w:lang w:val="en-IN" w:eastAsia="en-IN"/>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A33461"/>
    <w:multiLevelType w:val="multilevel"/>
    <w:tmpl w:val="649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4D54"/>
    <w:multiLevelType w:val="multilevel"/>
    <w:tmpl w:val="A43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E6AB5"/>
    <w:multiLevelType w:val="hybridMultilevel"/>
    <w:tmpl w:val="C09818B6"/>
    <w:lvl w:ilvl="0" w:tplc="9BF81A10">
      <w:start w:val="1"/>
      <w:numFmt w:val="decimal"/>
      <w:lvlText w:val="%1."/>
      <w:lvlJc w:val="left"/>
      <w:pPr>
        <w:ind w:left="1440" w:hanging="360"/>
      </w:pPr>
      <w:rPr>
        <w:rFonts w:hint="default"/>
        <w:color w:val="000000" w:themeColor="text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E2D3FFA"/>
    <w:multiLevelType w:val="hybridMultilevel"/>
    <w:tmpl w:val="23E22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F8285F"/>
    <w:multiLevelType w:val="hybridMultilevel"/>
    <w:tmpl w:val="E78EDC1A"/>
    <w:lvl w:ilvl="0" w:tplc="04090001">
      <w:start w:val="1"/>
      <w:numFmt w:val="bullet"/>
      <w:lvlText w:val=""/>
      <w:lvlJc w:val="left"/>
      <w:pPr>
        <w:ind w:left="1440" w:hanging="360"/>
      </w:pPr>
      <w:rPr>
        <w:rFonts w:ascii="Symbol" w:hAnsi="Symbol" w:hint="default"/>
        <w:color w:val="000000" w:themeColor="text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FCF677F"/>
    <w:multiLevelType w:val="hybridMultilevel"/>
    <w:tmpl w:val="4704B6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2F2BA2"/>
    <w:multiLevelType w:val="multilevel"/>
    <w:tmpl w:val="80D87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E9522AA"/>
    <w:multiLevelType w:val="hybridMultilevel"/>
    <w:tmpl w:val="5106A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3A0E13"/>
    <w:multiLevelType w:val="multilevel"/>
    <w:tmpl w:val="632C03C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F22D6C"/>
    <w:multiLevelType w:val="multilevel"/>
    <w:tmpl w:val="860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95B9D"/>
    <w:multiLevelType w:val="multilevel"/>
    <w:tmpl w:val="CBF2A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707F0"/>
    <w:multiLevelType w:val="hybridMultilevel"/>
    <w:tmpl w:val="63B6D00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DF33FC9"/>
    <w:multiLevelType w:val="hybridMultilevel"/>
    <w:tmpl w:val="2C7600DA"/>
    <w:lvl w:ilvl="0" w:tplc="059A4C9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788A17D3"/>
    <w:multiLevelType w:val="hybridMultilevel"/>
    <w:tmpl w:val="3C4A3CB8"/>
    <w:lvl w:ilvl="0" w:tplc="0409000B">
      <w:start w:val="1"/>
      <w:numFmt w:val="bullet"/>
      <w:lvlText w:val=""/>
      <w:lvlJc w:val="left"/>
      <w:pPr>
        <w:ind w:left="1440" w:hanging="360"/>
      </w:pPr>
      <w:rPr>
        <w:rFonts w:ascii="Wingdings" w:hAnsi="Wingdings" w:hint="default"/>
        <w:color w:val="000000" w:themeColor="text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7D131095"/>
    <w:multiLevelType w:val="hybridMultilevel"/>
    <w:tmpl w:val="B9FC6BBC"/>
    <w:lvl w:ilvl="0" w:tplc="9BF81A10">
      <w:start w:val="1"/>
      <w:numFmt w:val="decimal"/>
      <w:lvlText w:val="%1."/>
      <w:lvlJc w:val="left"/>
      <w:pPr>
        <w:ind w:left="1440" w:hanging="360"/>
      </w:pPr>
      <w:rPr>
        <w:rFonts w:hint="default"/>
        <w:color w:val="000000" w:themeColor="text1"/>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219245666">
    <w:abstractNumId w:val="0"/>
  </w:num>
  <w:num w:numId="2" w16cid:durableId="698966378">
    <w:abstractNumId w:val="8"/>
  </w:num>
  <w:num w:numId="3" w16cid:durableId="919868886">
    <w:abstractNumId w:val="11"/>
  </w:num>
  <w:num w:numId="4" w16cid:durableId="516358767">
    <w:abstractNumId w:val="4"/>
  </w:num>
  <w:num w:numId="5" w16cid:durableId="50230100">
    <w:abstractNumId w:val="6"/>
  </w:num>
  <w:num w:numId="6" w16cid:durableId="2058890836">
    <w:abstractNumId w:val="7"/>
  </w:num>
  <w:num w:numId="7" w16cid:durableId="1376194544">
    <w:abstractNumId w:val="13"/>
  </w:num>
  <w:num w:numId="8" w16cid:durableId="162862093">
    <w:abstractNumId w:val="2"/>
  </w:num>
  <w:num w:numId="9" w16cid:durableId="2070881593">
    <w:abstractNumId w:val="10"/>
  </w:num>
  <w:num w:numId="10" w16cid:durableId="929434212">
    <w:abstractNumId w:val="1"/>
  </w:num>
  <w:num w:numId="11" w16cid:durableId="1212694688">
    <w:abstractNumId w:val="12"/>
  </w:num>
  <w:num w:numId="12" w16cid:durableId="1529677620">
    <w:abstractNumId w:val="9"/>
  </w:num>
  <w:num w:numId="13" w16cid:durableId="302658119">
    <w:abstractNumId w:val="15"/>
  </w:num>
  <w:num w:numId="14" w16cid:durableId="595016024">
    <w:abstractNumId w:val="5"/>
  </w:num>
  <w:num w:numId="15" w16cid:durableId="1524048757">
    <w:abstractNumId w:val="3"/>
  </w:num>
  <w:num w:numId="16" w16cid:durableId="1266884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55"/>
    <w:rsid w:val="000120E4"/>
    <w:rsid w:val="00016D84"/>
    <w:rsid w:val="000210D4"/>
    <w:rsid w:val="000456A0"/>
    <w:rsid w:val="00046146"/>
    <w:rsid w:val="00063016"/>
    <w:rsid w:val="000635F4"/>
    <w:rsid w:val="00066795"/>
    <w:rsid w:val="00076AF6"/>
    <w:rsid w:val="00085CF2"/>
    <w:rsid w:val="000B1705"/>
    <w:rsid w:val="000C3B15"/>
    <w:rsid w:val="000D75B2"/>
    <w:rsid w:val="000E300F"/>
    <w:rsid w:val="000F6AB8"/>
    <w:rsid w:val="00101C44"/>
    <w:rsid w:val="001121F5"/>
    <w:rsid w:val="00130599"/>
    <w:rsid w:val="0013105B"/>
    <w:rsid w:val="001400DC"/>
    <w:rsid w:val="00140CE1"/>
    <w:rsid w:val="00141729"/>
    <w:rsid w:val="00147C54"/>
    <w:rsid w:val="0017343B"/>
    <w:rsid w:val="0017539C"/>
    <w:rsid w:val="00175AC2"/>
    <w:rsid w:val="0017609F"/>
    <w:rsid w:val="00191EA3"/>
    <w:rsid w:val="001A7D1D"/>
    <w:rsid w:val="001B51DD"/>
    <w:rsid w:val="001C1F3D"/>
    <w:rsid w:val="001C5FDF"/>
    <w:rsid w:val="001C628E"/>
    <w:rsid w:val="001E0F7B"/>
    <w:rsid w:val="001E0FBE"/>
    <w:rsid w:val="001E5FE7"/>
    <w:rsid w:val="00204025"/>
    <w:rsid w:val="002041EC"/>
    <w:rsid w:val="002119FD"/>
    <w:rsid w:val="002130E0"/>
    <w:rsid w:val="00244F7F"/>
    <w:rsid w:val="0025570E"/>
    <w:rsid w:val="002608B7"/>
    <w:rsid w:val="00264425"/>
    <w:rsid w:val="00265875"/>
    <w:rsid w:val="0027303B"/>
    <w:rsid w:val="0028109B"/>
    <w:rsid w:val="0028508E"/>
    <w:rsid w:val="002A2188"/>
    <w:rsid w:val="002B1F58"/>
    <w:rsid w:val="002C1C7A"/>
    <w:rsid w:val="002C54E2"/>
    <w:rsid w:val="002E0AC3"/>
    <w:rsid w:val="0030160F"/>
    <w:rsid w:val="00301AEE"/>
    <w:rsid w:val="003145DF"/>
    <w:rsid w:val="00320223"/>
    <w:rsid w:val="00322D0D"/>
    <w:rsid w:val="00327F1C"/>
    <w:rsid w:val="0033226C"/>
    <w:rsid w:val="003459D6"/>
    <w:rsid w:val="00361465"/>
    <w:rsid w:val="003809FE"/>
    <w:rsid w:val="003877F5"/>
    <w:rsid w:val="00391CDA"/>
    <w:rsid w:val="003942D4"/>
    <w:rsid w:val="0039514F"/>
    <w:rsid w:val="003958A8"/>
    <w:rsid w:val="003B23CF"/>
    <w:rsid w:val="003B29C2"/>
    <w:rsid w:val="003C20CA"/>
    <w:rsid w:val="003C2533"/>
    <w:rsid w:val="003D5A7F"/>
    <w:rsid w:val="003D635C"/>
    <w:rsid w:val="004016E2"/>
    <w:rsid w:val="0040435A"/>
    <w:rsid w:val="00416A24"/>
    <w:rsid w:val="0042059E"/>
    <w:rsid w:val="00431D9E"/>
    <w:rsid w:val="00433CE8"/>
    <w:rsid w:val="00434A5C"/>
    <w:rsid w:val="0044380F"/>
    <w:rsid w:val="004544D9"/>
    <w:rsid w:val="00465013"/>
    <w:rsid w:val="00472BAD"/>
    <w:rsid w:val="00473A71"/>
    <w:rsid w:val="00475B29"/>
    <w:rsid w:val="00484009"/>
    <w:rsid w:val="00490E72"/>
    <w:rsid w:val="00491157"/>
    <w:rsid w:val="00491A64"/>
    <w:rsid w:val="004921C8"/>
    <w:rsid w:val="0049536E"/>
    <w:rsid w:val="00495B0B"/>
    <w:rsid w:val="004A1B8B"/>
    <w:rsid w:val="004A67AC"/>
    <w:rsid w:val="004B7521"/>
    <w:rsid w:val="004D1851"/>
    <w:rsid w:val="004D599D"/>
    <w:rsid w:val="004E2EA5"/>
    <w:rsid w:val="004E3AEB"/>
    <w:rsid w:val="004F3819"/>
    <w:rsid w:val="0050223C"/>
    <w:rsid w:val="00507750"/>
    <w:rsid w:val="00523891"/>
    <w:rsid w:val="005243FF"/>
    <w:rsid w:val="005311D6"/>
    <w:rsid w:val="00536422"/>
    <w:rsid w:val="00564FBC"/>
    <w:rsid w:val="00570B17"/>
    <w:rsid w:val="005800BC"/>
    <w:rsid w:val="00582442"/>
    <w:rsid w:val="00590BDD"/>
    <w:rsid w:val="005A335D"/>
    <w:rsid w:val="005C13D4"/>
    <w:rsid w:val="005C77C0"/>
    <w:rsid w:val="005E2BD5"/>
    <w:rsid w:val="005F3269"/>
    <w:rsid w:val="0060523F"/>
    <w:rsid w:val="00613B55"/>
    <w:rsid w:val="00615961"/>
    <w:rsid w:val="00623AE3"/>
    <w:rsid w:val="006261F4"/>
    <w:rsid w:val="00631CAF"/>
    <w:rsid w:val="006354FC"/>
    <w:rsid w:val="0064737F"/>
    <w:rsid w:val="006535F1"/>
    <w:rsid w:val="0065557D"/>
    <w:rsid w:val="00660D50"/>
    <w:rsid w:val="00662984"/>
    <w:rsid w:val="00666B45"/>
    <w:rsid w:val="006716BB"/>
    <w:rsid w:val="006973C8"/>
    <w:rsid w:val="006B1859"/>
    <w:rsid w:val="006B6680"/>
    <w:rsid w:val="006B6DCC"/>
    <w:rsid w:val="006D5604"/>
    <w:rsid w:val="00702DEF"/>
    <w:rsid w:val="00706861"/>
    <w:rsid w:val="00726B8C"/>
    <w:rsid w:val="00744EFB"/>
    <w:rsid w:val="0075051B"/>
    <w:rsid w:val="007538E8"/>
    <w:rsid w:val="00760FAF"/>
    <w:rsid w:val="0077110E"/>
    <w:rsid w:val="00775655"/>
    <w:rsid w:val="00793188"/>
    <w:rsid w:val="00794D34"/>
    <w:rsid w:val="00806E3C"/>
    <w:rsid w:val="00813E5E"/>
    <w:rsid w:val="00816C2C"/>
    <w:rsid w:val="0082055F"/>
    <w:rsid w:val="0083581B"/>
    <w:rsid w:val="00860EED"/>
    <w:rsid w:val="00863874"/>
    <w:rsid w:val="00864AFF"/>
    <w:rsid w:val="00865925"/>
    <w:rsid w:val="0087734B"/>
    <w:rsid w:val="00891503"/>
    <w:rsid w:val="0089242B"/>
    <w:rsid w:val="008A39BE"/>
    <w:rsid w:val="008B4A6A"/>
    <w:rsid w:val="008C7E27"/>
    <w:rsid w:val="008D3ACA"/>
    <w:rsid w:val="008E0B4D"/>
    <w:rsid w:val="008F3822"/>
    <w:rsid w:val="008F59A8"/>
    <w:rsid w:val="008F7448"/>
    <w:rsid w:val="0090147A"/>
    <w:rsid w:val="0090389B"/>
    <w:rsid w:val="00907083"/>
    <w:rsid w:val="009173EF"/>
    <w:rsid w:val="009318DE"/>
    <w:rsid w:val="00932906"/>
    <w:rsid w:val="00961860"/>
    <w:rsid w:val="00961B0B"/>
    <w:rsid w:val="00962D33"/>
    <w:rsid w:val="009760BE"/>
    <w:rsid w:val="009B38C3"/>
    <w:rsid w:val="009D6CA6"/>
    <w:rsid w:val="009E045E"/>
    <w:rsid w:val="009E09F2"/>
    <w:rsid w:val="009E17BD"/>
    <w:rsid w:val="009E485A"/>
    <w:rsid w:val="00A04CEC"/>
    <w:rsid w:val="00A054CA"/>
    <w:rsid w:val="00A24FA8"/>
    <w:rsid w:val="00A27F92"/>
    <w:rsid w:val="00A32257"/>
    <w:rsid w:val="00A36D20"/>
    <w:rsid w:val="00A43C03"/>
    <w:rsid w:val="00A46CD0"/>
    <w:rsid w:val="00A514A4"/>
    <w:rsid w:val="00A52C84"/>
    <w:rsid w:val="00A55622"/>
    <w:rsid w:val="00A83502"/>
    <w:rsid w:val="00A94D42"/>
    <w:rsid w:val="00AD15B3"/>
    <w:rsid w:val="00AD3606"/>
    <w:rsid w:val="00AD4A3D"/>
    <w:rsid w:val="00AF6386"/>
    <w:rsid w:val="00AF6E49"/>
    <w:rsid w:val="00B0270A"/>
    <w:rsid w:val="00B04A67"/>
    <w:rsid w:val="00B0583C"/>
    <w:rsid w:val="00B159E6"/>
    <w:rsid w:val="00B248BC"/>
    <w:rsid w:val="00B250E6"/>
    <w:rsid w:val="00B358B2"/>
    <w:rsid w:val="00B40A81"/>
    <w:rsid w:val="00B44910"/>
    <w:rsid w:val="00B6350C"/>
    <w:rsid w:val="00B72267"/>
    <w:rsid w:val="00B73DD1"/>
    <w:rsid w:val="00B76EB6"/>
    <w:rsid w:val="00B7737B"/>
    <w:rsid w:val="00B824C8"/>
    <w:rsid w:val="00B849D3"/>
    <w:rsid w:val="00B84B9D"/>
    <w:rsid w:val="00B9007F"/>
    <w:rsid w:val="00B94A52"/>
    <w:rsid w:val="00B9616D"/>
    <w:rsid w:val="00BA3A51"/>
    <w:rsid w:val="00BA534C"/>
    <w:rsid w:val="00BC251A"/>
    <w:rsid w:val="00BD032B"/>
    <w:rsid w:val="00BD0614"/>
    <w:rsid w:val="00BD094B"/>
    <w:rsid w:val="00BE2640"/>
    <w:rsid w:val="00BE433C"/>
    <w:rsid w:val="00BE4C42"/>
    <w:rsid w:val="00BF06F0"/>
    <w:rsid w:val="00BF44AE"/>
    <w:rsid w:val="00C01189"/>
    <w:rsid w:val="00C04CFC"/>
    <w:rsid w:val="00C274D3"/>
    <w:rsid w:val="00C374DE"/>
    <w:rsid w:val="00C47AD4"/>
    <w:rsid w:val="00C52D81"/>
    <w:rsid w:val="00C55198"/>
    <w:rsid w:val="00C723D4"/>
    <w:rsid w:val="00C725C6"/>
    <w:rsid w:val="00C922C7"/>
    <w:rsid w:val="00CA6393"/>
    <w:rsid w:val="00CB18FF"/>
    <w:rsid w:val="00CB24AA"/>
    <w:rsid w:val="00CD0C08"/>
    <w:rsid w:val="00CD3C91"/>
    <w:rsid w:val="00CE03FB"/>
    <w:rsid w:val="00CE433C"/>
    <w:rsid w:val="00CF0161"/>
    <w:rsid w:val="00CF33F3"/>
    <w:rsid w:val="00D06183"/>
    <w:rsid w:val="00D10DD4"/>
    <w:rsid w:val="00D22C42"/>
    <w:rsid w:val="00D45669"/>
    <w:rsid w:val="00D46480"/>
    <w:rsid w:val="00D464CC"/>
    <w:rsid w:val="00D522F6"/>
    <w:rsid w:val="00D65041"/>
    <w:rsid w:val="00DB00D5"/>
    <w:rsid w:val="00DB1936"/>
    <w:rsid w:val="00DB384B"/>
    <w:rsid w:val="00DF0189"/>
    <w:rsid w:val="00E06FD5"/>
    <w:rsid w:val="00E10E80"/>
    <w:rsid w:val="00E124F0"/>
    <w:rsid w:val="00E227F3"/>
    <w:rsid w:val="00E4728B"/>
    <w:rsid w:val="00E50E26"/>
    <w:rsid w:val="00E545C6"/>
    <w:rsid w:val="00E5556D"/>
    <w:rsid w:val="00E60F04"/>
    <w:rsid w:val="00E63EFF"/>
    <w:rsid w:val="00E65B24"/>
    <w:rsid w:val="00E75A65"/>
    <w:rsid w:val="00E854E4"/>
    <w:rsid w:val="00E86DBF"/>
    <w:rsid w:val="00EA2131"/>
    <w:rsid w:val="00EB0D6F"/>
    <w:rsid w:val="00EB2232"/>
    <w:rsid w:val="00EB5A56"/>
    <w:rsid w:val="00EC5337"/>
    <w:rsid w:val="00ED575C"/>
    <w:rsid w:val="00EE1404"/>
    <w:rsid w:val="00EE49E8"/>
    <w:rsid w:val="00EF5722"/>
    <w:rsid w:val="00F06F4C"/>
    <w:rsid w:val="00F10B59"/>
    <w:rsid w:val="00F16BAB"/>
    <w:rsid w:val="00F2150A"/>
    <w:rsid w:val="00F231D8"/>
    <w:rsid w:val="00F26401"/>
    <w:rsid w:val="00F27C26"/>
    <w:rsid w:val="00F44C00"/>
    <w:rsid w:val="00F45D2C"/>
    <w:rsid w:val="00F46C5F"/>
    <w:rsid w:val="00F632C0"/>
    <w:rsid w:val="00F70F49"/>
    <w:rsid w:val="00F74694"/>
    <w:rsid w:val="00F86596"/>
    <w:rsid w:val="00F93FD4"/>
    <w:rsid w:val="00F94A63"/>
    <w:rsid w:val="00FA1C28"/>
    <w:rsid w:val="00FA3744"/>
    <w:rsid w:val="00FB1279"/>
    <w:rsid w:val="00FB3361"/>
    <w:rsid w:val="00FB6B76"/>
    <w:rsid w:val="00FB7596"/>
    <w:rsid w:val="00FD47B9"/>
    <w:rsid w:val="00FD6070"/>
    <w:rsid w:val="00FE3C3D"/>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styleId="ListParagraph">
    <w:name w:val="List Paragraph"/>
    <w:basedOn w:val="Normal"/>
    <w:uiPriority w:val="34"/>
    <w:qFormat/>
    <w:rsid w:val="001C1F3D"/>
    <w:pPr>
      <w:ind w:left="720"/>
      <w:contextualSpacing/>
    </w:pPr>
  </w:style>
  <w:style w:type="paragraph" w:styleId="Revision">
    <w:name w:val="Revision"/>
    <w:hidden/>
    <w:uiPriority w:val="99"/>
    <w:semiHidden/>
    <w:rsid w:val="00E5556D"/>
    <w:rPr>
      <w:rFonts w:ascii="Calibri" w:hAnsi="Calibri"/>
      <w:sz w:val="24"/>
      <w:lang w:val="en-GB" w:eastAsia="en-US"/>
    </w:rPr>
  </w:style>
  <w:style w:type="paragraph" w:styleId="NormalWeb">
    <w:name w:val="Normal (Web)"/>
    <w:basedOn w:val="Normal"/>
    <w:uiPriority w:val="99"/>
    <w:unhideWhenUsed/>
    <w:rsid w:val="0013105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IN" w:eastAsia="en-IN"/>
    </w:rPr>
  </w:style>
  <w:style w:type="character" w:styleId="Strong">
    <w:name w:val="Strong"/>
    <w:basedOn w:val="DefaultParagraphFont"/>
    <w:uiPriority w:val="22"/>
    <w:qFormat/>
    <w:rsid w:val="0013105B"/>
    <w:rPr>
      <w:b/>
      <w:bCs/>
    </w:rPr>
  </w:style>
  <w:style w:type="character" w:styleId="UnresolvedMention">
    <w:name w:val="Unresolved Mention"/>
    <w:basedOn w:val="DefaultParagraphFont"/>
    <w:uiPriority w:val="99"/>
    <w:semiHidden/>
    <w:unhideWhenUsed/>
    <w:rsid w:val="008E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9399">
      <w:bodyDiv w:val="1"/>
      <w:marLeft w:val="0"/>
      <w:marRight w:val="0"/>
      <w:marTop w:val="0"/>
      <w:marBottom w:val="0"/>
      <w:divBdr>
        <w:top w:val="none" w:sz="0" w:space="0" w:color="auto"/>
        <w:left w:val="none" w:sz="0" w:space="0" w:color="auto"/>
        <w:bottom w:val="none" w:sz="0" w:space="0" w:color="auto"/>
        <w:right w:val="none" w:sz="0" w:space="0" w:color="auto"/>
      </w:divBdr>
    </w:div>
    <w:div w:id="321085104">
      <w:bodyDiv w:val="1"/>
      <w:marLeft w:val="0"/>
      <w:marRight w:val="0"/>
      <w:marTop w:val="0"/>
      <w:marBottom w:val="0"/>
      <w:divBdr>
        <w:top w:val="none" w:sz="0" w:space="0" w:color="auto"/>
        <w:left w:val="none" w:sz="0" w:space="0" w:color="auto"/>
        <w:bottom w:val="none" w:sz="0" w:space="0" w:color="auto"/>
        <w:right w:val="none" w:sz="0" w:space="0" w:color="auto"/>
      </w:divBdr>
    </w:div>
    <w:div w:id="538132101">
      <w:bodyDiv w:val="1"/>
      <w:marLeft w:val="0"/>
      <w:marRight w:val="0"/>
      <w:marTop w:val="0"/>
      <w:marBottom w:val="0"/>
      <w:divBdr>
        <w:top w:val="none" w:sz="0" w:space="0" w:color="auto"/>
        <w:left w:val="none" w:sz="0" w:space="0" w:color="auto"/>
        <w:bottom w:val="none" w:sz="0" w:space="0" w:color="auto"/>
        <w:right w:val="none" w:sz="0" w:space="0" w:color="auto"/>
      </w:divBdr>
    </w:div>
    <w:div w:id="740954681">
      <w:bodyDiv w:val="1"/>
      <w:marLeft w:val="0"/>
      <w:marRight w:val="0"/>
      <w:marTop w:val="0"/>
      <w:marBottom w:val="0"/>
      <w:divBdr>
        <w:top w:val="none" w:sz="0" w:space="0" w:color="auto"/>
        <w:left w:val="none" w:sz="0" w:space="0" w:color="auto"/>
        <w:bottom w:val="none" w:sz="0" w:space="0" w:color="auto"/>
        <w:right w:val="none" w:sz="0" w:space="0" w:color="auto"/>
      </w:divBdr>
    </w:div>
    <w:div w:id="836506219">
      <w:bodyDiv w:val="1"/>
      <w:marLeft w:val="0"/>
      <w:marRight w:val="0"/>
      <w:marTop w:val="0"/>
      <w:marBottom w:val="0"/>
      <w:divBdr>
        <w:top w:val="none" w:sz="0" w:space="0" w:color="auto"/>
        <w:left w:val="none" w:sz="0" w:space="0" w:color="auto"/>
        <w:bottom w:val="none" w:sz="0" w:space="0" w:color="auto"/>
        <w:right w:val="none" w:sz="0" w:space="0" w:color="auto"/>
      </w:divBdr>
    </w:div>
    <w:div w:id="969673535">
      <w:bodyDiv w:val="1"/>
      <w:marLeft w:val="0"/>
      <w:marRight w:val="0"/>
      <w:marTop w:val="0"/>
      <w:marBottom w:val="0"/>
      <w:divBdr>
        <w:top w:val="none" w:sz="0" w:space="0" w:color="auto"/>
        <w:left w:val="none" w:sz="0" w:space="0" w:color="auto"/>
        <w:bottom w:val="none" w:sz="0" w:space="0" w:color="auto"/>
        <w:right w:val="none" w:sz="0" w:space="0" w:color="auto"/>
      </w:divBdr>
    </w:div>
    <w:div w:id="1254046428">
      <w:bodyDiv w:val="1"/>
      <w:marLeft w:val="0"/>
      <w:marRight w:val="0"/>
      <w:marTop w:val="0"/>
      <w:marBottom w:val="0"/>
      <w:divBdr>
        <w:top w:val="none" w:sz="0" w:space="0" w:color="auto"/>
        <w:left w:val="none" w:sz="0" w:space="0" w:color="auto"/>
        <w:bottom w:val="none" w:sz="0" w:space="0" w:color="auto"/>
        <w:right w:val="none" w:sz="0" w:space="0" w:color="auto"/>
      </w:divBdr>
    </w:div>
    <w:div w:id="1463382516">
      <w:bodyDiv w:val="1"/>
      <w:marLeft w:val="0"/>
      <w:marRight w:val="0"/>
      <w:marTop w:val="0"/>
      <w:marBottom w:val="0"/>
      <w:divBdr>
        <w:top w:val="none" w:sz="0" w:space="0" w:color="auto"/>
        <w:left w:val="none" w:sz="0" w:space="0" w:color="auto"/>
        <w:bottom w:val="none" w:sz="0" w:space="0" w:color="auto"/>
        <w:right w:val="none" w:sz="0" w:space="0" w:color="auto"/>
      </w:divBdr>
    </w:div>
    <w:div w:id="1626541202">
      <w:bodyDiv w:val="1"/>
      <w:marLeft w:val="0"/>
      <w:marRight w:val="0"/>
      <w:marTop w:val="0"/>
      <w:marBottom w:val="0"/>
      <w:divBdr>
        <w:top w:val="none" w:sz="0" w:space="0" w:color="auto"/>
        <w:left w:val="none" w:sz="0" w:space="0" w:color="auto"/>
        <w:bottom w:val="none" w:sz="0" w:space="0" w:color="auto"/>
        <w:right w:val="none" w:sz="0" w:space="0" w:color="auto"/>
      </w:divBdr>
    </w:div>
    <w:div w:id="1765616135">
      <w:bodyDiv w:val="1"/>
      <w:marLeft w:val="0"/>
      <w:marRight w:val="0"/>
      <w:marTop w:val="0"/>
      <w:marBottom w:val="0"/>
      <w:divBdr>
        <w:top w:val="none" w:sz="0" w:space="0" w:color="auto"/>
        <w:left w:val="none" w:sz="0" w:space="0" w:color="auto"/>
        <w:bottom w:val="none" w:sz="0" w:space="0" w:color="auto"/>
        <w:right w:val="none" w:sz="0" w:space="0" w:color="auto"/>
      </w:divBdr>
    </w:div>
    <w:div w:id="1836453157">
      <w:bodyDiv w:val="1"/>
      <w:marLeft w:val="0"/>
      <w:marRight w:val="0"/>
      <w:marTop w:val="0"/>
      <w:marBottom w:val="0"/>
      <w:divBdr>
        <w:top w:val="none" w:sz="0" w:space="0" w:color="auto"/>
        <w:left w:val="none" w:sz="0" w:space="0" w:color="auto"/>
        <w:bottom w:val="none" w:sz="0" w:space="0" w:color="auto"/>
        <w:right w:val="none" w:sz="0" w:space="0" w:color="auto"/>
      </w:divBdr>
    </w:div>
    <w:div w:id="1961254863">
      <w:bodyDiv w:val="1"/>
      <w:marLeft w:val="0"/>
      <w:marRight w:val="0"/>
      <w:marTop w:val="0"/>
      <w:marBottom w:val="0"/>
      <w:divBdr>
        <w:top w:val="none" w:sz="0" w:space="0" w:color="auto"/>
        <w:left w:val="none" w:sz="0" w:space="0" w:color="auto"/>
        <w:bottom w:val="none" w:sz="0" w:space="0" w:color="auto"/>
        <w:right w:val="none" w:sz="0" w:space="0" w:color="auto"/>
      </w:divBdr>
    </w:div>
    <w:div w:id="20041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WGFHR21-C-0007/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101/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2A5F-4396-4723-B368-03BE6B91B35F}">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1aaea1ea-72e4-4374-b05e-72e2f16fb7ae"/>
    <ds:schemaRef ds:uri="http://schemas.microsoft.com/office/infopath/2007/PartnerControls"/>
    <ds:schemaRef ds:uri="http://purl.org/dc/elements/1.1/"/>
    <ds:schemaRef ds:uri="http://purl.org/dc/terms/"/>
    <ds:schemaRef ds:uri="http://schemas.microsoft.com/sharepoint/v3"/>
    <ds:schemaRef ds:uri="http://purl.org/dc/dcmitype/"/>
  </ds:schemaRefs>
</ds:datastoreItem>
</file>

<file path=customXml/itemProps2.xml><?xml version="1.0" encoding="utf-8"?>
<ds:datastoreItem xmlns:ds="http://schemas.openxmlformats.org/officeDocument/2006/customXml" ds:itemID="{34AA7618-6AD7-4D4E-B925-0FE7BACA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90EF3-2B15-48E6-BB99-162B0A5C876D}">
  <ds:schemaRefs>
    <ds:schemaRef ds:uri="http://schemas.microsoft.com/sharepoint/v3/contenttype/forms"/>
  </ds:schemaRefs>
</ds:datastoreItem>
</file>

<file path=customXml/itemProps4.xml><?xml version="1.0" encoding="utf-8"?>
<ds:datastoreItem xmlns:ds="http://schemas.openxmlformats.org/officeDocument/2006/customXml" ds:itemID="{1A6AAB1F-8CC1-44C7-8B57-084C4306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Contribution by India - Bidding process for hosting ITU conferences</vt:lpstr>
    </vt:vector>
  </TitlesOfParts>
  <Manager/>
  <Company/>
  <LinksUpToDate>false</LinksUpToDate>
  <CharactersWithSpaces>4068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India - Bidding process for hosting ITU conferences</dc:title>
  <dc:subject>ITU Council Working Group on financial and human resources</dc:subject>
  <dc:creator>GBS</dc:creator>
  <cp:keywords>CWG-FHR</cp:keywords>
  <dc:description/>
  <cp:lastModifiedBy>GBS</cp:lastModifiedBy>
  <cp:revision>3</cp:revision>
  <dcterms:created xsi:type="dcterms:W3CDTF">2025-08-27T10:28:00Z</dcterms:created>
  <dcterms:modified xsi:type="dcterms:W3CDTF">2025-08-27T10:30:00Z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0x0101001E46BE2403204D4E844191C3480CD35B</vt:lpwstr>
  </property>
</Properties>
</file>