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BF45CD" w:rsidRPr="00BF45CD" w14:paraId="5F1F81F2" w14:textId="77777777" w:rsidTr="00AD3606">
        <w:trPr>
          <w:cantSplit/>
          <w:trHeight w:val="23"/>
        </w:trPr>
        <w:tc>
          <w:tcPr>
            <w:tcW w:w="3969" w:type="dxa"/>
            <w:vMerge w:val="restart"/>
            <w:tcMar>
              <w:left w:w="0" w:type="dxa"/>
            </w:tcMar>
          </w:tcPr>
          <w:p w14:paraId="16DC1941" w14:textId="77777777" w:rsidR="00AD3606" w:rsidRPr="00BF45C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2D415C7D" w:rsidR="00AD3606" w:rsidRPr="00BF45CD" w:rsidRDefault="00AD3606" w:rsidP="00472BAD">
            <w:pPr>
              <w:tabs>
                <w:tab w:val="left" w:pos="851"/>
              </w:tabs>
              <w:spacing w:before="0" w:line="240" w:lineRule="atLeast"/>
              <w:jc w:val="right"/>
              <w:rPr>
                <w:b/>
                <w:lang w:val="fr-FR"/>
              </w:rPr>
            </w:pPr>
            <w:r w:rsidRPr="00BF45CD">
              <w:rPr>
                <w:b/>
                <w:lang w:val="fr-FR"/>
              </w:rPr>
              <w:t>Document C</w:t>
            </w:r>
            <w:r w:rsidR="00A52C84" w:rsidRPr="00BF45CD">
              <w:rPr>
                <w:b/>
                <w:lang w:val="fr-FR"/>
              </w:rPr>
              <w:t>WG-</w:t>
            </w:r>
            <w:r w:rsidR="000F6AB8" w:rsidRPr="00BF45CD">
              <w:rPr>
                <w:b/>
                <w:lang w:val="fr-FR"/>
              </w:rPr>
              <w:t>FHR</w:t>
            </w:r>
            <w:r w:rsidR="00A52C84" w:rsidRPr="00BF45CD">
              <w:rPr>
                <w:b/>
                <w:lang w:val="fr-FR"/>
              </w:rPr>
              <w:t>-</w:t>
            </w:r>
            <w:r w:rsidR="00101C44" w:rsidRPr="00BF45CD">
              <w:rPr>
                <w:b/>
                <w:lang w:val="fr-FR"/>
              </w:rPr>
              <w:t>21</w:t>
            </w:r>
            <w:r w:rsidR="00301AEE" w:rsidRPr="00BF45CD">
              <w:rPr>
                <w:b/>
                <w:lang w:val="fr-FR"/>
              </w:rPr>
              <w:t>/</w:t>
            </w:r>
            <w:r w:rsidR="008E1BEE">
              <w:rPr>
                <w:b/>
                <w:lang w:val="fr-FR"/>
              </w:rPr>
              <w:t>14</w:t>
            </w:r>
          </w:p>
        </w:tc>
      </w:tr>
      <w:tr w:rsidR="00BF45CD" w:rsidRPr="00BF45CD" w14:paraId="6E85BAE5" w14:textId="77777777" w:rsidTr="00AD3606">
        <w:trPr>
          <w:cantSplit/>
        </w:trPr>
        <w:tc>
          <w:tcPr>
            <w:tcW w:w="3969" w:type="dxa"/>
            <w:vMerge/>
          </w:tcPr>
          <w:p w14:paraId="56C90872" w14:textId="77777777" w:rsidR="00AD3606" w:rsidRPr="00BF45CD"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37865911" w:rsidR="00AD3606" w:rsidRPr="00BF45CD" w:rsidRDefault="008E1BEE" w:rsidP="00AD3606">
            <w:pPr>
              <w:tabs>
                <w:tab w:val="left" w:pos="851"/>
              </w:tabs>
              <w:spacing w:before="0"/>
              <w:jc w:val="right"/>
              <w:rPr>
                <w:b/>
              </w:rPr>
            </w:pPr>
            <w:r>
              <w:rPr>
                <w:b/>
              </w:rPr>
              <w:t>27 August 2025</w:t>
            </w:r>
          </w:p>
        </w:tc>
      </w:tr>
      <w:tr w:rsidR="00BF45CD" w:rsidRPr="00BF45CD" w14:paraId="5CB1986F" w14:textId="77777777" w:rsidTr="00AD3606">
        <w:trPr>
          <w:cantSplit/>
          <w:trHeight w:val="23"/>
        </w:trPr>
        <w:tc>
          <w:tcPr>
            <w:tcW w:w="3969" w:type="dxa"/>
            <w:vMerge/>
          </w:tcPr>
          <w:p w14:paraId="1B5FC4FA" w14:textId="77777777" w:rsidR="00AD3606" w:rsidRPr="00BF45CD"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BF45CD" w:rsidRDefault="00891503" w:rsidP="00AD3606">
            <w:pPr>
              <w:tabs>
                <w:tab w:val="left" w:pos="851"/>
              </w:tabs>
              <w:spacing w:before="0" w:line="240" w:lineRule="atLeast"/>
              <w:jc w:val="right"/>
              <w:rPr>
                <w:b/>
              </w:rPr>
            </w:pPr>
            <w:r w:rsidRPr="00BF45CD">
              <w:rPr>
                <w:b/>
              </w:rPr>
              <w:t>English only</w:t>
            </w:r>
          </w:p>
        </w:tc>
      </w:tr>
      <w:tr w:rsidR="00BF45CD" w:rsidRPr="00BF45CD" w14:paraId="083860DE" w14:textId="77777777" w:rsidTr="00AD3606">
        <w:trPr>
          <w:cantSplit/>
          <w:trHeight w:val="23"/>
        </w:trPr>
        <w:tc>
          <w:tcPr>
            <w:tcW w:w="3969" w:type="dxa"/>
          </w:tcPr>
          <w:p w14:paraId="2431CC24" w14:textId="77777777" w:rsidR="00472BAD" w:rsidRPr="00BF45CD" w:rsidRDefault="00472BAD" w:rsidP="00AD3606">
            <w:pPr>
              <w:tabs>
                <w:tab w:val="left" w:pos="851"/>
              </w:tabs>
              <w:spacing w:line="240" w:lineRule="atLeast"/>
              <w:rPr>
                <w:b/>
              </w:rPr>
            </w:pPr>
          </w:p>
        </w:tc>
        <w:tc>
          <w:tcPr>
            <w:tcW w:w="5245" w:type="dxa"/>
          </w:tcPr>
          <w:p w14:paraId="2571578C" w14:textId="77777777" w:rsidR="00472BAD" w:rsidRPr="00BF45CD" w:rsidRDefault="00472BAD" w:rsidP="00AD3606">
            <w:pPr>
              <w:tabs>
                <w:tab w:val="left" w:pos="851"/>
              </w:tabs>
              <w:spacing w:before="0" w:line="240" w:lineRule="atLeast"/>
              <w:jc w:val="right"/>
              <w:rPr>
                <w:b/>
              </w:rPr>
            </w:pPr>
          </w:p>
        </w:tc>
      </w:tr>
      <w:tr w:rsidR="00BF45CD" w:rsidRPr="00BF45CD" w14:paraId="7FB28110" w14:textId="77777777" w:rsidTr="00AD3606">
        <w:trPr>
          <w:cantSplit/>
        </w:trPr>
        <w:tc>
          <w:tcPr>
            <w:tcW w:w="9214" w:type="dxa"/>
            <w:gridSpan w:val="2"/>
            <w:tcMar>
              <w:left w:w="0" w:type="dxa"/>
            </w:tcMar>
          </w:tcPr>
          <w:p w14:paraId="75E8D14E" w14:textId="0ACCD820" w:rsidR="00AD3606" w:rsidRPr="00BF45CD" w:rsidRDefault="006973C8" w:rsidP="00E4728B">
            <w:pPr>
              <w:pStyle w:val="Source"/>
              <w:framePr w:hSpace="0" w:wrap="auto" w:vAnchor="margin" w:hAnchor="text" w:xAlign="left" w:yAlign="inline"/>
            </w:pPr>
            <w:bookmarkStart w:id="8" w:name="dsource" w:colFirst="0" w:colLast="0"/>
            <w:bookmarkEnd w:id="7"/>
            <w:r w:rsidRPr="00BF45CD">
              <w:t xml:space="preserve">Contribution by </w:t>
            </w:r>
            <w:r w:rsidR="006D5604" w:rsidRPr="00BF45CD">
              <w:t>India (Republic of)</w:t>
            </w:r>
          </w:p>
        </w:tc>
      </w:tr>
      <w:tr w:rsidR="00BF45CD" w:rsidRPr="00BF45CD" w14:paraId="02D4D1B9" w14:textId="77777777" w:rsidTr="00AD3606">
        <w:trPr>
          <w:cantSplit/>
        </w:trPr>
        <w:tc>
          <w:tcPr>
            <w:tcW w:w="9214" w:type="dxa"/>
            <w:gridSpan w:val="2"/>
            <w:tcMar>
              <w:left w:w="0" w:type="dxa"/>
            </w:tcMar>
          </w:tcPr>
          <w:p w14:paraId="7E0E3A05" w14:textId="50B39B13" w:rsidR="00AD3606" w:rsidRPr="00BF45CD" w:rsidRDefault="001C1F3D" w:rsidP="00E4728B">
            <w:pPr>
              <w:pStyle w:val="Subtitle"/>
              <w:framePr w:hSpace="0" w:wrap="auto" w:xAlign="left" w:yAlign="inline"/>
            </w:pPr>
            <w:bookmarkStart w:id="9" w:name="dtitle1" w:colFirst="0" w:colLast="0"/>
            <w:bookmarkEnd w:id="8"/>
            <w:r w:rsidRPr="00BF45CD">
              <w:rPr>
                <w:lang w:val="en-IN"/>
              </w:rPr>
              <w:t>PROPOSAL FOR HOSTING ITU PLENIPOTENTIARY CONFERENCE</w:t>
            </w:r>
            <w:r w:rsidR="008E1BEE">
              <w:rPr>
                <w:lang w:val="en-IN"/>
              </w:rPr>
              <w:t xml:space="preserve"> </w:t>
            </w:r>
            <w:r w:rsidRPr="00BF45CD">
              <w:rPr>
                <w:lang w:val="en-IN"/>
              </w:rPr>
              <w:t>2030 IN INDIA</w:t>
            </w:r>
          </w:p>
        </w:tc>
      </w:tr>
      <w:tr w:rsidR="00BF45CD" w:rsidRPr="00BF45CD"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BF45CD" w:rsidRDefault="00F16BAB" w:rsidP="00F16BAB">
            <w:pPr>
              <w:spacing w:before="160"/>
              <w:rPr>
                <w:b/>
                <w:bCs/>
                <w:sz w:val="26"/>
                <w:szCs w:val="26"/>
              </w:rPr>
            </w:pPr>
            <w:r w:rsidRPr="00BF45CD">
              <w:rPr>
                <w:b/>
                <w:bCs/>
                <w:sz w:val="26"/>
                <w:szCs w:val="26"/>
              </w:rPr>
              <w:t>Purpose</w:t>
            </w:r>
          </w:p>
          <w:p w14:paraId="6224166D" w14:textId="184EE6F0" w:rsidR="00E5556D" w:rsidRPr="00BF45CD" w:rsidRDefault="006D5604" w:rsidP="006D5604">
            <w:pPr>
              <w:jc w:val="both"/>
            </w:pPr>
            <w:r w:rsidRPr="00BF45CD">
              <w:t>This contribution reiterates India’s commitment towards the activities of the International Telecommunication Union. During the ITU Council Session of 2025, India presented the offer to host the ITU Plenipotentiary Conference 2030</w:t>
            </w:r>
            <w:r w:rsidR="006354FC" w:rsidRPr="00BF45CD">
              <w:t xml:space="preserve"> which was welcomed by several Councillors</w:t>
            </w:r>
            <w:r w:rsidR="00E5556D" w:rsidRPr="00BF45CD">
              <w:t>.</w:t>
            </w:r>
          </w:p>
          <w:p w14:paraId="3F9F5C1C" w14:textId="396B55B1" w:rsidR="00AD3606" w:rsidRPr="00BF45CD" w:rsidRDefault="006354FC" w:rsidP="006D5604">
            <w:pPr>
              <w:jc w:val="both"/>
            </w:pPr>
            <w:r w:rsidRPr="00BF45CD">
              <w:t>This contribution is i</w:t>
            </w:r>
            <w:r w:rsidR="00E5556D" w:rsidRPr="00BF45CD">
              <w:t xml:space="preserve">n light of the discussions on the venue of </w:t>
            </w:r>
            <w:r w:rsidRPr="00BF45CD">
              <w:t xml:space="preserve">the </w:t>
            </w:r>
            <w:r w:rsidR="00E5556D" w:rsidRPr="00BF45CD">
              <w:t>WRC</w:t>
            </w:r>
            <w:r w:rsidR="00E5556D" w:rsidRPr="00BF45CD">
              <w:noBreakHyphen/>
              <w:t xml:space="preserve">27 and </w:t>
            </w:r>
            <w:r w:rsidRPr="00BF45CD">
              <w:t xml:space="preserve">the </w:t>
            </w:r>
            <w:r w:rsidR="00E5556D" w:rsidRPr="00BF45CD">
              <w:t>associated events and the Council's decision to develop a formal, collaborative and transparent bidding process for hosting future ITU conferences and for selecting among multiple bid</w:t>
            </w:r>
            <w:r w:rsidRPr="00BF45CD">
              <w:t>s</w:t>
            </w:r>
            <w:r w:rsidR="00E5556D" w:rsidRPr="00BF45CD">
              <w:t>.</w:t>
            </w:r>
            <w:r w:rsidRPr="00BF45CD">
              <w:t xml:space="preserve"> </w:t>
            </w:r>
            <w:r w:rsidR="006D5604" w:rsidRPr="00BF45CD">
              <w:t xml:space="preserve">With this contribution, India would like to </w:t>
            </w:r>
            <w:r w:rsidRPr="00BF45CD">
              <w:t xml:space="preserve">suggest </w:t>
            </w:r>
            <w:r w:rsidR="00E5556D" w:rsidRPr="00BF45CD">
              <w:t xml:space="preserve">that </w:t>
            </w:r>
            <w:r w:rsidR="00FD47B9" w:rsidRPr="00BF45CD">
              <w:t xml:space="preserve">India’s proposal should not be treated as a future bid and should </w:t>
            </w:r>
            <w:r w:rsidR="00F77C7D" w:rsidRPr="00BF45CD">
              <w:t xml:space="preserve">not </w:t>
            </w:r>
            <w:r w:rsidR="00FD47B9" w:rsidRPr="00BF45CD">
              <w:t xml:space="preserve">be </w:t>
            </w:r>
            <w:r w:rsidR="00F77C7D" w:rsidRPr="00BF45CD">
              <w:t>linked with any</w:t>
            </w:r>
            <w:r w:rsidR="00FD47B9" w:rsidRPr="00BF45CD">
              <w:t xml:space="preserve"> </w:t>
            </w:r>
            <w:r w:rsidRPr="00BF45CD">
              <w:t>new process planned to be developed by</w:t>
            </w:r>
            <w:r w:rsidR="00FD47B9" w:rsidRPr="00BF45CD">
              <w:t xml:space="preserve"> </w:t>
            </w:r>
            <w:r w:rsidR="006D5604" w:rsidRPr="00BF45CD">
              <w:t>the</w:t>
            </w:r>
            <w:r w:rsidR="001C1F3D" w:rsidRPr="00BF45CD">
              <w:t xml:space="preserve"> ITU</w:t>
            </w:r>
            <w:r w:rsidR="006D5604" w:rsidRPr="00BF45CD">
              <w:t xml:space="preserve"> CWG-FHR</w:t>
            </w:r>
            <w:r w:rsidR="00FD47B9" w:rsidRPr="00BF45CD">
              <w:t>.</w:t>
            </w:r>
          </w:p>
          <w:p w14:paraId="5F9D7DC7" w14:textId="77777777" w:rsidR="00AD3606" w:rsidRPr="00BF45CD" w:rsidRDefault="00AD3606" w:rsidP="00F16BAB">
            <w:pPr>
              <w:spacing w:before="160"/>
              <w:rPr>
                <w:b/>
                <w:bCs/>
                <w:sz w:val="26"/>
                <w:szCs w:val="26"/>
              </w:rPr>
            </w:pPr>
            <w:r w:rsidRPr="00BF45CD">
              <w:rPr>
                <w:b/>
                <w:bCs/>
                <w:sz w:val="26"/>
                <w:szCs w:val="26"/>
              </w:rPr>
              <w:t>Action required</w:t>
            </w:r>
          </w:p>
          <w:p w14:paraId="6E7CD7CF" w14:textId="7F3F10B1" w:rsidR="00AD3606" w:rsidRPr="00BF45CD" w:rsidRDefault="006973C8" w:rsidP="0089242B">
            <w:pPr>
              <w:jc w:val="both"/>
            </w:pPr>
            <w:r w:rsidRPr="00BF45CD">
              <w:t xml:space="preserve">The Council Working Group on </w:t>
            </w:r>
            <w:r w:rsidR="00F77C7D" w:rsidRPr="00BF45CD">
              <w:t xml:space="preserve">Financial </w:t>
            </w:r>
            <w:r w:rsidRPr="00BF45CD">
              <w:t xml:space="preserve">and </w:t>
            </w:r>
            <w:r w:rsidR="00F77C7D" w:rsidRPr="00BF45CD">
              <w:t xml:space="preserve">Human Resources </w:t>
            </w:r>
            <w:r w:rsidRPr="00BF45CD">
              <w:t xml:space="preserve">is invited to </w:t>
            </w:r>
            <w:r w:rsidR="000E300F" w:rsidRPr="00BF45CD">
              <w:rPr>
                <w:b/>
                <w:bCs/>
              </w:rPr>
              <w:t>consider</w:t>
            </w:r>
            <w:r w:rsidR="001C1F3D" w:rsidRPr="00BF45CD">
              <w:rPr>
                <w:b/>
                <w:bCs/>
              </w:rPr>
              <w:t xml:space="preserve"> </w:t>
            </w:r>
            <w:r w:rsidRPr="00BF45CD">
              <w:t>this document</w:t>
            </w:r>
            <w:r w:rsidR="00FD47B9" w:rsidRPr="00BF45CD">
              <w:t xml:space="preserve"> </w:t>
            </w:r>
            <w:r w:rsidR="006354FC" w:rsidRPr="00BF45CD">
              <w:t xml:space="preserve">seeking </w:t>
            </w:r>
            <w:r w:rsidR="00F77C7D" w:rsidRPr="00BF45CD">
              <w:t>delinking</w:t>
            </w:r>
            <w:r w:rsidR="006354FC" w:rsidRPr="00BF45CD">
              <w:t xml:space="preserve"> of India’s bid from the new process planned to be developed by ITU. The </w:t>
            </w:r>
            <w:r w:rsidR="000456A0" w:rsidRPr="00BF45CD">
              <w:t xml:space="preserve">new </w:t>
            </w:r>
            <w:r w:rsidR="006354FC" w:rsidRPr="00BF45CD">
              <w:t>process should be applicable in a prospective manner for the bids submitted in the future, not for the existing bids.</w:t>
            </w:r>
          </w:p>
          <w:p w14:paraId="46700B46" w14:textId="41A7691F" w:rsidR="00AD3606" w:rsidRPr="00BF45CD" w:rsidRDefault="00AD3606" w:rsidP="00F16BAB">
            <w:pPr>
              <w:spacing w:before="160"/>
              <w:rPr>
                <w:b/>
                <w:bCs/>
                <w:sz w:val="26"/>
                <w:szCs w:val="26"/>
              </w:rPr>
            </w:pPr>
            <w:r w:rsidRPr="00BF45CD">
              <w:rPr>
                <w:b/>
                <w:bCs/>
                <w:sz w:val="26"/>
                <w:szCs w:val="26"/>
              </w:rPr>
              <w:t>References</w:t>
            </w:r>
          </w:p>
          <w:p w14:paraId="536D45A2" w14:textId="2BA390B4" w:rsidR="00AD3606" w:rsidRPr="008E1BEE" w:rsidRDefault="00E5556D" w:rsidP="008E1BEE">
            <w:pPr>
              <w:spacing w:after="160"/>
              <w:rPr>
                <w:bCs/>
                <w:i/>
                <w:iCs/>
                <w:sz w:val="22"/>
                <w:szCs w:val="22"/>
              </w:rPr>
            </w:pPr>
            <w:r w:rsidRPr="008E1BEE">
              <w:rPr>
                <w:bCs/>
                <w:i/>
                <w:iCs/>
                <w:sz w:val="22"/>
                <w:szCs w:val="22"/>
              </w:rPr>
              <w:t xml:space="preserve">ITU council </w:t>
            </w:r>
            <w:r w:rsidR="008E1BEE" w:rsidRPr="008E1BEE">
              <w:rPr>
                <w:bCs/>
                <w:i/>
                <w:iCs/>
                <w:sz w:val="22"/>
                <w:szCs w:val="22"/>
              </w:rPr>
              <w:t>documents</w:t>
            </w:r>
            <w:r w:rsidRPr="008E1BEE">
              <w:rPr>
                <w:bCs/>
                <w:i/>
                <w:iCs/>
                <w:sz w:val="22"/>
                <w:szCs w:val="22"/>
              </w:rPr>
              <w:t xml:space="preserve"> </w:t>
            </w:r>
            <w:hyperlink r:id="rId11" w:history="1">
              <w:r w:rsidRPr="008E1BEE">
                <w:rPr>
                  <w:rStyle w:val="Hyperlink"/>
                  <w:bCs/>
                  <w:i/>
                  <w:iCs/>
                  <w:sz w:val="22"/>
                  <w:szCs w:val="22"/>
                </w:rPr>
                <w:t>C25/19</w:t>
              </w:r>
            </w:hyperlink>
            <w:r w:rsidRPr="008E1BEE">
              <w:rPr>
                <w:bCs/>
                <w:i/>
                <w:iCs/>
                <w:sz w:val="22"/>
                <w:szCs w:val="22"/>
              </w:rPr>
              <w:t xml:space="preserve">, </w:t>
            </w:r>
            <w:hyperlink r:id="rId12" w:history="1">
              <w:r w:rsidRPr="008E1BEE">
                <w:rPr>
                  <w:rStyle w:val="Hyperlink"/>
                  <w:bCs/>
                  <w:i/>
                  <w:iCs/>
                  <w:sz w:val="22"/>
                  <w:szCs w:val="22"/>
                </w:rPr>
                <w:t>C25/73</w:t>
              </w:r>
            </w:hyperlink>
            <w:r w:rsidR="008E1BEE" w:rsidRPr="008E1BEE">
              <w:rPr>
                <w:bCs/>
                <w:i/>
                <w:iCs/>
                <w:sz w:val="22"/>
                <w:szCs w:val="22"/>
              </w:rPr>
              <w:t xml:space="preserve">, and </w:t>
            </w:r>
            <w:hyperlink r:id="rId13" w:history="1">
              <w:r w:rsidR="008E1BEE" w:rsidRPr="008E1BEE">
                <w:rPr>
                  <w:rStyle w:val="Hyperlink"/>
                  <w:bCs/>
                  <w:i/>
                  <w:iCs/>
                  <w:sz w:val="22"/>
                  <w:szCs w:val="22"/>
                </w:rPr>
                <w:t>C25/101 (Rev.1)</w:t>
              </w:r>
            </w:hyperlink>
          </w:p>
        </w:tc>
      </w:tr>
    </w:tbl>
    <w:p w14:paraId="24C96653" w14:textId="77777777" w:rsidR="00E227F3" w:rsidRPr="00BF45C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BEFBF88" w14:textId="6AEE5610" w:rsidR="00101C44" w:rsidRPr="00BF45CD" w:rsidRDefault="0090147A" w:rsidP="008E1BEE">
      <w:pPr>
        <w:tabs>
          <w:tab w:val="clear" w:pos="567"/>
          <w:tab w:val="clear" w:pos="1134"/>
          <w:tab w:val="clear" w:pos="1701"/>
          <w:tab w:val="clear" w:pos="2268"/>
          <w:tab w:val="clear" w:pos="2835"/>
        </w:tabs>
        <w:overflowPunct/>
        <w:autoSpaceDE/>
        <w:autoSpaceDN/>
        <w:adjustRightInd/>
        <w:spacing w:after="120"/>
        <w:textAlignment w:val="auto"/>
        <w:rPr>
          <w:b/>
        </w:rPr>
      </w:pPr>
      <w:r w:rsidRPr="00BF45CD">
        <w:br w:type="page"/>
      </w:r>
      <w:bookmarkEnd w:id="5"/>
      <w:bookmarkEnd w:id="10"/>
      <w:r w:rsidR="00EA2131" w:rsidRPr="00BF45CD">
        <w:rPr>
          <w:b/>
          <w:bCs/>
        </w:rPr>
        <w:t>1</w:t>
      </w:r>
      <w:r w:rsidR="008E1BEE">
        <w:tab/>
      </w:r>
      <w:r w:rsidR="001C1F3D" w:rsidRPr="00BF45CD">
        <w:rPr>
          <w:b/>
          <w:bCs/>
        </w:rPr>
        <w:t>Background</w:t>
      </w:r>
    </w:p>
    <w:p w14:paraId="645DB9D1" w14:textId="1AE6D3A5" w:rsidR="001C1F3D" w:rsidRPr="00BF45CD" w:rsidRDefault="001C1F3D" w:rsidP="008E1BEE">
      <w:pPr>
        <w:tabs>
          <w:tab w:val="clear" w:pos="567"/>
          <w:tab w:val="clear" w:pos="1134"/>
          <w:tab w:val="clear" w:pos="1701"/>
          <w:tab w:val="clear" w:pos="2268"/>
          <w:tab w:val="clear" w:pos="2835"/>
        </w:tabs>
        <w:spacing w:after="120"/>
        <w:ind w:right="9"/>
        <w:jc w:val="both"/>
        <w:rPr>
          <w:lang w:val="en-IN"/>
        </w:rPr>
      </w:pPr>
      <w:r w:rsidRPr="00BF45CD">
        <w:t>India has been an active member of the ITU since 1869, earnestly supporting the development and propagation of telecom in the global community of nations</w:t>
      </w:r>
      <w:r w:rsidR="00A24FA8" w:rsidRPr="00BF45CD">
        <w:rPr>
          <w:lang w:val="en-IN"/>
        </w:rPr>
        <w:t>. India’s active participation in policy formulation underscores its commitment to inclusive global digital growth.</w:t>
      </w:r>
    </w:p>
    <w:p w14:paraId="326F1C54" w14:textId="5C12F765" w:rsidR="000C3B15" w:rsidRPr="00BF45CD" w:rsidRDefault="000C3B15" w:rsidP="008E1BEE">
      <w:pPr>
        <w:tabs>
          <w:tab w:val="clear" w:pos="567"/>
          <w:tab w:val="clear" w:pos="1134"/>
          <w:tab w:val="clear" w:pos="1701"/>
          <w:tab w:val="clear" w:pos="2268"/>
          <w:tab w:val="clear" w:pos="2835"/>
        </w:tabs>
        <w:spacing w:before="240" w:after="120"/>
        <w:ind w:right="9"/>
        <w:jc w:val="both"/>
        <w:rPr>
          <w:lang w:val="en-IN"/>
        </w:rPr>
      </w:pPr>
      <w:r w:rsidRPr="00BF45CD">
        <w:rPr>
          <w:b/>
          <w:bCs/>
          <w:lang w:val="en-IN"/>
        </w:rPr>
        <w:t>1.1</w:t>
      </w:r>
      <w:r w:rsidR="008E1BEE">
        <w:rPr>
          <w:b/>
          <w:bCs/>
          <w:lang w:val="en-IN"/>
        </w:rPr>
        <w:tab/>
      </w:r>
      <w:r w:rsidRPr="00BF45CD">
        <w:rPr>
          <w:b/>
          <w:bCs/>
          <w:lang w:val="en-IN"/>
        </w:rPr>
        <w:t>India’s Commitment to the ITU</w:t>
      </w:r>
    </w:p>
    <w:p w14:paraId="6B9E9BE7" w14:textId="1DE5EEED" w:rsidR="000C3B15" w:rsidRPr="00BF45CD" w:rsidRDefault="000C3B15" w:rsidP="008E1BEE">
      <w:pPr>
        <w:tabs>
          <w:tab w:val="clear" w:pos="567"/>
          <w:tab w:val="clear" w:pos="1134"/>
          <w:tab w:val="clear" w:pos="1701"/>
          <w:tab w:val="clear" w:pos="2268"/>
          <w:tab w:val="clear" w:pos="2835"/>
        </w:tabs>
        <w:spacing w:after="120"/>
        <w:ind w:right="9"/>
        <w:jc w:val="both"/>
        <w:rPr>
          <w:lang w:val="en-IN"/>
        </w:rPr>
      </w:pPr>
      <w:r w:rsidRPr="00BF45CD">
        <w:rPr>
          <w:lang w:val="en-IN"/>
        </w:rPr>
        <w:t xml:space="preserve">India upheld its strong commitment to the ITU by successfully hosting the </w:t>
      </w:r>
      <w:r w:rsidRPr="00BF45CD">
        <w:rPr>
          <w:b/>
          <w:bCs/>
          <w:lang w:val="en-IN"/>
        </w:rPr>
        <w:t>World Telecommunication Standardization Assembly (WTSA) in 2024</w:t>
      </w:r>
      <w:r w:rsidRPr="00BF45CD">
        <w:rPr>
          <w:lang w:val="en-IN"/>
        </w:rPr>
        <w:t xml:space="preserve">, which witnessed the participation of more than 3700 international delegates from </w:t>
      </w:r>
      <w:r w:rsidRPr="00BF45CD">
        <w:rPr>
          <w:b/>
          <w:bCs/>
          <w:lang w:val="en-IN"/>
        </w:rPr>
        <w:t xml:space="preserve">194 </w:t>
      </w:r>
      <w:r w:rsidR="008E1BEE" w:rsidRPr="00BF45CD">
        <w:rPr>
          <w:b/>
          <w:bCs/>
          <w:lang w:val="en-IN"/>
        </w:rPr>
        <w:t>Member States</w:t>
      </w:r>
      <w:r w:rsidR="008E1BEE" w:rsidRPr="00BF45CD">
        <w:rPr>
          <w:lang w:val="en-IN"/>
        </w:rPr>
        <w:t xml:space="preserve"> </w:t>
      </w:r>
      <w:r w:rsidRPr="00BF45CD">
        <w:rPr>
          <w:lang w:val="en-IN"/>
        </w:rPr>
        <w:t xml:space="preserve">including, over </w:t>
      </w:r>
      <w:r w:rsidRPr="00BF45CD">
        <w:rPr>
          <w:b/>
          <w:bCs/>
          <w:lang w:val="en-IN"/>
        </w:rPr>
        <w:t xml:space="preserve">40 </w:t>
      </w:r>
      <w:proofErr w:type="spellStart"/>
      <w:r w:rsidRPr="00BF45CD">
        <w:rPr>
          <w:b/>
          <w:bCs/>
          <w:lang w:val="en-IN"/>
        </w:rPr>
        <w:t>Hon</w:t>
      </w:r>
      <w:r w:rsidR="008E1BEE">
        <w:rPr>
          <w:b/>
          <w:bCs/>
          <w:lang w:val="en-IN"/>
        </w:rPr>
        <w:t>ora</w:t>
      </w:r>
      <w:r w:rsidRPr="00BF45CD">
        <w:rPr>
          <w:b/>
          <w:bCs/>
          <w:lang w:val="en-IN"/>
        </w:rPr>
        <w:t>ble</w:t>
      </w:r>
      <w:proofErr w:type="spellEnd"/>
      <w:r w:rsidRPr="00BF45CD">
        <w:rPr>
          <w:b/>
          <w:bCs/>
          <w:lang w:val="en-IN"/>
        </w:rPr>
        <w:t xml:space="preserve"> Ministers of Communications/ICTs</w:t>
      </w:r>
      <w:r w:rsidRPr="00BF45CD">
        <w:rPr>
          <w:lang w:val="en-IN"/>
        </w:rPr>
        <w:t xml:space="preserve">. The Assembly also saw active engagement from industry leaders, start-ups, innovators, manufacturers, R&amp;D experts, academia, and government representatives. </w:t>
      </w:r>
    </w:p>
    <w:p w14:paraId="3ECFE182" w14:textId="77777777" w:rsidR="000C3B15" w:rsidRPr="00BF45CD" w:rsidRDefault="000C3B15" w:rsidP="008E1BEE">
      <w:pPr>
        <w:tabs>
          <w:tab w:val="clear" w:pos="567"/>
          <w:tab w:val="clear" w:pos="1134"/>
          <w:tab w:val="clear" w:pos="1701"/>
          <w:tab w:val="clear" w:pos="2268"/>
          <w:tab w:val="clear" w:pos="2835"/>
        </w:tabs>
        <w:spacing w:after="120"/>
        <w:ind w:right="9"/>
        <w:jc w:val="both"/>
        <w:rPr>
          <w:lang w:val="en-IN"/>
        </w:rPr>
      </w:pPr>
      <w:r w:rsidRPr="00BF45CD">
        <w:rPr>
          <w:lang w:val="en-IN"/>
        </w:rPr>
        <w:t>WTSA-2024, hosted in India served as a vital global platform to advance dialogue on inclusive ICT standardization, sustainable digital innovation, and emerging technologies—further reinforcing India’s role as a proactive, capable, and trusted partner in global ICT governance.</w:t>
      </w:r>
    </w:p>
    <w:p w14:paraId="480B03FB" w14:textId="77777777" w:rsidR="000C3B15" w:rsidRPr="00BF45CD" w:rsidRDefault="000C3B15" w:rsidP="008E1BEE">
      <w:pPr>
        <w:tabs>
          <w:tab w:val="clear" w:pos="567"/>
          <w:tab w:val="clear" w:pos="1134"/>
          <w:tab w:val="clear" w:pos="1701"/>
          <w:tab w:val="clear" w:pos="2268"/>
          <w:tab w:val="clear" w:pos="2835"/>
        </w:tabs>
        <w:spacing w:after="120"/>
        <w:ind w:right="9"/>
        <w:jc w:val="both"/>
        <w:rPr>
          <w:lang w:val="en-IN"/>
        </w:rPr>
      </w:pPr>
      <w:r w:rsidRPr="00BF45CD">
        <w:rPr>
          <w:lang w:val="en-IN"/>
        </w:rPr>
        <w:t xml:space="preserve">In addition to WTSA-2024, India has a strong track record of successfully hosting other key ITU events, including the </w:t>
      </w:r>
      <w:r w:rsidRPr="00BF45CD">
        <w:rPr>
          <w:b/>
          <w:bCs/>
          <w:lang w:val="en-IN"/>
        </w:rPr>
        <w:t xml:space="preserve">World Telecommunication Development Conference (WTDC-2010), ITU-T SG meetings, Focus Group meetings, </w:t>
      </w:r>
      <w:r w:rsidRPr="008E1BEE">
        <w:rPr>
          <w:lang w:val="en-IN"/>
        </w:rPr>
        <w:t xml:space="preserve">and </w:t>
      </w:r>
      <w:r w:rsidRPr="00BF45CD">
        <w:rPr>
          <w:b/>
          <w:bCs/>
          <w:lang w:val="en-IN"/>
        </w:rPr>
        <w:t>ITU-R Working Party meetings</w:t>
      </w:r>
      <w:r w:rsidRPr="00BF45CD">
        <w:rPr>
          <w:lang w:val="en-IN"/>
        </w:rPr>
        <w:t>, reflecting its deep engagement and leadership across all areas of the Union’s work.</w:t>
      </w:r>
    </w:p>
    <w:p w14:paraId="66D585C6" w14:textId="33A43DC7" w:rsidR="000C3B15" w:rsidRPr="00BF45CD" w:rsidRDefault="000C3B15" w:rsidP="008E1BEE">
      <w:pPr>
        <w:tabs>
          <w:tab w:val="clear" w:pos="567"/>
          <w:tab w:val="clear" w:pos="1134"/>
          <w:tab w:val="clear" w:pos="1701"/>
          <w:tab w:val="clear" w:pos="2268"/>
          <w:tab w:val="clear" w:pos="2835"/>
        </w:tabs>
        <w:spacing w:before="240" w:after="120"/>
        <w:ind w:right="9"/>
        <w:jc w:val="both"/>
        <w:rPr>
          <w:lang w:val="en-IN"/>
        </w:rPr>
      </w:pPr>
      <w:r w:rsidRPr="00BF45CD">
        <w:rPr>
          <w:b/>
          <w:bCs/>
          <w:lang w:val="en-IN"/>
        </w:rPr>
        <w:t>1.2</w:t>
      </w:r>
      <w:r w:rsidR="008E1BEE">
        <w:rPr>
          <w:b/>
          <w:bCs/>
          <w:lang w:val="en-IN"/>
        </w:rPr>
        <w:tab/>
      </w:r>
      <w:r w:rsidRPr="00BF45CD">
        <w:rPr>
          <w:b/>
          <w:bCs/>
          <w:lang w:val="en-IN"/>
        </w:rPr>
        <w:t xml:space="preserve">India’s Vision for the </w:t>
      </w:r>
      <w:r w:rsidR="008E1BEE">
        <w:rPr>
          <w:b/>
          <w:bCs/>
          <w:lang w:val="en-IN"/>
        </w:rPr>
        <w:t xml:space="preserve">2030 </w:t>
      </w:r>
      <w:r w:rsidRPr="00BF45CD">
        <w:rPr>
          <w:b/>
          <w:bCs/>
          <w:lang w:val="en-IN"/>
        </w:rPr>
        <w:t>Plenipotentiary Conference</w:t>
      </w:r>
    </w:p>
    <w:p w14:paraId="2879F7D0" w14:textId="644D4763" w:rsidR="000C3B15" w:rsidRPr="00BF45CD" w:rsidRDefault="000C3B15" w:rsidP="008E1BEE">
      <w:pPr>
        <w:tabs>
          <w:tab w:val="clear" w:pos="567"/>
          <w:tab w:val="clear" w:pos="1134"/>
          <w:tab w:val="clear" w:pos="1701"/>
          <w:tab w:val="clear" w:pos="2268"/>
          <w:tab w:val="clear" w:pos="2835"/>
        </w:tabs>
        <w:spacing w:after="120"/>
        <w:ind w:right="9"/>
        <w:jc w:val="both"/>
        <w:rPr>
          <w:lang w:val="en-IN"/>
        </w:rPr>
      </w:pPr>
      <w:r w:rsidRPr="00BF45CD">
        <w:rPr>
          <w:lang w:val="en-IN"/>
        </w:rPr>
        <w:t xml:space="preserve">India envisions the </w:t>
      </w:r>
      <w:r w:rsidR="008E1BEE" w:rsidRPr="008E1BEE">
        <w:rPr>
          <w:b/>
          <w:bCs/>
          <w:lang w:val="en-IN"/>
        </w:rPr>
        <w:t xml:space="preserve">2030 </w:t>
      </w:r>
      <w:r w:rsidRPr="00BF45CD">
        <w:rPr>
          <w:b/>
          <w:bCs/>
          <w:lang w:val="en-IN"/>
        </w:rPr>
        <w:t>Plenipotentiary Conference</w:t>
      </w:r>
      <w:r w:rsidRPr="008E1BEE">
        <w:rPr>
          <w:lang w:val="en-IN"/>
        </w:rPr>
        <w:t xml:space="preserve"> </w:t>
      </w:r>
      <w:r w:rsidRPr="00BF45CD">
        <w:rPr>
          <w:lang w:val="en-IN"/>
        </w:rPr>
        <w:t>as a milestone event that fosters inclusive dialogue, strategic foresight, and strong multilateral cooperation. With its robust digital infrastructure, expanding innovation ecosystem, and people-centric digital initiatives, India offers an ideal setting for Member States to collectively define the ITU’s future course.</w:t>
      </w:r>
    </w:p>
    <w:p w14:paraId="6A24BC34" w14:textId="77777777" w:rsidR="000C3B15" w:rsidRPr="00BF45CD" w:rsidRDefault="000C3B15" w:rsidP="008E1BEE">
      <w:pPr>
        <w:tabs>
          <w:tab w:val="clear" w:pos="567"/>
          <w:tab w:val="clear" w:pos="1134"/>
          <w:tab w:val="clear" w:pos="1701"/>
          <w:tab w:val="clear" w:pos="2268"/>
          <w:tab w:val="clear" w:pos="2835"/>
        </w:tabs>
        <w:spacing w:after="120"/>
        <w:ind w:right="9"/>
        <w:jc w:val="both"/>
        <w:rPr>
          <w:lang w:val="en-IN"/>
        </w:rPr>
      </w:pPr>
      <w:r w:rsidRPr="00BF45CD">
        <w:rPr>
          <w:lang w:val="en-IN"/>
        </w:rPr>
        <w:t>The proposed venue will feature world-class infrastructure, seamless connectivity, and exceptional hospitality to ensure a productive and enriching experience for all participants. India also aims to showcase its achievements in digital public infrastructure, universal connectivity, and digital inclusion that align with the ITU’s vision and the 2030 Sustainable Development Goals (SDGs).</w:t>
      </w:r>
    </w:p>
    <w:p w14:paraId="64214F0C" w14:textId="345FEF5B" w:rsidR="001C1F3D" w:rsidRPr="00BF45CD" w:rsidRDefault="00BF44AE" w:rsidP="008E1BEE">
      <w:pPr>
        <w:tabs>
          <w:tab w:val="clear" w:pos="567"/>
          <w:tab w:val="clear" w:pos="1134"/>
          <w:tab w:val="clear" w:pos="1701"/>
          <w:tab w:val="clear" w:pos="2268"/>
          <w:tab w:val="clear" w:pos="2835"/>
        </w:tabs>
        <w:spacing w:before="240" w:after="120"/>
        <w:ind w:right="9"/>
        <w:jc w:val="both"/>
        <w:rPr>
          <w:lang w:val="en-IN"/>
        </w:rPr>
      </w:pPr>
      <w:r w:rsidRPr="00BF45CD">
        <w:rPr>
          <w:b/>
          <w:bCs/>
          <w:lang w:val="en-IN"/>
        </w:rPr>
        <w:t>1.</w:t>
      </w:r>
      <w:r w:rsidR="00475B29" w:rsidRPr="00BF45CD">
        <w:rPr>
          <w:b/>
          <w:bCs/>
          <w:lang w:val="en-IN"/>
        </w:rPr>
        <w:t>3</w:t>
      </w:r>
      <w:r w:rsidR="008E1BEE">
        <w:rPr>
          <w:b/>
          <w:bCs/>
          <w:lang w:val="en-IN"/>
        </w:rPr>
        <w:tab/>
      </w:r>
      <w:r w:rsidR="001C1F3D" w:rsidRPr="00BF45CD">
        <w:rPr>
          <w:b/>
          <w:bCs/>
          <w:lang w:val="en-IN"/>
        </w:rPr>
        <w:t xml:space="preserve">India’s Proposal to Host the </w:t>
      </w:r>
      <w:r w:rsidR="008E1BEE">
        <w:rPr>
          <w:b/>
          <w:bCs/>
          <w:lang w:val="en-IN"/>
        </w:rPr>
        <w:t xml:space="preserve">2030 </w:t>
      </w:r>
      <w:r w:rsidR="001C1F3D" w:rsidRPr="00BF45CD">
        <w:rPr>
          <w:b/>
          <w:bCs/>
          <w:lang w:val="en-IN"/>
        </w:rPr>
        <w:t>ITU Plenipotentiary Conference</w:t>
      </w:r>
    </w:p>
    <w:p w14:paraId="463079F3" w14:textId="0DDEBE0D" w:rsidR="004B7521" w:rsidRPr="00BF45CD" w:rsidRDefault="004B7521" w:rsidP="008E1BEE">
      <w:pPr>
        <w:tabs>
          <w:tab w:val="clear" w:pos="567"/>
          <w:tab w:val="clear" w:pos="1134"/>
          <w:tab w:val="clear" w:pos="1701"/>
          <w:tab w:val="clear" w:pos="2268"/>
          <w:tab w:val="clear" w:pos="2835"/>
        </w:tabs>
        <w:spacing w:after="120"/>
        <w:ind w:right="9"/>
        <w:jc w:val="both"/>
        <w:rPr>
          <w:lang w:val="en-IN"/>
        </w:rPr>
      </w:pPr>
      <w:r w:rsidRPr="00BF45CD">
        <w:rPr>
          <w:lang w:val="en-IN"/>
        </w:rPr>
        <w:t xml:space="preserve">India, guided by the spirit of its </w:t>
      </w:r>
      <w:r w:rsidRPr="00BF45CD">
        <w:rPr>
          <w:b/>
          <w:bCs/>
          <w:lang w:val="en-IN"/>
        </w:rPr>
        <w:t>G20 Presidency</w:t>
      </w:r>
      <w:r w:rsidRPr="00BF45CD">
        <w:rPr>
          <w:lang w:val="en-IN"/>
        </w:rPr>
        <w:t xml:space="preserve">, the successful </w:t>
      </w:r>
      <w:r w:rsidR="00F77C7D" w:rsidRPr="00BF45CD">
        <w:rPr>
          <w:lang w:val="en-IN"/>
        </w:rPr>
        <w:t>hosting</w:t>
      </w:r>
      <w:r w:rsidRPr="00BF45CD">
        <w:rPr>
          <w:lang w:val="en-IN"/>
        </w:rPr>
        <w:t xml:space="preserve"> of </w:t>
      </w:r>
      <w:r w:rsidRPr="00BF45CD">
        <w:rPr>
          <w:b/>
          <w:bCs/>
          <w:lang w:val="en-IN"/>
        </w:rPr>
        <w:t>WTSA-2024</w:t>
      </w:r>
      <w:r w:rsidRPr="00BF45CD">
        <w:rPr>
          <w:lang w:val="en-IN"/>
        </w:rPr>
        <w:t xml:space="preserve">, and the enduring philosophy of </w:t>
      </w:r>
      <w:proofErr w:type="spellStart"/>
      <w:r w:rsidRPr="00BF45CD">
        <w:rPr>
          <w:i/>
          <w:iCs/>
          <w:lang w:val="en-IN"/>
        </w:rPr>
        <w:t>Vasudhaiva</w:t>
      </w:r>
      <w:proofErr w:type="spellEnd"/>
      <w:r w:rsidRPr="00BF45CD">
        <w:rPr>
          <w:i/>
          <w:iCs/>
          <w:lang w:val="en-IN"/>
        </w:rPr>
        <w:t xml:space="preserve"> </w:t>
      </w:r>
      <w:proofErr w:type="spellStart"/>
      <w:r w:rsidRPr="00BF45CD">
        <w:rPr>
          <w:i/>
          <w:iCs/>
          <w:lang w:val="en-IN"/>
        </w:rPr>
        <w:t>Kutumbakam</w:t>
      </w:r>
      <w:proofErr w:type="spellEnd"/>
      <w:r w:rsidRPr="00BF45CD">
        <w:rPr>
          <w:lang w:val="en-IN"/>
        </w:rPr>
        <w:t xml:space="preserve"> — </w:t>
      </w:r>
      <w:r w:rsidRPr="00BF45CD">
        <w:rPr>
          <w:i/>
          <w:iCs/>
          <w:lang w:val="en-IN"/>
        </w:rPr>
        <w:t>One Earth, One Family, One Future</w:t>
      </w:r>
      <w:r w:rsidRPr="00BF45CD">
        <w:rPr>
          <w:lang w:val="en-IN"/>
        </w:rPr>
        <w:t xml:space="preserve">, presented the proposal to </w:t>
      </w:r>
      <w:r w:rsidRPr="00BF45CD">
        <w:rPr>
          <w:b/>
          <w:bCs/>
          <w:lang w:val="en-IN"/>
        </w:rPr>
        <w:t xml:space="preserve">host the </w:t>
      </w:r>
      <w:r w:rsidR="008E1BEE">
        <w:rPr>
          <w:b/>
          <w:bCs/>
          <w:lang w:val="en-IN"/>
        </w:rPr>
        <w:t xml:space="preserve">2030 </w:t>
      </w:r>
      <w:r w:rsidRPr="00BF45CD">
        <w:rPr>
          <w:b/>
          <w:bCs/>
          <w:lang w:val="en-IN"/>
        </w:rPr>
        <w:t>ITU Plenipotentiary Conference</w:t>
      </w:r>
      <w:r w:rsidRPr="00BF45CD">
        <w:rPr>
          <w:lang w:val="en-IN"/>
        </w:rPr>
        <w:t>.</w:t>
      </w:r>
    </w:p>
    <w:p w14:paraId="5D86FDF6" w14:textId="623A580B" w:rsidR="00FD47B9" w:rsidRPr="00BF45CD" w:rsidRDefault="00A24FA8" w:rsidP="008E1BEE">
      <w:pPr>
        <w:tabs>
          <w:tab w:val="clear" w:pos="567"/>
          <w:tab w:val="clear" w:pos="1134"/>
          <w:tab w:val="clear" w:pos="1701"/>
          <w:tab w:val="clear" w:pos="2268"/>
          <w:tab w:val="clear" w:pos="2835"/>
        </w:tabs>
        <w:spacing w:after="120"/>
        <w:ind w:right="9"/>
        <w:jc w:val="both"/>
      </w:pPr>
      <w:r w:rsidRPr="00BF45CD">
        <w:rPr>
          <w:lang w:val="en-IN"/>
        </w:rPr>
        <w:t>An Expression of Interest</w:t>
      </w:r>
      <w:r w:rsidR="008F59A8" w:rsidRPr="00BF45CD">
        <w:rPr>
          <w:lang w:val="en-IN"/>
        </w:rPr>
        <w:t xml:space="preserve"> in this regard</w:t>
      </w:r>
      <w:r w:rsidRPr="00BF45CD">
        <w:rPr>
          <w:lang w:val="en-IN"/>
        </w:rPr>
        <w:t xml:space="preserve"> was submitted to ITU </w:t>
      </w:r>
      <w:r w:rsidR="006354FC" w:rsidRPr="00BF45CD">
        <w:rPr>
          <w:lang w:val="en-IN"/>
        </w:rPr>
        <w:t>on 19th</w:t>
      </w:r>
      <w:r w:rsidRPr="00BF45CD">
        <w:rPr>
          <w:lang w:val="en-IN"/>
        </w:rPr>
        <w:t xml:space="preserve"> November 2024</w:t>
      </w:r>
      <w:r w:rsidR="00907083" w:rsidRPr="00BF45CD">
        <w:rPr>
          <w:lang w:val="en-IN"/>
        </w:rPr>
        <w:t>,</w:t>
      </w:r>
      <w:r w:rsidRPr="00BF45CD">
        <w:rPr>
          <w:lang w:val="en-IN"/>
        </w:rPr>
        <w:t xml:space="preserve"> and the formal</w:t>
      </w:r>
      <w:r w:rsidR="004B7521" w:rsidRPr="00BF45CD">
        <w:rPr>
          <w:lang w:val="en-IN"/>
        </w:rPr>
        <w:t xml:space="preserve"> proposal was presented during the 2025 ITU Council Session</w:t>
      </w:r>
      <w:r w:rsidR="00FD47B9" w:rsidRPr="00BF45CD">
        <w:rPr>
          <w:lang w:val="en-IN"/>
        </w:rPr>
        <w:t>.</w:t>
      </w:r>
      <w:r w:rsidR="006354FC" w:rsidRPr="00BF45CD">
        <w:rPr>
          <w:lang w:val="en-IN"/>
        </w:rPr>
        <w:t xml:space="preserve"> The</w:t>
      </w:r>
      <w:r w:rsidR="00FD47B9" w:rsidRPr="00BF45CD">
        <w:rPr>
          <w:lang w:val="en-IN"/>
        </w:rPr>
        <w:t xml:space="preserve"> </w:t>
      </w:r>
      <w:r w:rsidR="00FD47B9" w:rsidRPr="00BF45CD">
        <w:t xml:space="preserve">Councillors welcomed the kind invitation from the Government of India and recalled </w:t>
      </w:r>
      <w:r w:rsidR="006354FC" w:rsidRPr="00BF45CD">
        <w:t>the</w:t>
      </w:r>
      <w:r w:rsidR="00FD47B9" w:rsidRPr="00BF45CD">
        <w:t xml:space="preserve"> highly successful hosting of</w:t>
      </w:r>
      <w:r w:rsidR="006354FC" w:rsidRPr="00BF45CD">
        <w:t xml:space="preserve"> the</w:t>
      </w:r>
      <w:r w:rsidR="00FD47B9" w:rsidRPr="00BF45CD">
        <w:t xml:space="preserve"> WTSA</w:t>
      </w:r>
      <w:r w:rsidR="00FD47B9" w:rsidRPr="00BF45CD">
        <w:noBreakHyphen/>
        <w:t>24.</w:t>
      </w:r>
    </w:p>
    <w:p w14:paraId="3F69493E" w14:textId="3F8976CB" w:rsidR="00907083" w:rsidRPr="00BF45CD" w:rsidRDefault="008F59A8" w:rsidP="008E1BEE">
      <w:pPr>
        <w:tabs>
          <w:tab w:val="clear" w:pos="567"/>
          <w:tab w:val="clear" w:pos="1134"/>
          <w:tab w:val="clear" w:pos="1701"/>
          <w:tab w:val="clear" w:pos="2268"/>
          <w:tab w:val="clear" w:pos="2835"/>
        </w:tabs>
        <w:spacing w:after="120"/>
        <w:ind w:right="9"/>
        <w:jc w:val="both"/>
        <w:rPr>
          <w:szCs w:val="24"/>
        </w:rPr>
      </w:pPr>
      <w:r w:rsidRPr="008E1BEE">
        <w:rPr>
          <w:spacing w:val="2"/>
          <w:lang w:val="en-IN"/>
        </w:rPr>
        <w:t>The unprecedented situation preceding ITU Council 2025, when a second bid for hosting WRC-27</w:t>
      </w:r>
      <w:r w:rsidRPr="00BF45CD">
        <w:rPr>
          <w:lang w:val="en-IN"/>
        </w:rPr>
        <w:t xml:space="preserve"> was received, has prompted t</w:t>
      </w:r>
      <w:r w:rsidR="00A24FA8" w:rsidRPr="00BF45CD">
        <w:rPr>
          <w:lang w:val="en-IN"/>
        </w:rPr>
        <w:t xml:space="preserve">he Member States </w:t>
      </w:r>
      <w:r w:rsidRPr="00BF45CD">
        <w:rPr>
          <w:lang w:val="en-IN"/>
        </w:rPr>
        <w:t>to discuss</w:t>
      </w:r>
      <w:r w:rsidR="00A24FA8" w:rsidRPr="00BF45CD">
        <w:rPr>
          <w:lang w:val="en-IN"/>
        </w:rPr>
        <w:t xml:space="preserve"> the need </w:t>
      </w:r>
      <w:proofErr w:type="spellStart"/>
      <w:r w:rsidR="00A24FA8" w:rsidRPr="00BF45CD">
        <w:rPr>
          <w:lang w:val="en-IN"/>
        </w:rPr>
        <w:t>fo</w:t>
      </w:r>
      <w:proofErr w:type="spellEnd"/>
      <w:r w:rsidR="00A24FA8" w:rsidRPr="00BF45CD">
        <w:t>r the development of a formal, collaborative, and transparent bidding process for hosting future ITU conferences</w:t>
      </w:r>
      <w:r w:rsidR="00BA534C" w:rsidRPr="00BF45CD">
        <w:t xml:space="preserve"> and for selecting among multiple bids</w:t>
      </w:r>
      <w:r w:rsidR="00BE433C" w:rsidRPr="00BF45CD">
        <w:t xml:space="preserve">, </w:t>
      </w:r>
      <w:r w:rsidR="0044380F" w:rsidRPr="00BF45CD">
        <w:rPr>
          <w:szCs w:val="24"/>
        </w:rPr>
        <w:t>the Chair proposed that the Council Working Group on financial and human resources to take up that task</w:t>
      </w:r>
      <w:r w:rsidR="00475B29" w:rsidRPr="00BF45CD">
        <w:rPr>
          <w:szCs w:val="24"/>
        </w:rPr>
        <w:t>.</w:t>
      </w:r>
    </w:p>
    <w:p w14:paraId="20AB0909" w14:textId="77777777" w:rsidR="00475B29" w:rsidRPr="00BF45CD" w:rsidRDefault="00475B29" w:rsidP="008E1BEE">
      <w:pPr>
        <w:tabs>
          <w:tab w:val="clear" w:pos="567"/>
          <w:tab w:val="clear" w:pos="1134"/>
          <w:tab w:val="clear" w:pos="1701"/>
          <w:tab w:val="clear" w:pos="2268"/>
          <w:tab w:val="clear" w:pos="2835"/>
        </w:tabs>
        <w:spacing w:after="120"/>
        <w:jc w:val="both"/>
      </w:pPr>
      <w:r w:rsidRPr="00BF45CD">
        <w:t xml:space="preserve">The ITU Council has </w:t>
      </w:r>
      <w:r w:rsidRPr="00BF45CD">
        <w:rPr>
          <w:b/>
          <w:bCs/>
        </w:rPr>
        <w:t>noted</w:t>
      </w:r>
      <w:r w:rsidRPr="00BF45CD">
        <w:t xml:space="preserve"> the invitation from the Government of India to host PP</w:t>
      </w:r>
      <w:r w:rsidRPr="00BF45CD">
        <w:noBreakHyphen/>
        <w:t xml:space="preserve">30, as contained in Document C25/19. </w:t>
      </w:r>
    </w:p>
    <w:p w14:paraId="577A3670" w14:textId="22BD5028" w:rsidR="00B250E6" w:rsidRPr="00BF45CD" w:rsidRDefault="00B250E6" w:rsidP="008E1BEE">
      <w:pPr>
        <w:tabs>
          <w:tab w:val="clear" w:pos="567"/>
          <w:tab w:val="clear" w:pos="1134"/>
          <w:tab w:val="clear" w:pos="1701"/>
          <w:tab w:val="clear" w:pos="2268"/>
          <w:tab w:val="clear" w:pos="2835"/>
        </w:tabs>
        <w:spacing w:before="360" w:after="120"/>
        <w:ind w:right="9"/>
        <w:jc w:val="both"/>
        <w:rPr>
          <w:b/>
          <w:bCs/>
        </w:rPr>
      </w:pPr>
      <w:r w:rsidRPr="00BF45CD">
        <w:rPr>
          <w:b/>
          <w:bCs/>
          <w:szCs w:val="24"/>
        </w:rPr>
        <w:t>2</w:t>
      </w:r>
      <w:r w:rsidR="008E1BEE">
        <w:rPr>
          <w:b/>
          <w:bCs/>
          <w:szCs w:val="24"/>
        </w:rPr>
        <w:tab/>
      </w:r>
      <w:r w:rsidRPr="00BF45CD">
        <w:rPr>
          <w:b/>
          <w:bCs/>
          <w:szCs w:val="24"/>
        </w:rPr>
        <w:t xml:space="preserve">Proposal to </w:t>
      </w:r>
      <w:r w:rsidR="000C3B15" w:rsidRPr="00BF45CD">
        <w:rPr>
          <w:b/>
          <w:bCs/>
          <w:szCs w:val="24"/>
        </w:rPr>
        <w:t>CWG-FHR</w:t>
      </w:r>
    </w:p>
    <w:p w14:paraId="1AF8A2DC" w14:textId="77777777" w:rsidR="00907083" w:rsidRPr="00BF45CD" w:rsidRDefault="00465013" w:rsidP="008E1BEE">
      <w:pPr>
        <w:tabs>
          <w:tab w:val="clear" w:pos="567"/>
          <w:tab w:val="clear" w:pos="1134"/>
          <w:tab w:val="clear" w:pos="1701"/>
          <w:tab w:val="clear" w:pos="2268"/>
          <w:tab w:val="clear" w:pos="2835"/>
        </w:tabs>
        <w:spacing w:after="120"/>
        <w:ind w:right="9"/>
        <w:jc w:val="both"/>
      </w:pPr>
      <w:r w:rsidRPr="00BF45CD">
        <w:t>The circumstances surrounding WRC-27 were exceptional and should not be conflated with India's invitation to host PP</w:t>
      </w:r>
      <w:r w:rsidRPr="00BF45CD">
        <w:noBreakHyphen/>
        <w:t xml:space="preserve">30. </w:t>
      </w:r>
    </w:p>
    <w:p w14:paraId="2E15AA58" w14:textId="6B930530" w:rsidR="00475B29" w:rsidRPr="00BF45CD" w:rsidRDefault="00475B29" w:rsidP="008E1BEE">
      <w:pPr>
        <w:tabs>
          <w:tab w:val="clear" w:pos="567"/>
          <w:tab w:val="clear" w:pos="1134"/>
          <w:tab w:val="clear" w:pos="1701"/>
          <w:tab w:val="clear" w:pos="2268"/>
          <w:tab w:val="clear" w:pos="2835"/>
        </w:tabs>
        <w:spacing w:after="120"/>
        <w:ind w:right="9"/>
        <w:jc w:val="both"/>
      </w:pPr>
      <w:r w:rsidRPr="00BF45CD">
        <w:t xml:space="preserve">It is important to note that </w:t>
      </w:r>
      <w:r w:rsidR="00F77C7D" w:rsidRPr="00BF45CD">
        <w:t>organising</w:t>
      </w:r>
      <w:r w:rsidRPr="00BF45CD">
        <w:t xml:space="preserve"> large conferences</w:t>
      </w:r>
      <w:r w:rsidR="00F77C7D" w:rsidRPr="00BF45CD">
        <w:t>,</w:t>
      </w:r>
      <w:r w:rsidRPr="00BF45CD">
        <w:t xml:space="preserve"> such as the ITU Plenipotentiary Conference requires meticulous planning and coordination among several units of an administration. Advanced planning in these aspects is crucial for the success of such events. The organisers need predictability to ensure that all aspects are taken care </w:t>
      </w:r>
      <w:proofErr w:type="gramStart"/>
      <w:r w:rsidRPr="00BF45CD">
        <w:t>of</w:t>
      </w:r>
      <w:proofErr w:type="gramEnd"/>
      <w:r w:rsidRPr="00BF45CD">
        <w:t xml:space="preserve"> and the guests are well served.</w:t>
      </w:r>
    </w:p>
    <w:p w14:paraId="08BE870B" w14:textId="7DD87871" w:rsidR="00C723D4" w:rsidRPr="00BF45CD" w:rsidRDefault="00F77C7D" w:rsidP="008E1BEE">
      <w:pPr>
        <w:tabs>
          <w:tab w:val="clear" w:pos="567"/>
          <w:tab w:val="clear" w:pos="1134"/>
          <w:tab w:val="clear" w:pos="1701"/>
          <w:tab w:val="clear" w:pos="2268"/>
          <w:tab w:val="clear" w:pos="2835"/>
        </w:tabs>
        <w:spacing w:after="120"/>
        <w:ind w:right="9"/>
        <w:jc w:val="both"/>
      </w:pPr>
      <w:r w:rsidRPr="00BF45CD">
        <w:t xml:space="preserve">As the </w:t>
      </w:r>
      <w:r w:rsidR="00B94A52" w:rsidRPr="00BF45CD">
        <w:t xml:space="preserve">formation and finalisation of a new process </w:t>
      </w:r>
      <w:r w:rsidRPr="00BF45CD">
        <w:t>would</w:t>
      </w:r>
      <w:r w:rsidR="00B94A52" w:rsidRPr="00BF45CD">
        <w:t xml:space="preserve"> take time, ho</w:t>
      </w:r>
      <w:r w:rsidRPr="00BF45CD">
        <w:t>lding the already submitted bid</w:t>
      </w:r>
      <w:r w:rsidR="00B94A52" w:rsidRPr="00BF45CD">
        <w:t xml:space="preserve"> in ‘undecided’ state only increase</w:t>
      </w:r>
      <w:r w:rsidRPr="00BF45CD">
        <w:t>s</w:t>
      </w:r>
      <w:r w:rsidR="00B94A52" w:rsidRPr="00BF45CD">
        <w:t xml:space="preserve"> the uncertainty for the host administration. </w:t>
      </w:r>
    </w:p>
    <w:p w14:paraId="27B3E3D1" w14:textId="7E0B1DB3" w:rsidR="00465013" w:rsidRPr="00BF45CD" w:rsidRDefault="00C723D4" w:rsidP="008E1BEE">
      <w:pPr>
        <w:tabs>
          <w:tab w:val="clear" w:pos="567"/>
          <w:tab w:val="clear" w:pos="1134"/>
          <w:tab w:val="clear" w:pos="1701"/>
          <w:tab w:val="clear" w:pos="2268"/>
          <w:tab w:val="clear" w:pos="2835"/>
        </w:tabs>
        <w:spacing w:after="120"/>
        <w:ind w:right="9"/>
        <w:jc w:val="both"/>
      </w:pPr>
      <w:r w:rsidRPr="00BF45CD">
        <w:t>Further</w:t>
      </w:r>
      <w:r w:rsidR="00FA3744" w:rsidRPr="00BF45CD">
        <w:t>,</w:t>
      </w:r>
      <w:r w:rsidRPr="00BF45CD">
        <w:t xml:space="preserve"> </w:t>
      </w:r>
      <w:r w:rsidR="006354FC" w:rsidRPr="00BF45CD">
        <w:t>India’s proposal</w:t>
      </w:r>
      <w:r w:rsidR="00465013" w:rsidRPr="00BF45CD">
        <w:t xml:space="preserve"> </w:t>
      </w:r>
      <w:r w:rsidR="00FA3744" w:rsidRPr="00BF45CD">
        <w:t>cannot</w:t>
      </w:r>
      <w:r w:rsidR="00465013" w:rsidRPr="00BF45CD">
        <w:t xml:space="preserve"> be treated as a future bid </w:t>
      </w:r>
      <w:r w:rsidR="006354FC" w:rsidRPr="00BF45CD">
        <w:t>and should not</w:t>
      </w:r>
      <w:r w:rsidR="00465013" w:rsidRPr="00BF45CD">
        <w:t xml:space="preserve"> be linked with </w:t>
      </w:r>
      <w:r w:rsidR="00F77C7D" w:rsidRPr="00BF45CD">
        <w:t>a later</w:t>
      </w:r>
      <w:r w:rsidR="00465013" w:rsidRPr="00BF45CD">
        <w:t xml:space="preserve"> decision </w:t>
      </w:r>
      <w:r w:rsidR="00F77C7D" w:rsidRPr="00BF45CD">
        <w:t xml:space="preserve">of the Council </w:t>
      </w:r>
      <w:r w:rsidR="00465013" w:rsidRPr="00BF45CD">
        <w:t>to develop a formal bidding process for hosting future ITU conferences and for selecting among multiple bids.</w:t>
      </w:r>
      <w:r w:rsidR="00F77C7D" w:rsidRPr="00BF45CD">
        <w:t xml:space="preserve"> It is also Pertinent to note that presently there are no other offers to host the PP</w:t>
      </w:r>
      <w:r w:rsidR="008E1BEE">
        <w:t>-</w:t>
      </w:r>
      <w:r w:rsidR="00F77C7D" w:rsidRPr="00BF45CD">
        <w:t>30 and India’s offer is the only bid and a situation like the WRC-27 is not there.</w:t>
      </w:r>
    </w:p>
    <w:p w14:paraId="2EC21CF9" w14:textId="0E0B50E7" w:rsidR="00465013" w:rsidRPr="00BF45CD" w:rsidRDefault="00465013" w:rsidP="008E1BEE">
      <w:pPr>
        <w:tabs>
          <w:tab w:val="clear" w:pos="567"/>
          <w:tab w:val="clear" w:pos="1134"/>
          <w:tab w:val="clear" w:pos="1701"/>
          <w:tab w:val="clear" w:pos="2268"/>
          <w:tab w:val="clear" w:pos="2835"/>
        </w:tabs>
        <w:spacing w:after="120"/>
        <w:ind w:right="9"/>
        <w:jc w:val="both"/>
      </w:pPr>
      <w:r w:rsidRPr="00BF45CD">
        <w:t>India ha</w:t>
      </w:r>
      <w:r w:rsidR="003459D6" w:rsidRPr="00BF45CD">
        <w:t>s</w:t>
      </w:r>
      <w:r w:rsidRPr="00BF45CD">
        <w:t xml:space="preserve"> a deep and rich experience of hosting United Nations events</w:t>
      </w:r>
      <w:r w:rsidR="003459D6" w:rsidRPr="00BF45CD">
        <w:t xml:space="preserve"> along with the</w:t>
      </w:r>
      <w:r w:rsidRPr="00BF45CD">
        <w:t xml:space="preserve"> appropriate infrastructure and st</w:t>
      </w:r>
      <w:r w:rsidR="003459D6" w:rsidRPr="00BF45CD">
        <w:t>ands</w:t>
      </w:r>
      <w:r w:rsidRPr="00BF45CD">
        <w:t xml:space="preserve"> ready to welcome representatives from every Member State. </w:t>
      </w:r>
    </w:p>
    <w:p w14:paraId="1C228F93" w14:textId="0CB746C0" w:rsidR="004B7521" w:rsidRPr="00BF45CD" w:rsidRDefault="004B7521" w:rsidP="008E1BEE">
      <w:pPr>
        <w:tabs>
          <w:tab w:val="clear" w:pos="567"/>
          <w:tab w:val="clear" w:pos="1134"/>
          <w:tab w:val="clear" w:pos="1701"/>
          <w:tab w:val="clear" w:pos="2268"/>
          <w:tab w:val="clear" w:pos="2835"/>
        </w:tabs>
        <w:spacing w:after="120"/>
        <w:ind w:right="9"/>
        <w:jc w:val="both"/>
        <w:rPr>
          <w:lang w:val="en-IN"/>
        </w:rPr>
      </w:pPr>
      <w:r w:rsidRPr="00BF45CD">
        <w:rPr>
          <w:lang w:val="en-IN"/>
        </w:rPr>
        <w:t>India takes this opportunity to reaffirm the Member States of its capabilities and willingness to host the conference of ITU’s highest policy-making body.</w:t>
      </w:r>
    </w:p>
    <w:p w14:paraId="507694A2" w14:textId="54C9F86C" w:rsidR="00362A2E" w:rsidRPr="00BF45CD" w:rsidRDefault="00362A2E" w:rsidP="008E1BEE">
      <w:pPr>
        <w:tabs>
          <w:tab w:val="clear" w:pos="567"/>
          <w:tab w:val="clear" w:pos="1134"/>
          <w:tab w:val="clear" w:pos="1701"/>
          <w:tab w:val="clear" w:pos="2268"/>
          <w:tab w:val="clear" w:pos="2835"/>
        </w:tabs>
        <w:spacing w:after="120"/>
        <w:jc w:val="both"/>
      </w:pPr>
      <w:r w:rsidRPr="00BF45CD">
        <w:t>In view of above, it is requested that India’s proposal should not be treated as a future bid and should not be linked with any new process planned to be developed by the ITU CWG-FHR.</w:t>
      </w:r>
    </w:p>
    <w:p w14:paraId="4A5E0C4D" w14:textId="01C30F57" w:rsidR="001C1F3D" w:rsidRPr="00BF45CD" w:rsidRDefault="0049655B" w:rsidP="008E1BEE">
      <w:pPr>
        <w:tabs>
          <w:tab w:val="clear" w:pos="567"/>
          <w:tab w:val="clear" w:pos="1134"/>
          <w:tab w:val="clear" w:pos="1701"/>
          <w:tab w:val="clear" w:pos="2268"/>
          <w:tab w:val="clear" w:pos="2835"/>
        </w:tabs>
        <w:spacing w:before="360" w:after="120"/>
        <w:ind w:right="9"/>
        <w:jc w:val="both"/>
        <w:rPr>
          <w:lang w:val="en-IN"/>
        </w:rPr>
      </w:pPr>
      <w:r w:rsidRPr="00BF45CD">
        <w:rPr>
          <w:b/>
          <w:bCs/>
          <w:lang w:val="en-IN"/>
        </w:rPr>
        <w:t>3</w:t>
      </w:r>
      <w:r w:rsidR="008E1BEE">
        <w:rPr>
          <w:b/>
          <w:bCs/>
          <w:lang w:val="en-IN"/>
        </w:rPr>
        <w:tab/>
      </w:r>
      <w:r w:rsidR="00465013" w:rsidRPr="00BF45CD">
        <w:rPr>
          <w:b/>
          <w:bCs/>
          <w:lang w:val="en-IN"/>
        </w:rPr>
        <w:t>Action required from CWG-FHR</w:t>
      </w:r>
    </w:p>
    <w:p w14:paraId="2F11ABD6" w14:textId="0B7F69B8" w:rsidR="00EE1404" w:rsidRPr="00BF45CD" w:rsidRDefault="003B23CF" w:rsidP="008E1BEE">
      <w:pPr>
        <w:tabs>
          <w:tab w:val="clear" w:pos="567"/>
          <w:tab w:val="clear" w:pos="1134"/>
          <w:tab w:val="clear" w:pos="1701"/>
          <w:tab w:val="clear" w:pos="2268"/>
          <w:tab w:val="clear" w:pos="2835"/>
        </w:tabs>
        <w:spacing w:after="120"/>
        <w:jc w:val="both"/>
      </w:pPr>
      <w:r w:rsidRPr="00BF45CD">
        <w:t xml:space="preserve">The Council Working Group on </w:t>
      </w:r>
      <w:r w:rsidR="003459D6" w:rsidRPr="00BF45CD">
        <w:t>F</w:t>
      </w:r>
      <w:r w:rsidRPr="00BF45CD">
        <w:t xml:space="preserve">inancial and </w:t>
      </w:r>
      <w:r w:rsidR="003459D6" w:rsidRPr="00BF45CD">
        <w:t>H</w:t>
      </w:r>
      <w:r w:rsidRPr="00BF45CD">
        <w:t xml:space="preserve">uman </w:t>
      </w:r>
      <w:r w:rsidR="003459D6" w:rsidRPr="00BF45CD">
        <w:t>R</w:t>
      </w:r>
      <w:r w:rsidRPr="00BF45CD">
        <w:t xml:space="preserve">esources is requested to </w:t>
      </w:r>
      <w:r w:rsidR="00817192" w:rsidRPr="00BF45CD">
        <w:t>not link</w:t>
      </w:r>
      <w:r w:rsidRPr="00BF45CD">
        <w:rPr>
          <w:b/>
          <w:bCs/>
        </w:rPr>
        <w:t xml:space="preserve"> </w:t>
      </w:r>
      <w:r w:rsidRPr="00BF45CD">
        <w:t xml:space="preserve">India’s proposal </w:t>
      </w:r>
      <w:r w:rsidR="003459D6" w:rsidRPr="00BF45CD">
        <w:t>from the new process proposed to be developed by ITU.</w:t>
      </w:r>
      <w:r w:rsidRPr="00BF45CD">
        <w:t xml:space="preserve"> </w:t>
      </w:r>
      <w:r w:rsidR="00EE1404" w:rsidRPr="00BF45CD">
        <w:t>The new process should be applicable in a prospective manner for the bids submitted in the future, not for the existing bids.</w:t>
      </w:r>
    </w:p>
    <w:p w14:paraId="69D7025F" w14:textId="74B5B0C8" w:rsidR="00101C44" w:rsidRPr="00BF45CD" w:rsidRDefault="00101C44" w:rsidP="00101C44">
      <w:pPr>
        <w:jc w:val="center"/>
      </w:pPr>
      <w:r w:rsidRPr="00BF45CD">
        <w:t>______________</w:t>
      </w:r>
    </w:p>
    <w:sectPr w:rsidR="00101C44" w:rsidRPr="00BF45CD" w:rsidSect="00EA2131">
      <w:footerReference w:type="default" r:id="rId14"/>
      <w:headerReference w:type="first" r:id="rId15"/>
      <w:footerReference w:type="first" r:id="rId16"/>
      <w:pgSz w:w="11907" w:h="16834"/>
      <w:pgMar w:top="1418" w:right="1418" w:bottom="1701"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98AA" w14:textId="77777777" w:rsidR="00930B15" w:rsidRDefault="00930B15">
      <w:r>
        <w:separator/>
      </w:r>
    </w:p>
  </w:endnote>
  <w:endnote w:type="continuationSeparator" w:id="0">
    <w:p w14:paraId="550ED9CA" w14:textId="77777777" w:rsidR="00930B15" w:rsidRDefault="0093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2BEC16EE"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8E1BEE">
            <w:rPr>
              <w:bCs/>
              <w:lang w:val="fr-CH"/>
            </w:rPr>
            <w:t>14</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00F4066B">
            <w:rPr>
              <w:noProof/>
              <w:lang w:val="fr-CH"/>
            </w:rPr>
            <w:t>3</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10F0AA5D"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8E1BEE">
            <w:rPr>
              <w:bCs/>
              <w:lang w:val="es-ES"/>
            </w:rPr>
            <w:t>14</w:t>
          </w:r>
          <w:r w:rsidRPr="000F6AB8">
            <w:rPr>
              <w:bCs/>
              <w:lang w:val="es-ES"/>
            </w:rPr>
            <w:t>-E</w:t>
          </w:r>
          <w:r w:rsidRPr="000F6AB8">
            <w:rPr>
              <w:bCs/>
              <w:lang w:val="es-ES"/>
            </w:rPr>
            <w:tab/>
          </w:r>
          <w:r>
            <w:fldChar w:fldCharType="begin"/>
          </w:r>
          <w:r w:rsidRPr="000F6AB8">
            <w:rPr>
              <w:lang w:val="es-ES"/>
            </w:rPr>
            <w:instrText>PAGE</w:instrText>
          </w:r>
          <w:r>
            <w:fldChar w:fldCharType="separate"/>
          </w:r>
          <w:r w:rsidR="00F4066B">
            <w:rPr>
              <w:noProof/>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3473" w14:textId="77777777" w:rsidR="00930B15" w:rsidRDefault="00930B15">
      <w:r>
        <w:t>____________________</w:t>
      </w:r>
    </w:p>
  </w:footnote>
  <w:footnote w:type="continuationSeparator" w:id="0">
    <w:p w14:paraId="1003EBCC" w14:textId="77777777" w:rsidR="00930B15" w:rsidRDefault="0093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lang w:val="en-IN" w:eastAsia="en-IN"/>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lang w:val="en-IN" w:eastAsia="en-IN"/>
            </w:rPr>
            <w:drawing>
              <wp:inline distT="0" distB="0" distL="0" distR="0" wp14:anchorId="07F64D12" wp14:editId="0EF76A7B">
                <wp:extent cx="3671597" cy="612000"/>
                <wp:effectExtent l="0" t="0" r="0" b="0"/>
                <wp:docPr id="40389267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lang w:val="en-IN" w:eastAsia="en-IN"/>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2D3FFA"/>
    <w:multiLevelType w:val="hybridMultilevel"/>
    <w:tmpl w:val="23E22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CF677F"/>
    <w:multiLevelType w:val="hybridMultilevel"/>
    <w:tmpl w:val="4704B6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9522AA"/>
    <w:multiLevelType w:val="hybridMultilevel"/>
    <w:tmpl w:val="5106A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A95B9D"/>
    <w:multiLevelType w:val="multilevel"/>
    <w:tmpl w:val="CBF2A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4340642">
    <w:abstractNumId w:val="0"/>
  </w:num>
  <w:num w:numId="2" w16cid:durableId="982656635">
    <w:abstractNumId w:val="3"/>
  </w:num>
  <w:num w:numId="3" w16cid:durableId="1520465575">
    <w:abstractNumId w:val="4"/>
  </w:num>
  <w:num w:numId="4" w16cid:durableId="1975789052">
    <w:abstractNumId w:val="1"/>
  </w:num>
  <w:num w:numId="5" w16cid:durableId="24742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55"/>
    <w:rsid w:val="000120E4"/>
    <w:rsid w:val="00016D84"/>
    <w:rsid w:val="000210D4"/>
    <w:rsid w:val="000456A0"/>
    <w:rsid w:val="00046146"/>
    <w:rsid w:val="00063016"/>
    <w:rsid w:val="000635F4"/>
    <w:rsid w:val="00066795"/>
    <w:rsid w:val="00076AF6"/>
    <w:rsid w:val="00085CF2"/>
    <w:rsid w:val="000B1705"/>
    <w:rsid w:val="000C3B15"/>
    <w:rsid w:val="000D3B65"/>
    <w:rsid w:val="000D541E"/>
    <w:rsid w:val="000D75B2"/>
    <w:rsid w:val="000E300F"/>
    <w:rsid w:val="000F6AB8"/>
    <w:rsid w:val="00101C44"/>
    <w:rsid w:val="001121F5"/>
    <w:rsid w:val="00130599"/>
    <w:rsid w:val="001400DC"/>
    <w:rsid w:val="00140CE1"/>
    <w:rsid w:val="00147C54"/>
    <w:rsid w:val="0017343B"/>
    <w:rsid w:val="0017539C"/>
    <w:rsid w:val="00175AC2"/>
    <w:rsid w:val="0017609F"/>
    <w:rsid w:val="00191EA3"/>
    <w:rsid w:val="001A7D1D"/>
    <w:rsid w:val="001B51DD"/>
    <w:rsid w:val="001C1F3D"/>
    <w:rsid w:val="001C628E"/>
    <w:rsid w:val="001E0F7B"/>
    <w:rsid w:val="001E0FBE"/>
    <w:rsid w:val="001E5FE7"/>
    <w:rsid w:val="00204025"/>
    <w:rsid w:val="002041EC"/>
    <w:rsid w:val="002119FD"/>
    <w:rsid w:val="002130E0"/>
    <w:rsid w:val="00244F7F"/>
    <w:rsid w:val="0025570E"/>
    <w:rsid w:val="002608B7"/>
    <w:rsid w:val="00264425"/>
    <w:rsid w:val="00265875"/>
    <w:rsid w:val="0027303B"/>
    <w:rsid w:val="0028109B"/>
    <w:rsid w:val="0028508E"/>
    <w:rsid w:val="002A2188"/>
    <w:rsid w:val="002B1F58"/>
    <w:rsid w:val="002C1C7A"/>
    <w:rsid w:val="002C54E2"/>
    <w:rsid w:val="002E0AC3"/>
    <w:rsid w:val="0030160F"/>
    <w:rsid w:val="00301AEE"/>
    <w:rsid w:val="003145DF"/>
    <w:rsid w:val="00320223"/>
    <w:rsid w:val="00322D0D"/>
    <w:rsid w:val="00327F1C"/>
    <w:rsid w:val="0033226C"/>
    <w:rsid w:val="003459D6"/>
    <w:rsid w:val="00361465"/>
    <w:rsid w:val="00362A2E"/>
    <w:rsid w:val="003877F5"/>
    <w:rsid w:val="003942D4"/>
    <w:rsid w:val="0039514F"/>
    <w:rsid w:val="003958A8"/>
    <w:rsid w:val="003B23CF"/>
    <w:rsid w:val="003B29C2"/>
    <w:rsid w:val="003C20CA"/>
    <w:rsid w:val="003C2533"/>
    <w:rsid w:val="003D5A7F"/>
    <w:rsid w:val="003D635C"/>
    <w:rsid w:val="004016E2"/>
    <w:rsid w:val="0040435A"/>
    <w:rsid w:val="00416A24"/>
    <w:rsid w:val="0042059E"/>
    <w:rsid w:val="00431D9E"/>
    <w:rsid w:val="00433CE8"/>
    <w:rsid w:val="00434A5C"/>
    <w:rsid w:val="0044380F"/>
    <w:rsid w:val="004544D9"/>
    <w:rsid w:val="00465013"/>
    <w:rsid w:val="00472BAD"/>
    <w:rsid w:val="00473A71"/>
    <w:rsid w:val="00475B29"/>
    <w:rsid w:val="00484009"/>
    <w:rsid w:val="00490E72"/>
    <w:rsid w:val="00491157"/>
    <w:rsid w:val="00491A64"/>
    <w:rsid w:val="004921C8"/>
    <w:rsid w:val="00495B0B"/>
    <w:rsid w:val="0049655B"/>
    <w:rsid w:val="004A1B8B"/>
    <w:rsid w:val="004A67AC"/>
    <w:rsid w:val="004B7521"/>
    <w:rsid w:val="004D1851"/>
    <w:rsid w:val="004D599D"/>
    <w:rsid w:val="004E2EA5"/>
    <w:rsid w:val="004E3AEB"/>
    <w:rsid w:val="004F3819"/>
    <w:rsid w:val="0050223C"/>
    <w:rsid w:val="00507750"/>
    <w:rsid w:val="00523891"/>
    <w:rsid w:val="005243FF"/>
    <w:rsid w:val="005311D6"/>
    <w:rsid w:val="00536422"/>
    <w:rsid w:val="00564FBC"/>
    <w:rsid w:val="005800BC"/>
    <w:rsid w:val="00582442"/>
    <w:rsid w:val="00590BDD"/>
    <w:rsid w:val="005A335D"/>
    <w:rsid w:val="005C13D4"/>
    <w:rsid w:val="005C77C0"/>
    <w:rsid w:val="005E2BD5"/>
    <w:rsid w:val="005F3269"/>
    <w:rsid w:val="0060523F"/>
    <w:rsid w:val="00613B55"/>
    <w:rsid w:val="00615961"/>
    <w:rsid w:val="00623AE3"/>
    <w:rsid w:val="006261F4"/>
    <w:rsid w:val="00631CAF"/>
    <w:rsid w:val="006354FC"/>
    <w:rsid w:val="0064737F"/>
    <w:rsid w:val="006535F1"/>
    <w:rsid w:val="0065557D"/>
    <w:rsid w:val="00660D50"/>
    <w:rsid w:val="00662984"/>
    <w:rsid w:val="00666B45"/>
    <w:rsid w:val="006716BB"/>
    <w:rsid w:val="006973C8"/>
    <w:rsid w:val="006B1859"/>
    <w:rsid w:val="006B6680"/>
    <w:rsid w:val="006B6DCC"/>
    <w:rsid w:val="006D5604"/>
    <w:rsid w:val="00702DEF"/>
    <w:rsid w:val="00706861"/>
    <w:rsid w:val="00726B8C"/>
    <w:rsid w:val="0075051B"/>
    <w:rsid w:val="007538E8"/>
    <w:rsid w:val="00760FAF"/>
    <w:rsid w:val="0077110E"/>
    <w:rsid w:val="00775655"/>
    <w:rsid w:val="00793188"/>
    <w:rsid w:val="00794D34"/>
    <w:rsid w:val="00806E3C"/>
    <w:rsid w:val="00813E5E"/>
    <w:rsid w:val="00816C2C"/>
    <w:rsid w:val="00817192"/>
    <w:rsid w:val="0083581B"/>
    <w:rsid w:val="00860EED"/>
    <w:rsid w:val="00863874"/>
    <w:rsid w:val="00864AFF"/>
    <w:rsid w:val="00865925"/>
    <w:rsid w:val="00891503"/>
    <w:rsid w:val="0089242B"/>
    <w:rsid w:val="008B4A6A"/>
    <w:rsid w:val="008C7E27"/>
    <w:rsid w:val="008D3ACA"/>
    <w:rsid w:val="008E1BEE"/>
    <w:rsid w:val="008F3822"/>
    <w:rsid w:val="008F59A8"/>
    <w:rsid w:val="008F7448"/>
    <w:rsid w:val="0090147A"/>
    <w:rsid w:val="0090389B"/>
    <w:rsid w:val="00907083"/>
    <w:rsid w:val="009173EF"/>
    <w:rsid w:val="00930B15"/>
    <w:rsid w:val="00932906"/>
    <w:rsid w:val="00961860"/>
    <w:rsid w:val="00961B0B"/>
    <w:rsid w:val="00962D33"/>
    <w:rsid w:val="009760BE"/>
    <w:rsid w:val="009B38C3"/>
    <w:rsid w:val="009D6CA6"/>
    <w:rsid w:val="009E09F2"/>
    <w:rsid w:val="009E17BD"/>
    <w:rsid w:val="009E485A"/>
    <w:rsid w:val="009E5AC9"/>
    <w:rsid w:val="00A04CEC"/>
    <w:rsid w:val="00A054CA"/>
    <w:rsid w:val="00A24FA8"/>
    <w:rsid w:val="00A27F92"/>
    <w:rsid w:val="00A32257"/>
    <w:rsid w:val="00A36D20"/>
    <w:rsid w:val="00A43C03"/>
    <w:rsid w:val="00A46CD0"/>
    <w:rsid w:val="00A514A4"/>
    <w:rsid w:val="00A52C84"/>
    <w:rsid w:val="00A55622"/>
    <w:rsid w:val="00A83502"/>
    <w:rsid w:val="00AD15B3"/>
    <w:rsid w:val="00AD3606"/>
    <w:rsid w:val="00AD4A3D"/>
    <w:rsid w:val="00AF6386"/>
    <w:rsid w:val="00AF6E49"/>
    <w:rsid w:val="00B04A67"/>
    <w:rsid w:val="00B0583C"/>
    <w:rsid w:val="00B159E6"/>
    <w:rsid w:val="00B248BC"/>
    <w:rsid w:val="00B250E6"/>
    <w:rsid w:val="00B358B2"/>
    <w:rsid w:val="00B40A81"/>
    <w:rsid w:val="00B410EB"/>
    <w:rsid w:val="00B44910"/>
    <w:rsid w:val="00B6350C"/>
    <w:rsid w:val="00B72267"/>
    <w:rsid w:val="00B73DD1"/>
    <w:rsid w:val="00B76EB6"/>
    <w:rsid w:val="00B7737B"/>
    <w:rsid w:val="00B824C8"/>
    <w:rsid w:val="00B849D3"/>
    <w:rsid w:val="00B84B9D"/>
    <w:rsid w:val="00B9007F"/>
    <w:rsid w:val="00B94A52"/>
    <w:rsid w:val="00B9616D"/>
    <w:rsid w:val="00BA3A51"/>
    <w:rsid w:val="00BA534C"/>
    <w:rsid w:val="00BC251A"/>
    <w:rsid w:val="00BD032B"/>
    <w:rsid w:val="00BD0614"/>
    <w:rsid w:val="00BD094B"/>
    <w:rsid w:val="00BE2640"/>
    <w:rsid w:val="00BE433C"/>
    <w:rsid w:val="00BE4C42"/>
    <w:rsid w:val="00BF06F0"/>
    <w:rsid w:val="00BF44AE"/>
    <w:rsid w:val="00BF45CD"/>
    <w:rsid w:val="00C01189"/>
    <w:rsid w:val="00C04CFC"/>
    <w:rsid w:val="00C374DE"/>
    <w:rsid w:val="00C47AD4"/>
    <w:rsid w:val="00C52D81"/>
    <w:rsid w:val="00C55198"/>
    <w:rsid w:val="00C723D4"/>
    <w:rsid w:val="00C725C6"/>
    <w:rsid w:val="00C922C7"/>
    <w:rsid w:val="00CA6393"/>
    <w:rsid w:val="00CB18FF"/>
    <w:rsid w:val="00CB24AA"/>
    <w:rsid w:val="00CC47E0"/>
    <w:rsid w:val="00CD0C08"/>
    <w:rsid w:val="00CD3C91"/>
    <w:rsid w:val="00CE03FB"/>
    <w:rsid w:val="00CE433C"/>
    <w:rsid w:val="00CF0161"/>
    <w:rsid w:val="00CF33F3"/>
    <w:rsid w:val="00D06183"/>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4728B"/>
    <w:rsid w:val="00E50E26"/>
    <w:rsid w:val="00E545C6"/>
    <w:rsid w:val="00E5556D"/>
    <w:rsid w:val="00E60F04"/>
    <w:rsid w:val="00E63EFF"/>
    <w:rsid w:val="00E65B24"/>
    <w:rsid w:val="00E75A65"/>
    <w:rsid w:val="00E854E4"/>
    <w:rsid w:val="00E86DBF"/>
    <w:rsid w:val="00EA2131"/>
    <w:rsid w:val="00EB0D6F"/>
    <w:rsid w:val="00EB2232"/>
    <w:rsid w:val="00EB5A56"/>
    <w:rsid w:val="00EC5337"/>
    <w:rsid w:val="00ED575C"/>
    <w:rsid w:val="00EE1404"/>
    <w:rsid w:val="00EE49E8"/>
    <w:rsid w:val="00EF5722"/>
    <w:rsid w:val="00F06F4C"/>
    <w:rsid w:val="00F10B59"/>
    <w:rsid w:val="00F16BAB"/>
    <w:rsid w:val="00F2150A"/>
    <w:rsid w:val="00F231D8"/>
    <w:rsid w:val="00F26BC9"/>
    <w:rsid w:val="00F4066B"/>
    <w:rsid w:val="00F43D05"/>
    <w:rsid w:val="00F44C00"/>
    <w:rsid w:val="00F45D2C"/>
    <w:rsid w:val="00F46C5F"/>
    <w:rsid w:val="00F632C0"/>
    <w:rsid w:val="00F70F49"/>
    <w:rsid w:val="00F74694"/>
    <w:rsid w:val="00F77C7D"/>
    <w:rsid w:val="00F86596"/>
    <w:rsid w:val="00F93FD4"/>
    <w:rsid w:val="00F94A63"/>
    <w:rsid w:val="00FA1C28"/>
    <w:rsid w:val="00FA3744"/>
    <w:rsid w:val="00FB1279"/>
    <w:rsid w:val="00FB6B76"/>
    <w:rsid w:val="00FB7596"/>
    <w:rsid w:val="00FD47B9"/>
    <w:rsid w:val="00FD6070"/>
    <w:rsid w:val="00FE3C3D"/>
    <w:rsid w:val="00FE4077"/>
    <w:rsid w:val="00FE500D"/>
    <w:rsid w:val="00FE691B"/>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styleId="ListParagraph">
    <w:name w:val="List Paragraph"/>
    <w:basedOn w:val="Normal"/>
    <w:uiPriority w:val="34"/>
    <w:qFormat/>
    <w:rsid w:val="001C1F3D"/>
    <w:pPr>
      <w:ind w:left="720"/>
      <w:contextualSpacing/>
    </w:pPr>
  </w:style>
  <w:style w:type="paragraph" w:styleId="Revision">
    <w:name w:val="Revision"/>
    <w:hidden/>
    <w:uiPriority w:val="99"/>
    <w:semiHidden/>
    <w:rsid w:val="00E5556D"/>
    <w:rPr>
      <w:rFonts w:ascii="Calibri" w:hAnsi="Calibri"/>
      <w:sz w:val="24"/>
      <w:lang w:val="en-GB" w:eastAsia="en-US"/>
    </w:rPr>
  </w:style>
  <w:style w:type="character" w:styleId="UnresolvedMention">
    <w:name w:val="Unresolved Mention"/>
    <w:basedOn w:val="DefaultParagraphFont"/>
    <w:uiPriority w:val="99"/>
    <w:semiHidden/>
    <w:unhideWhenUsed/>
    <w:rsid w:val="008E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32101">
      <w:bodyDiv w:val="1"/>
      <w:marLeft w:val="0"/>
      <w:marRight w:val="0"/>
      <w:marTop w:val="0"/>
      <w:marBottom w:val="0"/>
      <w:divBdr>
        <w:top w:val="none" w:sz="0" w:space="0" w:color="auto"/>
        <w:left w:val="none" w:sz="0" w:space="0" w:color="auto"/>
        <w:bottom w:val="none" w:sz="0" w:space="0" w:color="auto"/>
        <w:right w:val="none" w:sz="0" w:space="0" w:color="auto"/>
      </w:divBdr>
    </w:div>
    <w:div w:id="740954681">
      <w:bodyDiv w:val="1"/>
      <w:marLeft w:val="0"/>
      <w:marRight w:val="0"/>
      <w:marTop w:val="0"/>
      <w:marBottom w:val="0"/>
      <w:divBdr>
        <w:top w:val="none" w:sz="0" w:space="0" w:color="auto"/>
        <w:left w:val="none" w:sz="0" w:space="0" w:color="auto"/>
        <w:bottom w:val="none" w:sz="0" w:space="0" w:color="auto"/>
        <w:right w:val="none" w:sz="0" w:space="0" w:color="auto"/>
      </w:divBdr>
    </w:div>
    <w:div w:id="1254046428">
      <w:bodyDiv w:val="1"/>
      <w:marLeft w:val="0"/>
      <w:marRight w:val="0"/>
      <w:marTop w:val="0"/>
      <w:marBottom w:val="0"/>
      <w:divBdr>
        <w:top w:val="none" w:sz="0" w:space="0" w:color="auto"/>
        <w:left w:val="none" w:sz="0" w:space="0" w:color="auto"/>
        <w:bottom w:val="none" w:sz="0" w:space="0" w:color="auto"/>
        <w:right w:val="none" w:sz="0" w:space="0" w:color="auto"/>
      </w:divBdr>
    </w:div>
    <w:div w:id="1463382516">
      <w:bodyDiv w:val="1"/>
      <w:marLeft w:val="0"/>
      <w:marRight w:val="0"/>
      <w:marTop w:val="0"/>
      <w:marBottom w:val="0"/>
      <w:divBdr>
        <w:top w:val="none" w:sz="0" w:space="0" w:color="auto"/>
        <w:left w:val="none" w:sz="0" w:space="0" w:color="auto"/>
        <w:bottom w:val="none" w:sz="0" w:space="0" w:color="auto"/>
        <w:right w:val="none" w:sz="0" w:space="0" w:color="auto"/>
      </w:divBdr>
    </w:div>
    <w:div w:id="1836453157">
      <w:bodyDiv w:val="1"/>
      <w:marLeft w:val="0"/>
      <w:marRight w:val="0"/>
      <w:marTop w:val="0"/>
      <w:marBottom w:val="0"/>
      <w:divBdr>
        <w:top w:val="none" w:sz="0" w:space="0" w:color="auto"/>
        <w:left w:val="none" w:sz="0" w:space="0" w:color="auto"/>
        <w:bottom w:val="none" w:sz="0" w:space="0" w:color="auto"/>
        <w:right w:val="none" w:sz="0" w:space="0" w:color="auto"/>
      </w:divBdr>
    </w:div>
    <w:div w:id="1961254863">
      <w:bodyDiv w:val="1"/>
      <w:marLeft w:val="0"/>
      <w:marRight w:val="0"/>
      <w:marTop w:val="0"/>
      <w:marBottom w:val="0"/>
      <w:divBdr>
        <w:top w:val="none" w:sz="0" w:space="0" w:color="auto"/>
        <w:left w:val="none" w:sz="0" w:space="0" w:color="auto"/>
        <w:bottom w:val="none" w:sz="0" w:space="0" w:color="auto"/>
        <w:right w:val="none" w:sz="0" w:space="0" w:color="auto"/>
      </w:divBdr>
    </w:div>
    <w:div w:id="20041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101/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073/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19/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7618-6AD7-4D4E-B925-0FE7BACA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2A5F-4396-4723-B368-03BE6B91B35F}">
  <ds:schemaRefs>
    <ds:schemaRef ds:uri="http://purl.org/dc/dcmitype/"/>
    <ds:schemaRef ds:uri="http://purl.org/dc/elements/1.1/"/>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www.w3.org/XML/1998/namespace"/>
    <ds:schemaRef ds:uri="http://schemas.openxmlformats.org/package/2006/metadata/core-properties"/>
    <ds:schemaRef ds:uri="http://purl.org/dc/terms/"/>
    <ds:schemaRef ds:uri="1aaea1ea-72e4-4374-b05e-72e2f16fb7ae"/>
  </ds:schemaRefs>
</ds:datastoreItem>
</file>

<file path=customXml/itemProps3.xml><?xml version="1.0" encoding="utf-8"?>
<ds:datastoreItem xmlns:ds="http://schemas.openxmlformats.org/officeDocument/2006/customXml" ds:itemID="{44F90EF3-2B15-48E6-BB99-162B0A5C876D}">
  <ds:schemaRefs>
    <ds:schemaRef ds:uri="http://schemas.microsoft.com/sharepoint/v3/contenttype/forms"/>
  </ds:schemaRefs>
</ds:datastoreItem>
</file>

<file path=customXml/itemProps4.xml><?xml version="1.0" encoding="utf-8"?>
<ds:datastoreItem xmlns:ds="http://schemas.openxmlformats.org/officeDocument/2006/customXml" ds:itemID="{EFFAD756-F06F-4343-8B25-B530CFEF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India - Proposal for hosting ITU Plenipotentiary Conference 2030 in India</dc:title>
  <dc:subject>ITU Council Working Group on financial and human resources</dc:subject>
  <dc:creator>GBS</dc:creator>
  <cp:keywords>CWG-FHR</cp:keywords>
  <dc:description/>
  <cp:lastModifiedBy>GBS</cp:lastModifiedBy>
  <cp:revision>2</cp:revision>
  <dcterms:created xsi:type="dcterms:W3CDTF">2025-08-27T10:18:00Z</dcterms:created>
  <dcterms:modified xsi:type="dcterms:W3CDTF">2025-08-27T10:18:00Z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0x0101001E46BE2403204D4E844191C3480CD35B</vt:lpwstr>
  </property>
</Properties>
</file>