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2F13D2" w14:paraId="06988536" w14:textId="77777777" w:rsidTr="4885BA87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9139E8F" w14:textId="77777777" w:rsidR="00AD3606" w:rsidRPr="002F13D2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50B68EFE" w14:textId="3836DD6E" w:rsidR="00AD3606" w:rsidRPr="002F13D2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F13D2">
              <w:rPr>
                <w:b/>
              </w:rPr>
              <w:t>Document C</w:t>
            </w:r>
            <w:r w:rsidR="00A52C84" w:rsidRPr="002F13D2">
              <w:rPr>
                <w:b/>
              </w:rPr>
              <w:t>WG-</w:t>
            </w:r>
            <w:r w:rsidR="000F6AB8" w:rsidRPr="002F13D2">
              <w:rPr>
                <w:b/>
              </w:rPr>
              <w:t>FHR</w:t>
            </w:r>
            <w:r w:rsidR="00A52C84" w:rsidRPr="002F13D2">
              <w:rPr>
                <w:b/>
              </w:rPr>
              <w:t>-</w:t>
            </w:r>
            <w:r w:rsidR="0025570E" w:rsidRPr="002F13D2">
              <w:rPr>
                <w:b/>
              </w:rPr>
              <w:t>2</w:t>
            </w:r>
            <w:r w:rsidR="00D47242">
              <w:rPr>
                <w:b/>
              </w:rPr>
              <w:t>1</w:t>
            </w:r>
            <w:r w:rsidR="00301AEE" w:rsidRPr="002F13D2">
              <w:rPr>
                <w:b/>
              </w:rPr>
              <w:t>/</w:t>
            </w:r>
            <w:r w:rsidR="00D94A3D" w:rsidRPr="00B76AD2">
              <w:rPr>
                <w:b/>
              </w:rPr>
              <w:t>13</w:t>
            </w:r>
          </w:p>
        </w:tc>
      </w:tr>
      <w:tr w:rsidR="00AD3606" w:rsidRPr="002F13D2" w14:paraId="6F6AB1F4" w14:textId="77777777" w:rsidTr="4885BA87">
        <w:trPr>
          <w:cantSplit/>
        </w:trPr>
        <w:tc>
          <w:tcPr>
            <w:tcW w:w="3969" w:type="dxa"/>
            <w:vMerge/>
          </w:tcPr>
          <w:p w14:paraId="243B216A" w14:textId="77777777" w:rsidR="00AD3606" w:rsidRPr="002F13D2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B7DAD36" w14:textId="22CDA3C5" w:rsidR="00AD3606" w:rsidRPr="002F13D2" w:rsidRDefault="00B76AD2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13</w:t>
            </w:r>
            <w:r w:rsidR="00324387" w:rsidRPr="002F13D2">
              <w:rPr>
                <w:b/>
              </w:rPr>
              <w:t xml:space="preserve"> </w:t>
            </w:r>
            <w:r w:rsidR="00D47242">
              <w:rPr>
                <w:b/>
              </w:rPr>
              <w:t>August</w:t>
            </w:r>
            <w:r w:rsidR="00324387" w:rsidRPr="002F13D2">
              <w:rPr>
                <w:b/>
              </w:rPr>
              <w:t xml:space="preserve"> 2025</w:t>
            </w:r>
          </w:p>
        </w:tc>
      </w:tr>
      <w:tr w:rsidR="00AD3606" w:rsidRPr="002F13D2" w14:paraId="15660587" w14:textId="77777777" w:rsidTr="4885BA87">
        <w:trPr>
          <w:cantSplit/>
          <w:trHeight w:val="23"/>
        </w:trPr>
        <w:tc>
          <w:tcPr>
            <w:tcW w:w="3969" w:type="dxa"/>
            <w:vMerge/>
          </w:tcPr>
          <w:p w14:paraId="6B39C677" w14:textId="77777777" w:rsidR="00AD3606" w:rsidRPr="002F13D2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27FA191" w14:textId="77777777" w:rsidR="00AD3606" w:rsidRPr="002F13D2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F13D2">
              <w:rPr>
                <w:b/>
              </w:rPr>
              <w:t>English only</w:t>
            </w:r>
          </w:p>
        </w:tc>
      </w:tr>
      <w:tr w:rsidR="00472BAD" w:rsidRPr="002F13D2" w14:paraId="0EF492BD" w14:textId="77777777" w:rsidTr="4885BA87">
        <w:trPr>
          <w:cantSplit/>
          <w:trHeight w:val="23"/>
        </w:trPr>
        <w:tc>
          <w:tcPr>
            <w:tcW w:w="3969" w:type="dxa"/>
          </w:tcPr>
          <w:p w14:paraId="05EEDB52" w14:textId="77777777" w:rsidR="00472BAD" w:rsidRPr="002F13D2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7609302" w14:textId="77777777" w:rsidR="00472BAD" w:rsidRPr="002F13D2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2F13D2" w14:paraId="4D854B2D" w14:textId="77777777" w:rsidTr="4885BA87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7AE1C6C" w14:textId="5CE57145" w:rsidR="00AD3606" w:rsidRPr="002F13D2" w:rsidRDefault="000F6AB8" w:rsidP="00E4728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2F13D2">
              <w:t xml:space="preserve">Report by the </w:t>
            </w:r>
            <w:r w:rsidR="004D3B0A" w:rsidRPr="002F13D2">
              <w:t>Secretary-General</w:t>
            </w:r>
          </w:p>
        </w:tc>
      </w:tr>
      <w:tr w:rsidR="00D47242" w:rsidRPr="002F13D2" w14:paraId="16EB458A" w14:textId="77777777" w:rsidTr="4885BA87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DA1E56D" w14:textId="47840631" w:rsidR="00D47242" w:rsidRPr="002F13D2" w:rsidRDefault="00D94A3D" w:rsidP="00D94A3D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 xml:space="preserve">METHODOLOGY FOR REVIEW AND REVISION </w:t>
            </w:r>
            <w:r>
              <w:br/>
            </w:r>
            <w:r w:rsidRPr="00D94A3D">
              <w:t>OF</w:t>
            </w:r>
            <w:r>
              <w:t xml:space="preserve"> THE </w:t>
            </w:r>
            <w:r w:rsidRPr="00A71F21">
              <w:t xml:space="preserve">CONTRIBUTORY UNIT </w:t>
            </w:r>
          </w:p>
        </w:tc>
      </w:tr>
      <w:tr w:rsidR="00D47242" w:rsidRPr="002F13D2" w14:paraId="5E1AA971" w14:textId="77777777" w:rsidTr="4885BA87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AD788C9" w14:textId="77777777" w:rsidR="00D47242" w:rsidRPr="002F13D2" w:rsidRDefault="00D47242" w:rsidP="00D47242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2F13D2">
              <w:rPr>
                <w:b/>
                <w:bCs/>
                <w:sz w:val="26"/>
                <w:szCs w:val="26"/>
              </w:rPr>
              <w:t>Purpose</w:t>
            </w:r>
          </w:p>
          <w:p w14:paraId="4079F445" w14:textId="1764682F" w:rsidR="00162252" w:rsidRDefault="002C25E7" w:rsidP="008D0197">
            <w:pPr>
              <w:jc w:val="both"/>
            </w:pPr>
            <w:r>
              <w:t>In response to a request from the Council</w:t>
            </w:r>
            <w:r w:rsidR="00162252">
              <w:t>,</w:t>
            </w:r>
            <w:r>
              <w:t xml:space="preserve"> this document presents </w:t>
            </w:r>
            <w:r w:rsidR="0063139F">
              <w:t>possible</w:t>
            </w:r>
            <w:r>
              <w:t xml:space="preserve"> approaches </w:t>
            </w:r>
            <w:r w:rsidR="009D7A4E">
              <w:t xml:space="preserve">for </w:t>
            </w:r>
            <w:r w:rsidR="007A42C4">
              <w:t>membership consideration of revisions to</w:t>
            </w:r>
            <w:r>
              <w:t xml:space="preserve"> the ITU Contributory Unit (CU). Th</w:t>
            </w:r>
            <w:r w:rsidR="00162252">
              <w:t>e</w:t>
            </w:r>
            <w:r>
              <w:t xml:space="preserve">se include: </w:t>
            </w:r>
          </w:p>
          <w:p w14:paraId="75002DD3" w14:textId="7FDD3EDA" w:rsidR="00162252" w:rsidRDefault="002C25E7" w:rsidP="008D0197">
            <w:pPr>
              <w:pStyle w:val="enumlev1"/>
              <w:jc w:val="both"/>
            </w:pPr>
            <w:r>
              <w:t>1</w:t>
            </w:r>
            <w:r w:rsidR="00D94A3D">
              <w:tab/>
            </w:r>
            <w:r>
              <w:t xml:space="preserve">adjusting the CU to reflect inflation, </w:t>
            </w:r>
          </w:p>
          <w:p w14:paraId="29A6C715" w14:textId="72453904" w:rsidR="00162252" w:rsidRDefault="002C25E7" w:rsidP="008D0197">
            <w:pPr>
              <w:pStyle w:val="enumlev1"/>
              <w:jc w:val="both"/>
            </w:pPr>
            <w:r>
              <w:t>2</w:t>
            </w:r>
            <w:r w:rsidR="00D94A3D">
              <w:tab/>
            </w:r>
            <w:r>
              <w:t xml:space="preserve">linking CU increases to performance improvements, and </w:t>
            </w:r>
          </w:p>
          <w:p w14:paraId="1D40F776" w14:textId="2F3B9C50" w:rsidR="008167AC" w:rsidRDefault="002C25E7" w:rsidP="008D0197">
            <w:pPr>
              <w:pStyle w:val="enumlev1"/>
              <w:jc w:val="both"/>
            </w:pPr>
            <w:r>
              <w:t>3</w:t>
            </w:r>
            <w:r w:rsidR="00D94A3D">
              <w:tab/>
            </w:r>
            <w:r>
              <w:t xml:space="preserve">aligning the CU with ITU's capacity to meet costs associated with new mandates approved by Member States. </w:t>
            </w:r>
          </w:p>
          <w:p w14:paraId="5D22EA72" w14:textId="056FA4EB" w:rsidR="002C25E7" w:rsidRDefault="002C25E7" w:rsidP="008D0197">
            <w:pPr>
              <w:jc w:val="both"/>
            </w:pPr>
            <w:r>
              <w:t>Th</w:t>
            </w:r>
            <w:r w:rsidR="008167AC">
              <w:t>is document</w:t>
            </w:r>
            <w:r>
              <w:t xml:space="preserve"> outlines the implications of each </w:t>
            </w:r>
            <w:r w:rsidR="008167AC">
              <w:t>approach</w:t>
            </w:r>
            <w:r>
              <w:t xml:space="preserve"> and </w:t>
            </w:r>
            <w:r w:rsidR="008167AC">
              <w:t>seeks the input of</w:t>
            </w:r>
            <w:r>
              <w:t xml:space="preserve"> </w:t>
            </w:r>
            <w:r w:rsidR="008167AC">
              <w:t>CWG-FHR</w:t>
            </w:r>
            <w:r w:rsidR="00B97595">
              <w:t xml:space="preserve"> to inform further </w:t>
            </w:r>
            <w:r w:rsidR="00D45B52">
              <w:t>work by the Secretariat</w:t>
            </w:r>
            <w:r>
              <w:t>.</w:t>
            </w:r>
          </w:p>
          <w:p w14:paraId="486924FF" w14:textId="77777777" w:rsidR="00D47242" w:rsidRPr="002F13D2" w:rsidRDefault="00D47242" w:rsidP="00D47242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2F13D2">
              <w:rPr>
                <w:b/>
                <w:bCs/>
                <w:sz w:val="26"/>
                <w:szCs w:val="26"/>
              </w:rPr>
              <w:t>Action required</w:t>
            </w:r>
          </w:p>
          <w:p w14:paraId="3299E121" w14:textId="374E7504" w:rsidR="00D47242" w:rsidRPr="002F13D2" w:rsidRDefault="00D47242" w:rsidP="008D0197">
            <w:pPr>
              <w:jc w:val="both"/>
            </w:pPr>
            <w:r>
              <w:t>The Council Working Group on financial and human resources is invited to</w:t>
            </w:r>
            <w:r w:rsidRPr="4885BA87">
              <w:rPr>
                <w:b/>
                <w:bCs/>
              </w:rPr>
              <w:t xml:space="preserve"> note </w:t>
            </w:r>
            <w:r>
              <w:t>the information provided in this document</w:t>
            </w:r>
            <w:r w:rsidR="5FD8C298">
              <w:t>,</w:t>
            </w:r>
            <w:r>
              <w:t xml:space="preserve"> </w:t>
            </w:r>
            <w:r w:rsidRPr="4885BA87">
              <w:rPr>
                <w:b/>
                <w:bCs/>
              </w:rPr>
              <w:t>consider</w:t>
            </w:r>
            <w:r>
              <w:t xml:space="preserve"> the proposals for future calculation of the Contributory Unit</w:t>
            </w:r>
            <w:r w:rsidR="7F9461BA">
              <w:t xml:space="preserve">, and </w:t>
            </w:r>
            <w:r w:rsidR="7F9461BA" w:rsidRPr="002C0447">
              <w:rPr>
                <w:b/>
                <w:bCs/>
              </w:rPr>
              <w:t xml:space="preserve">provide guidance </w:t>
            </w:r>
            <w:r w:rsidR="7F9461BA">
              <w:t>for the further development of the methodology for the revisions to the CU</w:t>
            </w:r>
            <w:r>
              <w:t>.</w:t>
            </w:r>
          </w:p>
          <w:p w14:paraId="49B50137" w14:textId="77777777" w:rsidR="00B65BE1" w:rsidRDefault="00D47242" w:rsidP="00D47242">
            <w:pPr>
              <w:spacing w:before="160"/>
            </w:pPr>
            <w:r w:rsidRPr="002F13D2">
              <w:rPr>
                <w:b/>
                <w:bCs/>
                <w:sz w:val="26"/>
                <w:szCs w:val="26"/>
              </w:rPr>
              <w:t xml:space="preserve">References </w:t>
            </w:r>
            <w:r>
              <w:t xml:space="preserve"> </w:t>
            </w:r>
          </w:p>
          <w:p w14:paraId="43062733" w14:textId="02BF6D3E" w:rsidR="00B65BE1" w:rsidRPr="004141C1" w:rsidRDefault="004141C1" w:rsidP="00D94A3D">
            <w:pPr>
              <w:spacing w:after="120"/>
              <w:rPr>
                <w:i/>
                <w:iCs/>
                <w:sz w:val="22"/>
                <w:szCs w:val="22"/>
              </w:rPr>
            </w:pPr>
            <w:hyperlink r:id="rId11" w:history="1">
              <w:r w:rsidRPr="00B262F8">
                <w:rPr>
                  <w:rStyle w:val="Hyperlink"/>
                  <w:i/>
                  <w:iCs/>
                  <w:sz w:val="22"/>
                  <w:szCs w:val="22"/>
                </w:rPr>
                <w:t>CWG-FHR website</w:t>
              </w:r>
            </w:hyperlink>
            <w:r w:rsidRPr="004141C1">
              <w:rPr>
                <w:i/>
                <w:iCs/>
                <w:sz w:val="22"/>
                <w:szCs w:val="22"/>
              </w:rPr>
              <w:t xml:space="preserve">; Council Document </w:t>
            </w:r>
            <w:hyperlink r:id="rId12" w:history="1">
              <w:r w:rsidR="00D47242" w:rsidRPr="00B262F8">
                <w:rPr>
                  <w:rStyle w:val="Hyperlink"/>
                  <w:i/>
                  <w:iCs/>
                  <w:sz w:val="22"/>
                  <w:szCs w:val="22"/>
                </w:rPr>
                <w:t>C25/54</w:t>
              </w:r>
            </w:hyperlink>
          </w:p>
        </w:tc>
      </w:tr>
    </w:tbl>
    <w:p w14:paraId="3FE32CB1" w14:textId="77777777" w:rsidR="00E227F3" w:rsidRPr="002F13D2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09365793" w14:textId="77777777" w:rsidR="0090147A" w:rsidRPr="002F13D2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2F13D2">
        <w:br w:type="page"/>
      </w:r>
    </w:p>
    <w:bookmarkEnd w:id="5"/>
    <w:bookmarkEnd w:id="10"/>
    <w:p w14:paraId="64BEE0C8" w14:textId="6C8EC8CF" w:rsidR="00D47242" w:rsidRPr="00FA550C" w:rsidRDefault="00FA550C" w:rsidP="00346364">
      <w:pPr>
        <w:pStyle w:val="Heading1"/>
      </w:pPr>
      <w:r w:rsidRPr="00EA1EA3">
        <w:lastRenderedPageBreak/>
        <w:t>1</w:t>
      </w:r>
      <w:r w:rsidRPr="00EA1EA3">
        <w:tab/>
      </w:r>
      <w:r w:rsidR="00D47242" w:rsidRPr="00FA550C">
        <w:t>Background</w:t>
      </w:r>
    </w:p>
    <w:p w14:paraId="09C240BC" w14:textId="77777777" w:rsidR="00D47242" w:rsidRPr="00EA1EA3" w:rsidRDefault="00D47242" w:rsidP="00FA550C">
      <w:pPr>
        <w:rPr>
          <w:rFonts w:cs="Calibri"/>
        </w:rPr>
      </w:pPr>
      <w:r w:rsidRPr="00EA1EA3">
        <w:rPr>
          <w:rFonts w:cs="Calibri"/>
        </w:rPr>
        <w:t xml:space="preserve">During its June 2025 session, the </w:t>
      </w:r>
      <w:r w:rsidRPr="00EA1EA3">
        <w:rPr>
          <w:rFonts w:cs="Calibri"/>
          <w:b/>
          <w:bCs/>
        </w:rPr>
        <w:t>ITU Council</w:t>
      </w:r>
      <w:r w:rsidRPr="00EA1EA3">
        <w:rPr>
          <w:rFonts w:cs="Calibri"/>
        </w:rPr>
        <w:t>:</w:t>
      </w:r>
    </w:p>
    <w:p w14:paraId="7C3A2B3C" w14:textId="167A29A6" w:rsidR="00D47242" w:rsidRPr="00EA1EA3" w:rsidRDefault="00FA550C" w:rsidP="00FA550C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00EA1EA3">
        <w:rPr>
          <w:rFonts w:cs="Calibri"/>
          <w:b/>
          <w:bCs/>
        </w:rPr>
        <w:t>Recognized the long-standing stagnation</w:t>
      </w:r>
      <w:r w:rsidR="00D47242" w:rsidRPr="00EA1EA3">
        <w:rPr>
          <w:rFonts w:cs="Calibri"/>
        </w:rPr>
        <w:t xml:space="preserve"> in the nominal value of the Contributory Unit </w:t>
      </w:r>
      <w:r w:rsidR="00647454">
        <w:rPr>
          <w:rFonts w:cs="Calibri"/>
        </w:rPr>
        <w:t xml:space="preserve">(CU) </w:t>
      </w:r>
      <w:r w:rsidR="00D47242" w:rsidRPr="00EA1EA3">
        <w:rPr>
          <w:rFonts w:cs="Calibri"/>
        </w:rPr>
        <w:t>(CHF 318</w:t>
      </w:r>
      <w:r w:rsidR="00647454">
        <w:rPr>
          <w:rFonts w:cs="Calibri"/>
        </w:rPr>
        <w:t> </w:t>
      </w:r>
      <w:r w:rsidR="00D47242" w:rsidRPr="00EA1EA3">
        <w:rPr>
          <w:rFonts w:cs="Calibri"/>
        </w:rPr>
        <w:t>000), which has remained unchanged since 2006.</w:t>
      </w:r>
    </w:p>
    <w:p w14:paraId="5E998CD0" w14:textId="486D9712" w:rsidR="00D47242" w:rsidRPr="00EA1EA3" w:rsidRDefault="00FA550C" w:rsidP="00FA550C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00EA1EA3">
        <w:rPr>
          <w:rFonts w:cs="Calibri"/>
          <w:b/>
          <w:bCs/>
        </w:rPr>
        <w:t>Acknowledged the impact of inflation</w:t>
      </w:r>
      <w:r w:rsidR="00D47242" w:rsidRPr="00EA1EA3">
        <w:rPr>
          <w:rFonts w:cs="Calibri"/>
        </w:rPr>
        <w:t xml:space="preserve"> and increased programmatic demands on the purchasing power and operational capacity of the ITU.</w:t>
      </w:r>
    </w:p>
    <w:p w14:paraId="43BBF6AE" w14:textId="552BB3F8" w:rsidR="00D47242" w:rsidRPr="00EA1EA3" w:rsidRDefault="00FA550C" w:rsidP="00FA550C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00EA1EA3">
        <w:rPr>
          <w:rFonts w:cs="Calibri"/>
          <w:b/>
          <w:bCs/>
        </w:rPr>
        <w:t xml:space="preserve">Requested the </w:t>
      </w:r>
      <w:r w:rsidR="00647454" w:rsidRPr="00EA1EA3">
        <w:rPr>
          <w:rFonts w:cs="Calibri"/>
          <w:b/>
          <w:bCs/>
        </w:rPr>
        <w:t xml:space="preserve">secretariat </w:t>
      </w:r>
      <w:r w:rsidR="00D47242" w:rsidRPr="00EA1EA3">
        <w:rPr>
          <w:rFonts w:cs="Calibri"/>
          <w:b/>
          <w:bCs/>
        </w:rPr>
        <w:t>to present options</w:t>
      </w:r>
      <w:r w:rsidR="00D47242" w:rsidRPr="00EA1EA3">
        <w:rPr>
          <w:rFonts w:cs="Calibri"/>
        </w:rPr>
        <w:t xml:space="preserve"> for revising the CU methodology to better reflect current financial realities and ensure the sustainability of the Union.</w:t>
      </w:r>
    </w:p>
    <w:p w14:paraId="1CF3595D" w14:textId="3113B6E9" w:rsidR="00D47242" w:rsidRPr="00EA1EA3" w:rsidRDefault="00FA550C" w:rsidP="00FA550C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00EA1EA3">
        <w:rPr>
          <w:rFonts w:cs="Calibri"/>
        </w:rPr>
        <w:t>Emphasized the importance of linking any proposed CU increase to:</w:t>
      </w:r>
    </w:p>
    <w:p w14:paraId="3EB80AB2" w14:textId="1D76C409" w:rsidR="00D47242" w:rsidRPr="00EA1EA3" w:rsidRDefault="00FA550C" w:rsidP="00FA550C">
      <w:pPr>
        <w:pStyle w:val="enumlev2"/>
        <w:rPr>
          <w:rFonts w:cs="Calibri"/>
        </w:rPr>
      </w:pPr>
      <w:r>
        <w:t>•</w:t>
      </w:r>
      <w:r>
        <w:tab/>
      </w:r>
      <w:r w:rsidR="00D47242" w:rsidRPr="4885BA87">
        <w:rPr>
          <w:rFonts w:cs="Calibri"/>
        </w:rPr>
        <w:t xml:space="preserve">Demonstrable </w:t>
      </w:r>
      <w:r w:rsidR="00D47242" w:rsidRPr="002C0447">
        <w:rPr>
          <w:b/>
          <w:bCs/>
        </w:rPr>
        <w:t>efficiency improvements</w:t>
      </w:r>
      <w:r w:rsidR="00D47242" w:rsidRPr="4885BA87">
        <w:rPr>
          <w:rFonts w:cs="Calibri"/>
        </w:rPr>
        <w:t>,</w:t>
      </w:r>
    </w:p>
    <w:p w14:paraId="357F1433" w14:textId="52BFF867" w:rsidR="00D47242" w:rsidRPr="00EA1EA3" w:rsidRDefault="00FA550C" w:rsidP="00FA550C">
      <w:pPr>
        <w:pStyle w:val="enumlev2"/>
        <w:rPr>
          <w:rFonts w:cs="Calibri"/>
        </w:rPr>
      </w:pPr>
      <w:r>
        <w:t>•</w:t>
      </w:r>
      <w:r>
        <w:tab/>
      </w:r>
      <w:r w:rsidR="00D47242" w:rsidRPr="00EA1EA3">
        <w:rPr>
          <w:rFonts w:cs="Calibri"/>
          <w:b/>
          <w:bCs/>
        </w:rPr>
        <w:t>Enhanced programme delivery</w:t>
      </w:r>
      <w:r w:rsidR="00D47242" w:rsidRPr="00EA1EA3">
        <w:rPr>
          <w:rFonts w:cs="Calibri"/>
        </w:rPr>
        <w:t>, and</w:t>
      </w:r>
    </w:p>
    <w:p w14:paraId="6736B195" w14:textId="60A79928" w:rsidR="00D47242" w:rsidRPr="00EA1EA3" w:rsidRDefault="00FA550C" w:rsidP="00FA550C">
      <w:pPr>
        <w:pStyle w:val="enumlev2"/>
        <w:rPr>
          <w:rFonts w:cs="Calibri"/>
        </w:rPr>
      </w:pPr>
      <w:r>
        <w:t>•</w:t>
      </w:r>
      <w:r>
        <w:tab/>
      </w:r>
      <w:r w:rsidR="00D47242" w:rsidRPr="00EA1EA3">
        <w:rPr>
          <w:rFonts w:cs="Calibri"/>
        </w:rPr>
        <w:t xml:space="preserve">Greater </w:t>
      </w:r>
      <w:r w:rsidR="00D47242" w:rsidRPr="00EA1EA3">
        <w:rPr>
          <w:rFonts w:cs="Calibri"/>
          <w:b/>
          <w:bCs/>
        </w:rPr>
        <w:t>transparency and accountability</w:t>
      </w:r>
      <w:r w:rsidR="00D47242" w:rsidRPr="00EA1EA3">
        <w:rPr>
          <w:rFonts w:cs="Calibri"/>
        </w:rPr>
        <w:t xml:space="preserve"> in the budget process.</w:t>
      </w:r>
    </w:p>
    <w:p w14:paraId="38477ECA" w14:textId="0783904A" w:rsidR="00D47242" w:rsidRPr="00EA1EA3" w:rsidRDefault="00FA550C" w:rsidP="00FA550C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00EA1EA3">
        <w:rPr>
          <w:rFonts w:cs="Calibri"/>
        </w:rPr>
        <w:t>Encouraged the Secretariat to draw on international good practice, including other UN organizations, in designing a modernized model.</w:t>
      </w:r>
    </w:p>
    <w:p w14:paraId="29D7E72C" w14:textId="3E4E7A4A" w:rsidR="00D47242" w:rsidRPr="00EA1EA3" w:rsidRDefault="00FA550C" w:rsidP="00FA550C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00EA1EA3">
        <w:rPr>
          <w:rFonts w:cs="Calibri"/>
        </w:rPr>
        <w:t xml:space="preserve">Called for further discussions at CWG-FHR </w:t>
      </w:r>
      <w:r w:rsidR="00B1743D">
        <w:rPr>
          <w:rFonts w:cs="Calibri"/>
        </w:rPr>
        <w:t>and Council</w:t>
      </w:r>
      <w:r w:rsidR="00D47242" w:rsidRPr="00EA1EA3">
        <w:rPr>
          <w:rFonts w:cs="Calibri"/>
        </w:rPr>
        <w:t xml:space="preserve"> </w:t>
      </w:r>
      <w:r w:rsidR="00E31F89">
        <w:rPr>
          <w:rFonts w:cs="Calibri"/>
        </w:rPr>
        <w:t xml:space="preserve">to inform </w:t>
      </w:r>
      <w:r w:rsidR="00D47242" w:rsidRPr="00EA1EA3">
        <w:rPr>
          <w:rFonts w:cs="Calibri"/>
        </w:rPr>
        <w:t>potential recommendations to PP-26.</w:t>
      </w:r>
    </w:p>
    <w:p w14:paraId="644AEAC0" w14:textId="36D8CE6B" w:rsidR="001C50C1" w:rsidRDefault="001C50C1" w:rsidP="00162252">
      <w:pPr>
        <w:jc w:val="both"/>
        <w:rPr>
          <w:rFonts w:cs="Calibri"/>
        </w:rPr>
      </w:pPr>
      <w:r w:rsidRPr="4885BA87">
        <w:rPr>
          <w:rFonts w:cs="Calibri"/>
        </w:rPr>
        <w:t xml:space="preserve">These goals echo the UN Secretary-General’s </w:t>
      </w:r>
      <w:r w:rsidR="00B1743D" w:rsidRPr="4885BA87">
        <w:rPr>
          <w:rFonts w:cs="Calibri"/>
        </w:rPr>
        <w:t>vision</w:t>
      </w:r>
      <w:r w:rsidR="00997D88" w:rsidRPr="4885BA87">
        <w:rPr>
          <w:rFonts w:cs="Calibri"/>
        </w:rPr>
        <w:t xml:space="preserve"> under </w:t>
      </w:r>
      <w:r w:rsidR="596141AA" w:rsidRPr="4885BA87">
        <w:rPr>
          <w:rFonts w:cs="Calibri"/>
        </w:rPr>
        <w:t xml:space="preserve">the </w:t>
      </w:r>
      <w:r w:rsidR="00997D88" w:rsidRPr="4885BA87">
        <w:rPr>
          <w:rFonts w:cs="Calibri"/>
        </w:rPr>
        <w:t>UN80</w:t>
      </w:r>
      <w:r w:rsidRPr="4885BA87">
        <w:rPr>
          <w:rFonts w:cs="Calibri"/>
        </w:rPr>
        <w:t xml:space="preserve"> </w:t>
      </w:r>
      <w:r w:rsidR="67DB21DE" w:rsidRPr="4885BA87">
        <w:rPr>
          <w:rFonts w:cs="Calibri"/>
        </w:rPr>
        <w:t>initiative</w:t>
      </w:r>
      <w:r w:rsidRPr="4885BA87">
        <w:rPr>
          <w:rFonts w:cs="Calibri"/>
        </w:rPr>
        <w:t>.</w:t>
      </w:r>
    </w:p>
    <w:p w14:paraId="6A405CC8" w14:textId="0D3C500D" w:rsidR="00D47242" w:rsidRPr="00FA550C" w:rsidRDefault="00FA550C" w:rsidP="00346364">
      <w:pPr>
        <w:pStyle w:val="Heading1"/>
        <w:rPr>
          <w:rFonts w:cs="Calibri"/>
        </w:rPr>
      </w:pPr>
      <w:r w:rsidRPr="00D82232">
        <w:t>2</w:t>
      </w:r>
      <w:r w:rsidRPr="00D82232">
        <w:tab/>
      </w:r>
      <w:r w:rsidR="00D47242" w:rsidRPr="00FA550C">
        <w:t xml:space="preserve">History and </w:t>
      </w:r>
      <w:r w:rsidR="00647454" w:rsidRPr="00FA550C">
        <w:t xml:space="preserve">refinement </w:t>
      </w:r>
      <w:r w:rsidR="00D47242" w:rsidRPr="00FA550C">
        <w:t xml:space="preserve">of the </w:t>
      </w:r>
      <w:r w:rsidR="00FF0DC7" w:rsidRPr="00FA550C">
        <w:t>contributory unit methodology</w:t>
      </w:r>
    </w:p>
    <w:p w14:paraId="423462FC" w14:textId="381F2C92" w:rsidR="00D47242" w:rsidRPr="00D82232" w:rsidRDefault="00D47242" w:rsidP="00AB04F9">
      <w:pPr>
        <w:jc w:val="both"/>
        <w:rPr>
          <w:rFonts w:cs="Calibri"/>
        </w:rPr>
      </w:pPr>
      <w:r w:rsidRPr="00D82232">
        <w:rPr>
          <w:rFonts w:cs="Calibri"/>
        </w:rPr>
        <w:t>The CU model has been the foundation of ITU’s assessed contribution system since its adoption by Plenipotentiary Conferences in the mid-20</w:t>
      </w:r>
      <w:r w:rsidRPr="00647454">
        <w:rPr>
          <w:rFonts w:cs="Calibri"/>
          <w:vertAlign w:val="superscript"/>
        </w:rPr>
        <w:t>th</w:t>
      </w:r>
      <w:r w:rsidRPr="00D82232">
        <w:rPr>
          <w:rFonts w:cs="Calibri"/>
        </w:rPr>
        <w:t xml:space="preserve"> century. The model originally offered Member States the flexibility to choose their level of contribution, while aligning the value of one CU to the core funding needs of the Union.</w:t>
      </w:r>
    </w:p>
    <w:p w14:paraId="6EC640D3" w14:textId="77777777" w:rsidR="00D47242" w:rsidRPr="00D82232" w:rsidRDefault="00D47242" w:rsidP="00D47242">
      <w:pPr>
        <w:jc w:val="both"/>
        <w:rPr>
          <w:rFonts w:cs="Calibri"/>
        </w:rPr>
      </w:pPr>
      <w:r w:rsidRPr="00D82232">
        <w:rPr>
          <w:rFonts w:cs="Calibri"/>
        </w:rPr>
        <w:t>Over time, refinements were introduced by successive Plenipotentiary Conferences:</w:t>
      </w:r>
    </w:p>
    <w:p w14:paraId="2EDF3ED4" w14:textId="081AF6DA" w:rsidR="00D47242" w:rsidRPr="00D82232" w:rsidRDefault="00AB04F9" w:rsidP="00AB04F9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4885BA87">
        <w:rPr>
          <w:rFonts w:cs="Calibri"/>
          <w:b/>
          <w:bCs/>
        </w:rPr>
        <w:t>PP-</w:t>
      </w:r>
      <w:r w:rsidR="00027007" w:rsidRPr="4885BA87">
        <w:rPr>
          <w:rFonts w:cs="Calibri"/>
          <w:b/>
          <w:bCs/>
        </w:rPr>
        <w:t>10</w:t>
      </w:r>
      <w:r w:rsidR="00647454">
        <w:rPr>
          <w:rFonts w:cs="Calibri"/>
          <w:b/>
          <w:bCs/>
        </w:rPr>
        <w:t>:</w:t>
      </w:r>
      <w:r w:rsidR="00D47242" w:rsidRPr="4885BA87">
        <w:rPr>
          <w:rFonts w:cs="Calibri"/>
        </w:rPr>
        <w:t xml:space="preserve"> Introduced enhanced flexibility by offering a wider range of CU classes to accommodate the financial capacity of Member States.</w:t>
      </w:r>
      <w:r w:rsidR="00B65BE1" w:rsidRPr="4885BA87">
        <w:rPr>
          <w:rFonts w:cs="Calibri"/>
        </w:rPr>
        <w:t xml:space="preserve"> </w:t>
      </w:r>
    </w:p>
    <w:p w14:paraId="457A2215" w14:textId="3A84F481" w:rsidR="00D47242" w:rsidRPr="00D82232" w:rsidRDefault="00AB04F9" w:rsidP="00AB04F9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00D82232">
        <w:rPr>
          <w:rFonts w:cs="Calibri"/>
          <w:b/>
          <w:bCs/>
        </w:rPr>
        <w:t>PP-1</w:t>
      </w:r>
      <w:r w:rsidR="005C7AEF">
        <w:rPr>
          <w:rFonts w:cs="Calibri"/>
          <w:b/>
          <w:bCs/>
        </w:rPr>
        <w:t>4</w:t>
      </w:r>
      <w:r w:rsidR="00D47242" w:rsidRPr="00647454">
        <w:rPr>
          <w:rFonts w:cs="Calibri"/>
          <w:b/>
          <w:bCs/>
        </w:rPr>
        <w:t>:</w:t>
      </w:r>
      <w:r w:rsidR="00D47242" w:rsidRPr="00D82232">
        <w:rPr>
          <w:rFonts w:cs="Calibri"/>
        </w:rPr>
        <w:t xml:space="preserve"> Supported continued voluntary </w:t>
      </w:r>
      <w:r w:rsidR="005069E2">
        <w:rPr>
          <w:rFonts w:cs="Calibri"/>
        </w:rPr>
        <w:t>contribution</w:t>
      </w:r>
      <w:r w:rsidR="00D47242" w:rsidRPr="00D82232">
        <w:rPr>
          <w:rFonts w:cs="Calibri"/>
        </w:rPr>
        <w:t xml:space="preserve"> increases </w:t>
      </w:r>
      <w:r w:rsidR="00A16757">
        <w:rPr>
          <w:rFonts w:cs="Calibri"/>
        </w:rPr>
        <w:t>by membership</w:t>
      </w:r>
      <w:r w:rsidR="005C7AEF">
        <w:rPr>
          <w:rFonts w:cs="Calibri"/>
        </w:rPr>
        <w:t>.</w:t>
      </w:r>
      <w:r w:rsidR="00A16757">
        <w:rPr>
          <w:rFonts w:cs="Calibri"/>
        </w:rPr>
        <w:t xml:space="preserve"> </w:t>
      </w:r>
    </w:p>
    <w:p w14:paraId="797A5C03" w14:textId="080545A4" w:rsidR="00D47242" w:rsidRPr="00D82232" w:rsidRDefault="00AB04F9" w:rsidP="00AB04F9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ED1DC9">
        <w:rPr>
          <w:rFonts w:cs="Calibri"/>
          <w:b/>
          <w:bCs/>
        </w:rPr>
        <w:t>Council</w:t>
      </w:r>
      <w:r w:rsidR="00647454">
        <w:rPr>
          <w:rFonts w:cs="Calibri"/>
          <w:b/>
          <w:bCs/>
        </w:rPr>
        <w:t>-</w:t>
      </w:r>
      <w:r w:rsidR="00ED1DC9">
        <w:rPr>
          <w:rFonts w:cs="Calibri"/>
          <w:b/>
          <w:bCs/>
        </w:rPr>
        <w:t>25</w:t>
      </w:r>
      <w:r w:rsidR="00D47242" w:rsidRPr="00647454">
        <w:rPr>
          <w:rFonts w:cs="Calibri"/>
          <w:b/>
          <w:bCs/>
        </w:rPr>
        <w:t>:</w:t>
      </w:r>
      <w:r w:rsidR="00D47242" w:rsidRPr="00D82232">
        <w:rPr>
          <w:rFonts w:cs="Calibri"/>
        </w:rPr>
        <w:t xml:space="preserve"> Endorsed the need for strategic alignment between CU levels and programme delivery but postponed CU increases due to broader economic uncertainty.</w:t>
      </w:r>
    </w:p>
    <w:p w14:paraId="48D47460" w14:textId="5B85D239" w:rsidR="00D47242" w:rsidRPr="00FA550C" w:rsidRDefault="00FA550C" w:rsidP="00346364">
      <w:pPr>
        <w:pStyle w:val="Heading1"/>
      </w:pPr>
      <w:r w:rsidRPr="00162252">
        <w:t>3</w:t>
      </w:r>
      <w:r w:rsidRPr="00162252">
        <w:tab/>
      </w:r>
      <w:r w:rsidR="00D47242" w:rsidRPr="00FA550C">
        <w:t xml:space="preserve">Contributory </w:t>
      </w:r>
      <w:r w:rsidR="008D0197" w:rsidRPr="00FA550C">
        <w:t xml:space="preserve">unit context </w:t>
      </w:r>
      <w:r w:rsidR="008D0197">
        <w:t>and</w:t>
      </w:r>
      <w:r w:rsidR="008D0197" w:rsidRPr="00FA550C">
        <w:t xml:space="preserve"> valuation</w:t>
      </w:r>
    </w:p>
    <w:p w14:paraId="198161D7" w14:textId="31F6710E" w:rsidR="00D47242" w:rsidRPr="002605B6" w:rsidRDefault="00D47242" w:rsidP="00346364">
      <w:pPr>
        <w:pStyle w:val="Headingb"/>
      </w:pPr>
      <w:r w:rsidRPr="002605B6">
        <w:t xml:space="preserve">No </w:t>
      </w:r>
      <w:r w:rsidR="008D0197" w:rsidRPr="002605B6">
        <w:t xml:space="preserve">growth in the contributory unit since </w:t>
      </w:r>
      <w:r w:rsidRPr="002605B6">
        <w:t>2006</w:t>
      </w:r>
    </w:p>
    <w:p w14:paraId="13933C37" w14:textId="045B1E90" w:rsidR="00D47242" w:rsidRPr="002605B6" w:rsidRDefault="008D0197" w:rsidP="00AB04F9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002605B6">
        <w:rPr>
          <w:rFonts w:cs="Calibri"/>
        </w:rPr>
        <w:t>As affirmed by Council Decision 5 (Rev. Busan, 2014) and later Decision 5 (Rev.</w:t>
      </w:r>
      <w:r w:rsidR="00647454">
        <w:rPr>
          <w:rFonts w:cs="Calibri"/>
        </w:rPr>
        <w:t> </w:t>
      </w:r>
      <w:r w:rsidR="0010502D">
        <w:rPr>
          <w:rFonts w:cs="Calibri"/>
        </w:rPr>
        <w:t>Buc</w:t>
      </w:r>
      <w:r w:rsidR="00B704CE">
        <w:rPr>
          <w:rFonts w:cs="Calibri"/>
        </w:rPr>
        <w:t>h</w:t>
      </w:r>
      <w:r w:rsidR="0010502D">
        <w:rPr>
          <w:rFonts w:cs="Calibri"/>
        </w:rPr>
        <w:t>arest</w:t>
      </w:r>
      <w:r w:rsidR="00D47242" w:rsidRPr="002605B6">
        <w:rPr>
          <w:rFonts w:cs="Calibri"/>
        </w:rPr>
        <w:t>, 20</w:t>
      </w:r>
      <w:r w:rsidR="00D72D1D">
        <w:rPr>
          <w:rFonts w:cs="Calibri"/>
        </w:rPr>
        <w:t>22</w:t>
      </w:r>
      <w:r w:rsidR="00D47242" w:rsidRPr="002605B6">
        <w:rPr>
          <w:rFonts w:cs="Calibri"/>
        </w:rPr>
        <w:t xml:space="preserve">), the nominal value of one </w:t>
      </w:r>
      <w:r w:rsidR="00D47242" w:rsidRPr="002605B6">
        <w:rPr>
          <w:rFonts w:cs="Calibri"/>
          <w:b/>
          <w:bCs/>
        </w:rPr>
        <w:t>CU</w:t>
      </w:r>
      <w:r w:rsidR="00D47242" w:rsidRPr="002605B6">
        <w:rPr>
          <w:rFonts w:cs="Calibri"/>
        </w:rPr>
        <w:t xml:space="preserve"> for Member States has been </w:t>
      </w:r>
      <w:r w:rsidR="00D47242" w:rsidRPr="002605B6">
        <w:rPr>
          <w:rFonts w:cs="Calibri"/>
          <w:b/>
          <w:bCs/>
        </w:rPr>
        <w:t>maintained at CHF 318</w:t>
      </w:r>
      <w:r>
        <w:rPr>
          <w:rFonts w:cs="Calibri"/>
          <w:b/>
          <w:bCs/>
        </w:rPr>
        <w:t> </w:t>
      </w:r>
      <w:r w:rsidR="00D47242" w:rsidRPr="002605B6">
        <w:rPr>
          <w:rFonts w:cs="Calibri"/>
          <w:b/>
          <w:bCs/>
        </w:rPr>
        <w:t>000</w:t>
      </w:r>
      <w:r w:rsidR="00D47242" w:rsidRPr="002605B6">
        <w:rPr>
          <w:rFonts w:cs="Calibri"/>
        </w:rPr>
        <w:t xml:space="preserve">, unchanged since </w:t>
      </w:r>
      <w:r w:rsidR="00D47242" w:rsidRPr="002605B6">
        <w:rPr>
          <w:rFonts w:cs="Calibri"/>
          <w:b/>
          <w:bCs/>
        </w:rPr>
        <w:t>2006</w:t>
      </w:r>
      <w:r w:rsidR="00D47242">
        <w:rPr>
          <w:rFonts w:cs="Calibri"/>
        </w:rPr>
        <w:t>.</w:t>
      </w:r>
    </w:p>
    <w:p w14:paraId="1279CBEC" w14:textId="211881B4" w:rsidR="00D47242" w:rsidRPr="002605B6" w:rsidRDefault="008D0197" w:rsidP="00AB04F9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4885BA87">
        <w:rPr>
          <w:rFonts w:cs="Calibri"/>
        </w:rPr>
        <w:t xml:space="preserve">This policy was reconfirmed at the Council session in </w:t>
      </w:r>
      <w:r w:rsidR="00A5256F" w:rsidRPr="4885BA87">
        <w:rPr>
          <w:rFonts w:cs="Calibri"/>
        </w:rPr>
        <w:t>June 2025</w:t>
      </w:r>
      <w:r w:rsidR="00D47242" w:rsidRPr="4885BA87">
        <w:rPr>
          <w:rFonts w:cs="Calibri"/>
        </w:rPr>
        <w:t xml:space="preserve">, when the CU was </w:t>
      </w:r>
      <w:r w:rsidR="005E65F9" w:rsidRPr="4885BA87">
        <w:rPr>
          <w:rFonts w:cs="Calibri"/>
        </w:rPr>
        <w:t xml:space="preserve">provisionally </w:t>
      </w:r>
      <w:r w:rsidR="00D47242" w:rsidRPr="4885BA87">
        <w:rPr>
          <w:rFonts w:cs="Calibri"/>
        </w:rPr>
        <w:t>set at CHF 318</w:t>
      </w:r>
      <w:r w:rsidR="00FF0DC7">
        <w:rPr>
          <w:rFonts w:cs="Calibri"/>
        </w:rPr>
        <w:t> </w:t>
      </w:r>
      <w:r w:rsidR="00D47242" w:rsidRPr="4885BA87">
        <w:rPr>
          <w:rFonts w:cs="Calibri"/>
        </w:rPr>
        <w:t>000 with zero nominal growth.</w:t>
      </w:r>
    </w:p>
    <w:p w14:paraId="6590CA37" w14:textId="7EFFCE30" w:rsidR="00D47242" w:rsidRDefault="008D0197" w:rsidP="00AB04F9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002605B6">
        <w:rPr>
          <w:rFonts w:cs="Calibri"/>
        </w:rPr>
        <w:t xml:space="preserve">Consequently, although the operational demands on ITU have increased over nearly two decades, the purchasing power of the CU has </w:t>
      </w:r>
      <w:r w:rsidR="00D47242" w:rsidRPr="002605B6">
        <w:rPr>
          <w:rFonts w:cs="Calibri"/>
          <w:b/>
          <w:bCs/>
        </w:rPr>
        <w:t>eroded steadily</w:t>
      </w:r>
      <w:r w:rsidR="00D47242" w:rsidRPr="002605B6">
        <w:rPr>
          <w:rFonts w:cs="Calibri"/>
        </w:rPr>
        <w:t>.</w:t>
      </w:r>
    </w:p>
    <w:p w14:paraId="7EAA83A2" w14:textId="0B932950" w:rsidR="00D47242" w:rsidRPr="002605B6" w:rsidRDefault="00D47242" w:rsidP="00346364">
      <w:pPr>
        <w:pStyle w:val="Headingb"/>
      </w:pPr>
      <w:r w:rsidRPr="002605B6">
        <w:lastRenderedPageBreak/>
        <w:t xml:space="preserve">Consequences of </w:t>
      </w:r>
      <w:r w:rsidR="008D0197" w:rsidRPr="002605B6">
        <w:t xml:space="preserve">stagnant </w:t>
      </w:r>
      <w:r w:rsidRPr="002605B6">
        <w:t xml:space="preserve">CU </w:t>
      </w:r>
      <w:r w:rsidR="008D0197" w:rsidRPr="002605B6">
        <w:t>growth</w:t>
      </w:r>
    </w:p>
    <w:p w14:paraId="6E88CE04" w14:textId="44348C57" w:rsidR="00D47242" w:rsidRPr="002605B6" w:rsidRDefault="00346364" w:rsidP="005A7328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4885BA87">
        <w:rPr>
          <w:rFonts w:cs="Calibri"/>
        </w:rPr>
        <w:t>Using cumulative Swiss CPI data (</w:t>
      </w:r>
      <w:r w:rsidR="00647454">
        <w:rPr>
          <w:rFonts w:ascii="Cambria Math" w:hAnsi="Cambria Math" w:cs="Calibri"/>
        </w:rPr>
        <w:t>∼</w:t>
      </w:r>
      <w:r w:rsidR="00D47242" w:rsidRPr="4885BA87">
        <w:rPr>
          <w:rFonts w:cs="Calibri"/>
        </w:rPr>
        <w:t>2% annual inflation), CHF 318</w:t>
      </w:r>
      <w:r w:rsidR="005A7328" w:rsidRPr="4885BA87">
        <w:rPr>
          <w:rFonts w:cs="Calibri"/>
        </w:rPr>
        <w:t> </w:t>
      </w:r>
      <w:r w:rsidR="00D47242" w:rsidRPr="4885BA87">
        <w:rPr>
          <w:rFonts w:cs="Calibri"/>
        </w:rPr>
        <w:t xml:space="preserve">000 in 2006 </w:t>
      </w:r>
      <w:r w:rsidR="4D882A36" w:rsidRPr="4885BA87">
        <w:rPr>
          <w:rFonts w:cs="Calibri"/>
        </w:rPr>
        <w:t xml:space="preserve">would </w:t>
      </w:r>
      <w:r w:rsidR="00D47242" w:rsidRPr="4885BA87">
        <w:rPr>
          <w:rFonts w:cs="Calibri"/>
        </w:rPr>
        <w:t xml:space="preserve">equate to roughly </w:t>
      </w:r>
      <w:r w:rsidR="00D47242" w:rsidRPr="4885BA87">
        <w:rPr>
          <w:rFonts w:cs="Calibri"/>
          <w:b/>
          <w:bCs/>
        </w:rPr>
        <w:t>CHF 412</w:t>
      </w:r>
      <w:r w:rsidR="005A7328" w:rsidRPr="4885BA87">
        <w:rPr>
          <w:rFonts w:cs="Calibri"/>
          <w:b/>
          <w:bCs/>
        </w:rPr>
        <w:t> </w:t>
      </w:r>
      <w:r w:rsidR="00D47242" w:rsidRPr="4885BA87">
        <w:rPr>
          <w:rFonts w:cs="Calibri"/>
          <w:b/>
          <w:bCs/>
        </w:rPr>
        <w:t>000 in 2025</w:t>
      </w:r>
      <w:r w:rsidR="00D47242" w:rsidRPr="4885BA87">
        <w:rPr>
          <w:rFonts w:cs="Calibri"/>
        </w:rPr>
        <w:t xml:space="preserve"> —a </w:t>
      </w:r>
      <w:r w:rsidR="00D47242" w:rsidRPr="4885BA87">
        <w:rPr>
          <w:rFonts w:cs="Calibri"/>
          <w:b/>
          <w:bCs/>
        </w:rPr>
        <w:t>30% erosion</w:t>
      </w:r>
      <w:r w:rsidR="00D47242" w:rsidRPr="4885BA87">
        <w:rPr>
          <w:rFonts w:cs="Calibri"/>
        </w:rPr>
        <w:t xml:space="preserve"> in real funding capacity.</w:t>
      </w:r>
    </w:p>
    <w:p w14:paraId="11546C83" w14:textId="16B0A97B" w:rsidR="00D47242" w:rsidRPr="002605B6" w:rsidRDefault="00346364" w:rsidP="005A7328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4885BA87">
        <w:rPr>
          <w:rFonts w:cs="Calibri"/>
        </w:rPr>
        <w:t>The unchanged CU has constrained core budget flexibility, making it difficult to fund new mandates, maintain staff competitiveness, or invest in modernization initiatives.</w:t>
      </w:r>
    </w:p>
    <w:p w14:paraId="6ED39735" w14:textId="1FB8B622" w:rsidR="00D47242" w:rsidRPr="002605B6" w:rsidRDefault="00346364" w:rsidP="005A7328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4885BA87">
        <w:rPr>
          <w:rFonts w:cs="Calibri"/>
        </w:rPr>
        <w:t xml:space="preserve">As a result, ITU has grown more reliant on </w:t>
      </w:r>
      <w:r w:rsidR="00D47242" w:rsidRPr="4885BA87">
        <w:rPr>
          <w:rFonts w:cs="Calibri"/>
          <w:b/>
          <w:bCs/>
        </w:rPr>
        <w:t>extrabudgetary funding</w:t>
      </w:r>
      <w:r w:rsidR="00D47242" w:rsidRPr="4885BA87">
        <w:rPr>
          <w:rFonts w:cs="Calibri"/>
        </w:rPr>
        <w:t xml:space="preserve">, </w:t>
      </w:r>
      <w:r w:rsidR="00D47242" w:rsidRPr="4885BA87">
        <w:rPr>
          <w:rFonts w:cs="Calibri"/>
          <w:b/>
          <w:bCs/>
        </w:rPr>
        <w:t>cost-recovery mechanisms</w:t>
      </w:r>
      <w:r w:rsidR="00D47242" w:rsidRPr="4885BA87">
        <w:rPr>
          <w:rFonts w:cs="Calibri"/>
        </w:rPr>
        <w:t>, and member-provided project financing to cover unmet core needs.</w:t>
      </w:r>
    </w:p>
    <w:p w14:paraId="465CC03E" w14:textId="527F3D24" w:rsidR="00D47242" w:rsidRPr="005A7328" w:rsidRDefault="00D47242" w:rsidP="00346364">
      <w:pPr>
        <w:pStyle w:val="Headingb"/>
      </w:pPr>
      <w:r w:rsidRPr="005A7328">
        <w:t xml:space="preserve">Importance of </w:t>
      </w:r>
      <w:r w:rsidR="008D0197" w:rsidRPr="005A7328">
        <w:t xml:space="preserve">addressing </w:t>
      </w:r>
      <w:r w:rsidRPr="005A7328">
        <w:t xml:space="preserve">CU </w:t>
      </w:r>
      <w:r w:rsidR="008D0197" w:rsidRPr="005A7328">
        <w:t>stagnation</w:t>
      </w:r>
    </w:p>
    <w:p w14:paraId="6F47EB41" w14:textId="34390300" w:rsidR="00D47242" w:rsidRPr="002605B6" w:rsidRDefault="00346364" w:rsidP="005A7328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002605B6">
        <w:rPr>
          <w:rFonts w:cs="Calibri"/>
          <w:b/>
          <w:bCs/>
        </w:rPr>
        <w:t>Restoring real CU value</w:t>
      </w:r>
      <w:r w:rsidR="00D47242" w:rsidRPr="002605B6">
        <w:rPr>
          <w:rFonts w:cs="Calibri"/>
        </w:rPr>
        <w:t xml:space="preserve"> is essential to prevent structural funding shortfalls and maintain ITU’s operational mandate.</w:t>
      </w:r>
    </w:p>
    <w:p w14:paraId="3519098F" w14:textId="7E85E8E7" w:rsidR="00D47242" w:rsidRPr="002605B6" w:rsidRDefault="00346364" w:rsidP="005A7328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002605B6">
        <w:rPr>
          <w:rFonts w:cs="Calibri"/>
        </w:rPr>
        <w:t>A modernized CU framework should balance:</w:t>
      </w:r>
    </w:p>
    <w:p w14:paraId="1C9090FD" w14:textId="34E89620" w:rsidR="00D47242" w:rsidRPr="002605B6" w:rsidRDefault="00346364" w:rsidP="00346364">
      <w:pPr>
        <w:pStyle w:val="enumlev2ComplexCalibri"/>
      </w:pPr>
      <w:r w:rsidRPr="00346364">
        <w:t>•</w:t>
      </w:r>
      <w:r w:rsidRPr="00346364">
        <w:tab/>
      </w:r>
      <w:r w:rsidR="00D47242" w:rsidRPr="002605B6">
        <w:rPr>
          <w:b/>
          <w:bCs/>
        </w:rPr>
        <w:t>Proportionality</w:t>
      </w:r>
      <w:r w:rsidR="00D47242" w:rsidRPr="00FF0DC7">
        <w:rPr>
          <w:b/>
          <w:bCs/>
        </w:rPr>
        <w:t>:</w:t>
      </w:r>
      <w:r w:rsidR="00D47242" w:rsidRPr="002605B6">
        <w:t xml:space="preserve"> contributions </w:t>
      </w:r>
      <w:r w:rsidR="00D47242" w:rsidRPr="00346364">
        <w:rPr>
          <w:rFonts w:cs="Times New Roman"/>
        </w:rPr>
        <w:t>reflect</w:t>
      </w:r>
      <w:r w:rsidR="00D47242" w:rsidRPr="002605B6">
        <w:t xml:space="preserve"> economic realities.</w:t>
      </w:r>
    </w:p>
    <w:p w14:paraId="7116EBCF" w14:textId="4504345B" w:rsidR="00D47242" w:rsidRPr="002605B6" w:rsidRDefault="00346364" w:rsidP="00346364">
      <w:pPr>
        <w:pStyle w:val="enumlev2"/>
        <w:jc w:val="both"/>
        <w:rPr>
          <w:rFonts w:cs="Calibri"/>
        </w:rPr>
      </w:pPr>
      <w:r w:rsidRPr="00346364">
        <w:t>•</w:t>
      </w:r>
      <w:r w:rsidRPr="00346364">
        <w:tab/>
      </w:r>
      <w:r w:rsidR="00D47242" w:rsidRPr="002605B6">
        <w:rPr>
          <w:rFonts w:cs="Calibri"/>
          <w:b/>
          <w:bCs/>
        </w:rPr>
        <w:t>Transparency</w:t>
      </w:r>
      <w:r w:rsidR="00D47242" w:rsidRPr="00FF0DC7">
        <w:rPr>
          <w:rFonts w:cs="Calibri"/>
          <w:b/>
          <w:bCs/>
        </w:rPr>
        <w:t>:</w:t>
      </w:r>
      <w:r w:rsidR="00D47242" w:rsidRPr="002605B6">
        <w:rPr>
          <w:rFonts w:cs="Calibri"/>
        </w:rPr>
        <w:t xml:space="preserve"> linking CU </w:t>
      </w:r>
      <w:r w:rsidR="00D47242" w:rsidRPr="00346364">
        <w:t>value</w:t>
      </w:r>
      <w:r w:rsidR="00D47242" w:rsidRPr="002605B6">
        <w:rPr>
          <w:rFonts w:cs="Calibri"/>
        </w:rPr>
        <w:t xml:space="preserve"> increases to clear, measurable performance gains.</w:t>
      </w:r>
    </w:p>
    <w:p w14:paraId="1761635B" w14:textId="565C986F" w:rsidR="00D47242" w:rsidRPr="002605B6" w:rsidRDefault="00346364" w:rsidP="00346364">
      <w:pPr>
        <w:pStyle w:val="enumlev2"/>
        <w:jc w:val="both"/>
      </w:pPr>
      <w:r w:rsidRPr="00346364">
        <w:t>•</w:t>
      </w:r>
      <w:r w:rsidRPr="00346364">
        <w:tab/>
      </w:r>
      <w:r w:rsidR="00D47242" w:rsidRPr="002605B6">
        <w:rPr>
          <w:b/>
          <w:bCs/>
        </w:rPr>
        <w:t>Sustainability</w:t>
      </w:r>
      <w:r w:rsidR="00D47242" w:rsidRPr="00FF0DC7">
        <w:rPr>
          <w:b/>
          <w:bCs/>
        </w:rPr>
        <w:t>:</w:t>
      </w:r>
      <w:r w:rsidR="00D47242" w:rsidRPr="002605B6">
        <w:t xml:space="preserve"> ensuring budget stability while investing strategically in programme delivery.</w:t>
      </w:r>
    </w:p>
    <w:p w14:paraId="69466713" w14:textId="130136F5" w:rsidR="008F556C" w:rsidRPr="00FA550C" w:rsidRDefault="00FA550C" w:rsidP="00346364">
      <w:pPr>
        <w:pStyle w:val="Heading1"/>
      </w:pPr>
      <w:r>
        <w:t>4</w:t>
      </w:r>
      <w:r>
        <w:tab/>
      </w:r>
      <w:r w:rsidR="7B0478EB">
        <w:t>Factors</w:t>
      </w:r>
      <w:r w:rsidR="00A16757">
        <w:t xml:space="preserve"> for </w:t>
      </w:r>
      <w:r w:rsidR="00346364">
        <w:t>review and revision of the contributory unit</w:t>
      </w:r>
    </w:p>
    <w:p w14:paraId="41807E89" w14:textId="455A2AD7" w:rsidR="008F556C" w:rsidRPr="008F556C" w:rsidRDefault="008F556C" w:rsidP="005A1078">
      <w:pPr>
        <w:jc w:val="both"/>
      </w:pPr>
      <w:r>
        <w:t xml:space="preserve">As the financial landscape for international organizations continues to evolve, it is </w:t>
      </w:r>
      <w:r w:rsidR="00FD0EBE">
        <w:t>timely</w:t>
      </w:r>
      <w:r>
        <w:t xml:space="preserve"> for ITU to reassess the framework governing</w:t>
      </w:r>
      <w:r w:rsidR="00FD0EBE">
        <w:t xml:space="preserve"> the CU, and to introduce a more predictable, data based, approach to revisions of the CU</w:t>
      </w:r>
      <w:r>
        <w:t xml:space="preserve">. Stagnation in CU value, coupled with growing operational demands and inflationary pressures, has placed increasing strain on the Union’s capacity to deliver on its core mandate. In this context, a structured </w:t>
      </w:r>
      <w:r w:rsidR="00FD0EBE">
        <w:t xml:space="preserve">process is desirable for </w:t>
      </w:r>
      <w:r>
        <w:t xml:space="preserve">review of the CU is essential to ensure the organization’s long-term sustainability, effectiveness, and alignment with member priorities. </w:t>
      </w:r>
      <w:r w:rsidR="00FD0EBE">
        <w:t xml:space="preserve">Below, the Secretariat has </w:t>
      </w:r>
      <w:r>
        <w:t>outline</w:t>
      </w:r>
      <w:r w:rsidR="00FD0EBE">
        <w:t>d</w:t>
      </w:r>
      <w:r>
        <w:t xml:space="preserve"> </w:t>
      </w:r>
      <w:r w:rsidR="00FD0EBE">
        <w:t>three</w:t>
      </w:r>
      <w:r>
        <w:t xml:space="preserve"> </w:t>
      </w:r>
      <w:r w:rsidR="5C6EF6EC">
        <w:t>factors that could be incorporated into a methodology</w:t>
      </w:r>
      <w:r>
        <w:t xml:space="preserve"> for revising the CU, each </w:t>
      </w:r>
      <w:r w:rsidR="052F1798">
        <w:t>providing</w:t>
      </w:r>
      <w:r w:rsidR="70FBC124">
        <w:t xml:space="preserve"> specific</w:t>
      </w:r>
      <w:r>
        <w:t xml:space="preserve"> advantages and considerations for ITU’s future financial health</w:t>
      </w:r>
      <w:r w:rsidR="00FD0EBE">
        <w:t>.</w:t>
      </w:r>
      <w:r w:rsidR="008D7F88">
        <w:t xml:space="preserve"> </w:t>
      </w:r>
    </w:p>
    <w:p w14:paraId="47DDC4FD" w14:textId="6F677849" w:rsidR="00A24845" w:rsidRDefault="422F1D5F" w:rsidP="00346364">
      <w:pPr>
        <w:pStyle w:val="Headingb"/>
      </w:pPr>
      <w:r>
        <w:t>Factor</w:t>
      </w:r>
      <w:r w:rsidR="00A24845">
        <w:t xml:space="preserve"> 1 – Inflation </w:t>
      </w:r>
    </w:p>
    <w:p w14:paraId="21DAFD72" w14:textId="5FAAA7E2" w:rsidR="00A24845" w:rsidRDefault="001054E9" w:rsidP="008D00A8">
      <w:pPr>
        <w:jc w:val="both"/>
      </w:pPr>
      <w:r>
        <w:t xml:space="preserve">One approach to review of the CU would base the calculation of a new CU on applying </w:t>
      </w:r>
      <w:r w:rsidR="00A24845">
        <w:t>cumulative inflation since 2006</w:t>
      </w:r>
      <w:r w:rsidR="00697B70">
        <w:t xml:space="preserve"> to the CU</w:t>
      </w:r>
      <w:r w:rsidR="00A24845">
        <w:t>. According to Swiss CPI data, the CHF 318</w:t>
      </w:r>
      <w:r w:rsidR="00346364">
        <w:t> </w:t>
      </w:r>
      <w:r w:rsidR="00A24845">
        <w:t xml:space="preserve">000 CU has lost approximately 30% of its value. An inflation-adjusted CU would restore purchasing power without requiring structural changes. </w:t>
      </w:r>
      <w:r>
        <w:t xml:space="preserve">However, </w:t>
      </w:r>
      <w:r w:rsidR="47E08515">
        <w:t xml:space="preserve">of itself </w:t>
      </w:r>
      <w:r>
        <w:t xml:space="preserve">this approach does not link funding to performance or service outcomes. </w:t>
      </w:r>
    </w:p>
    <w:p w14:paraId="2A363372" w14:textId="49B39329" w:rsidR="002C25E7" w:rsidRDefault="1DC09E4C" w:rsidP="00346364">
      <w:pPr>
        <w:pStyle w:val="Headingb"/>
      </w:pPr>
      <w:r>
        <w:t>Factor</w:t>
      </w:r>
      <w:r w:rsidR="002C25E7">
        <w:t xml:space="preserve"> 2 – Performance-</w:t>
      </w:r>
      <w:r w:rsidR="00346364">
        <w:t>linked adjustment</w:t>
      </w:r>
    </w:p>
    <w:p w14:paraId="7C605355" w14:textId="284C739A" w:rsidR="002C25E7" w:rsidRDefault="00F11A22" w:rsidP="008D00A8">
      <w:pPr>
        <w:jc w:val="both"/>
      </w:pPr>
      <w:r>
        <w:t xml:space="preserve">A second </w:t>
      </w:r>
      <w:r w:rsidR="282C7E81">
        <w:t>factor</w:t>
      </w:r>
      <w:r>
        <w:t xml:space="preserve"> </w:t>
      </w:r>
      <w:r w:rsidR="57FDAAF9">
        <w:t>could</w:t>
      </w:r>
      <w:r w:rsidR="002C25E7">
        <w:t xml:space="preserve"> </w:t>
      </w:r>
      <w:r w:rsidR="4C8C4AF5">
        <w:t>allow for</w:t>
      </w:r>
      <w:r w:rsidR="002C25E7">
        <w:t xml:space="preserve"> CU increases to measurable improvements in ITU’s efficiency, transparency, and programme delivery. </w:t>
      </w:r>
      <w:r>
        <w:t>This</w:t>
      </w:r>
      <w:r w:rsidR="002C25E7">
        <w:t xml:space="preserve"> reflects a broader UN system trend toward results-based budgeting and accountability, as </w:t>
      </w:r>
      <w:r>
        <w:t>recognised by the ITU Transformation Initiative</w:t>
      </w:r>
      <w:r w:rsidR="00CC3A42">
        <w:t>,</w:t>
      </w:r>
      <w:r>
        <w:t xml:space="preserve"> and </w:t>
      </w:r>
      <w:r w:rsidR="002C25E7">
        <w:t xml:space="preserve">emphasized </w:t>
      </w:r>
      <w:r>
        <w:t>more recently</w:t>
      </w:r>
      <w:r w:rsidR="002C25E7">
        <w:t xml:space="preserve"> by the </w:t>
      </w:r>
      <w:r>
        <w:t xml:space="preserve">UN </w:t>
      </w:r>
      <w:r w:rsidR="002C25E7">
        <w:t xml:space="preserve">Secretary-General’s 2025 reform agenda. Performance indicators </w:t>
      </w:r>
      <w:r w:rsidR="00CC3A42">
        <w:t xml:space="preserve">that could be used to assess the suitability of an increased CU </w:t>
      </w:r>
      <w:r w:rsidR="002C25E7">
        <w:t>could include reductions in administrative overheads, digitization of internal processes, and improved service turnaround times.</w:t>
      </w:r>
    </w:p>
    <w:p w14:paraId="751D40E6" w14:textId="77777777" w:rsidR="00D47242" w:rsidRPr="00D82232" w:rsidRDefault="00D47242" w:rsidP="00D54372">
      <w:pPr>
        <w:keepNext/>
      </w:pPr>
      <w:r w:rsidRPr="00D82232">
        <w:lastRenderedPageBreak/>
        <w:t>Under this model:</w:t>
      </w:r>
    </w:p>
    <w:p w14:paraId="7E4F9AE8" w14:textId="14123A38" w:rsidR="00D47242" w:rsidRPr="00D82232" w:rsidRDefault="00AE7EC1" w:rsidP="00AE7EC1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428CF903">
        <w:rPr>
          <w:rFonts w:cs="Calibri"/>
        </w:rPr>
        <w:t xml:space="preserve">CU </w:t>
      </w:r>
      <w:r w:rsidR="1E197904" w:rsidRPr="428CF903">
        <w:rPr>
          <w:rFonts w:cs="Calibri"/>
        </w:rPr>
        <w:t>adjustments</w:t>
      </w:r>
      <w:r w:rsidR="00D47242" w:rsidRPr="428CF903">
        <w:rPr>
          <w:rFonts w:cs="Calibri"/>
        </w:rPr>
        <w:t xml:space="preserve"> would </w:t>
      </w:r>
      <w:r w:rsidR="00D47242">
        <w:t>be</w:t>
      </w:r>
      <w:r w:rsidR="00D47242" w:rsidRPr="428CF903">
        <w:rPr>
          <w:rFonts w:cs="Calibri"/>
        </w:rPr>
        <w:t xml:space="preserve"> </w:t>
      </w:r>
      <w:r w:rsidR="00D47242">
        <w:t>justified</w:t>
      </w:r>
      <w:r w:rsidR="00D47242" w:rsidRPr="428CF903">
        <w:rPr>
          <w:rFonts w:cs="Calibri"/>
        </w:rPr>
        <w:t xml:space="preserve"> based on demonstrable improvements in how the Secretariat delivers services</w:t>
      </w:r>
      <w:r w:rsidR="73127CB1" w:rsidRPr="428CF903">
        <w:rPr>
          <w:rFonts w:cs="Calibri"/>
        </w:rPr>
        <w:t xml:space="preserve"> (efficiency improvements could be captured in savings, reinvestments or justification for additional investments)</w:t>
      </w:r>
      <w:r w:rsidR="00D47242" w:rsidRPr="428CF903">
        <w:rPr>
          <w:rFonts w:cs="Calibri"/>
        </w:rPr>
        <w:t>.</w:t>
      </w:r>
    </w:p>
    <w:p w14:paraId="4EF6B117" w14:textId="72362388" w:rsidR="00D47242" w:rsidRPr="00D82232" w:rsidRDefault="00AE7EC1" w:rsidP="00AE7EC1">
      <w:pPr>
        <w:pStyle w:val="enumlev1"/>
        <w:jc w:val="both"/>
      </w:pPr>
      <w:r>
        <w:t>–</w:t>
      </w:r>
      <w:r>
        <w:tab/>
      </w:r>
      <w:r w:rsidR="00D47242" w:rsidRPr="00D82232">
        <w:t xml:space="preserve">Performance would be measured through agreed indicators such as reductions in administrative </w:t>
      </w:r>
      <w:r w:rsidR="00D47242" w:rsidRPr="00AE7EC1">
        <w:t>overheads</w:t>
      </w:r>
      <w:r w:rsidR="00D47242" w:rsidRPr="00D82232">
        <w:t>, improvement in service turnaround times, and enhanced support to Member States.</w:t>
      </w:r>
    </w:p>
    <w:p w14:paraId="68F48E1A" w14:textId="0BE6626E" w:rsidR="00D47242" w:rsidRPr="00D82232" w:rsidRDefault="00AE7EC1" w:rsidP="00AE7EC1">
      <w:pPr>
        <w:pStyle w:val="enumlev1"/>
        <w:jc w:val="both"/>
        <w:rPr>
          <w:rFonts w:cs="Calibri"/>
        </w:rPr>
      </w:pPr>
      <w:r>
        <w:t>–</w:t>
      </w:r>
      <w:r>
        <w:tab/>
      </w:r>
      <w:r w:rsidR="00D47242" w:rsidRPr="4885BA87">
        <w:rPr>
          <w:rFonts w:cs="Calibri"/>
        </w:rPr>
        <w:t xml:space="preserve">An evidence-based </w:t>
      </w:r>
      <w:r w:rsidR="00D47242">
        <w:t>approach</w:t>
      </w:r>
      <w:r w:rsidR="00D47242" w:rsidRPr="4885BA87">
        <w:rPr>
          <w:rFonts w:cs="Calibri"/>
        </w:rPr>
        <w:t xml:space="preserve"> would strengthen the Union’s case for increased resources while building trust and accountability among contributors.</w:t>
      </w:r>
    </w:p>
    <w:p w14:paraId="1E43A57D" w14:textId="07FCF781" w:rsidR="002C25E7" w:rsidRDefault="25D74A8C" w:rsidP="00346364">
      <w:pPr>
        <w:pStyle w:val="Headingb"/>
      </w:pPr>
      <w:r>
        <w:t>Factor</w:t>
      </w:r>
      <w:r w:rsidR="002C25E7">
        <w:t xml:space="preserve"> 3 – Cost </w:t>
      </w:r>
      <w:r w:rsidR="00AE7EC1">
        <w:t>coverage for expanded mandates</w:t>
      </w:r>
    </w:p>
    <w:p w14:paraId="6072390F" w14:textId="72DF8657" w:rsidR="002C25E7" w:rsidRPr="002C25E7" w:rsidRDefault="00863CB6" w:rsidP="00FA1179">
      <w:pPr>
        <w:jc w:val="both"/>
      </w:pPr>
      <w:r>
        <w:t>A third approach</w:t>
      </w:r>
      <w:r w:rsidR="002C25E7">
        <w:t xml:space="preserve"> </w:t>
      </w:r>
      <w:r>
        <w:t>could be based on</w:t>
      </w:r>
      <w:r w:rsidR="002C25E7">
        <w:t xml:space="preserve"> revising the CU in response to increased operational demands placed on the ITU by its membership</w:t>
      </w:r>
      <w:r>
        <w:t xml:space="preserve">, through decisions </w:t>
      </w:r>
      <w:r w:rsidR="00F7632A">
        <w:t xml:space="preserve">and </w:t>
      </w:r>
      <w:r w:rsidR="00B70A25">
        <w:t xml:space="preserve">resolutions </w:t>
      </w:r>
      <w:r>
        <w:t>at ITU’s World Conferences and Assemblies</w:t>
      </w:r>
      <w:r w:rsidR="002C25E7">
        <w:t xml:space="preserve">. As the scope of ITU’s work </w:t>
      </w:r>
      <w:r>
        <w:t xml:space="preserve">is changed </w:t>
      </w:r>
      <w:r w:rsidR="002C25E7">
        <w:t xml:space="preserve">—including new digital mandates, capacity-building programmes, and normative roles— </w:t>
      </w:r>
      <w:r>
        <w:t xml:space="preserve">decisions increasing the CU could be made to ensure that </w:t>
      </w:r>
      <w:r w:rsidR="002C25E7">
        <w:t xml:space="preserve">the Union </w:t>
      </w:r>
      <w:r>
        <w:t>is</w:t>
      </w:r>
      <w:r w:rsidR="002C25E7">
        <w:t xml:space="preserve"> adequately resourced to deliver. This model</w:t>
      </w:r>
      <w:r>
        <w:t>, similar to the approach currently used to fund the UN Secretariat,</w:t>
      </w:r>
      <w:r w:rsidR="002C25E7">
        <w:t xml:space="preserve"> would assess the cost of fulfilling new or expanded mandates and propose incremental CU increases based on those cost estimates. It </w:t>
      </w:r>
      <w:r>
        <w:t>would</w:t>
      </w:r>
      <w:r w:rsidR="002C25E7">
        <w:t xml:space="preserve"> ensure alignment between resource needs and strategic priorities. </w:t>
      </w:r>
    </w:p>
    <w:p w14:paraId="1903DDBA" w14:textId="77777777" w:rsidR="002C25E7" w:rsidRPr="002C25E7" w:rsidRDefault="002C25E7" w:rsidP="00FA1179">
      <w:r w:rsidRPr="002C25E7">
        <w:t>Under this model:</w:t>
      </w:r>
    </w:p>
    <w:p w14:paraId="445DE3EA" w14:textId="352A06A1" w:rsidR="002C25E7" w:rsidRPr="002C25E7" w:rsidRDefault="00FA1179" w:rsidP="00FA1179">
      <w:pPr>
        <w:pStyle w:val="enumlev1"/>
        <w:jc w:val="both"/>
      </w:pPr>
      <w:r>
        <w:t>–</w:t>
      </w:r>
      <w:r>
        <w:tab/>
      </w:r>
      <w:r w:rsidR="002C25E7">
        <w:t>The cost implications of new mandates</w:t>
      </w:r>
      <w:r w:rsidR="00022925">
        <w:t xml:space="preserve"> or</w:t>
      </w:r>
      <w:r w:rsidR="00544ED3">
        <w:t xml:space="preserve"> </w:t>
      </w:r>
      <w:r w:rsidR="00BA03EF">
        <w:t xml:space="preserve">changes to </w:t>
      </w:r>
      <w:r w:rsidR="00544ED3">
        <w:t xml:space="preserve">mandate </w:t>
      </w:r>
      <w:r w:rsidR="58759C75">
        <w:t>driven</w:t>
      </w:r>
      <w:r w:rsidR="00544ED3">
        <w:t xml:space="preserve"> by decisions </w:t>
      </w:r>
      <w:r w:rsidR="0A101398">
        <w:t xml:space="preserve">and resolutions </w:t>
      </w:r>
      <w:r w:rsidR="00544ED3">
        <w:t>at ITU World Conferences and Assemblies</w:t>
      </w:r>
      <w:r w:rsidR="00022925">
        <w:t xml:space="preserve"> would be assessed and quantified</w:t>
      </w:r>
      <w:r w:rsidR="002C25E7">
        <w:t>.</w:t>
      </w:r>
    </w:p>
    <w:p w14:paraId="60FD5C73" w14:textId="0314E618" w:rsidR="002C25E7" w:rsidRPr="002C25E7" w:rsidRDefault="00FA1179" w:rsidP="00FA1179">
      <w:pPr>
        <w:pStyle w:val="enumlev1"/>
        <w:jc w:val="both"/>
      </w:pPr>
      <w:r>
        <w:t>–</w:t>
      </w:r>
      <w:r>
        <w:tab/>
      </w:r>
      <w:r w:rsidR="002C25E7" w:rsidRPr="002C25E7">
        <w:t>These mandate</w:t>
      </w:r>
      <w:r w:rsidR="00A205F2">
        <w:t xml:space="preserve"> changes</w:t>
      </w:r>
      <w:r w:rsidR="002C25E7" w:rsidRPr="002C25E7">
        <w:t xml:space="preserve"> would be aggregated, and a corresponding CU adjustment proposed to </w:t>
      </w:r>
      <w:r w:rsidR="007A13C0">
        <w:t>address revisions to ITU’s</w:t>
      </w:r>
      <w:r w:rsidR="002C25E7" w:rsidRPr="002C25E7">
        <w:t xml:space="preserve"> core budget needs</w:t>
      </w:r>
      <w:r w:rsidR="00A205F2">
        <w:t>.</w:t>
      </w:r>
    </w:p>
    <w:p w14:paraId="72D09CD0" w14:textId="48A22609" w:rsidR="002C25E7" w:rsidRPr="002C25E7" w:rsidRDefault="00FA1179" w:rsidP="00FA1179">
      <w:pPr>
        <w:pStyle w:val="enumlev1"/>
        <w:jc w:val="both"/>
      </w:pPr>
      <w:r>
        <w:t>–</w:t>
      </w:r>
      <w:r>
        <w:tab/>
      </w:r>
      <w:r w:rsidR="002C25E7" w:rsidRPr="002C25E7">
        <w:t xml:space="preserve">The approach creates a direct link between political decisions and their financial consequences, ensuring that the organization remains </w:t>
      </w:r>
      <w:r w:rsidR="007A13C0">
        <w:t>suitably</w:t>
      </w:r>
      <w:r w:rsidR="002C25E7" w:rsidRPr="002C25E7">
        <w:t xml:space="preserve"> resourced to deliver on Member State priorities.</w:t>
      </w:r>
    </w:p>
    <w:p w14:paraId="481CCD20" w14:textId="4C5D7EE0" w:rsidR="002C25E7" w:rsidRPr="002C25E7" w:rsidRDefault="002C25E7" w:rsidP="00FF0DC7">
      <w:pPr>
        <w:spacing w:line="259" w:lineRule="auto"/>
        <w:jc w:val="both"/>
      </w:pPr>
      <w:r>
        <w:t xml:space="preserve">This </w:t>
      </w:r>
      <w:r w:rsidR="449FABF3">
        <w:t xml:space="preserve">factor </w:t>
      </w:r>
      <w:r>
        <w:t xml:space="preserve">complements inflation and performance-based approaches by addressing a different driver of financial pressure: the cumulative impact of </w:t>
      </w:r>
      <w:r w:rsidR="007A13C0">
        <w:t xml:space="preserve">member state </w:t>
      </w:r>
      <w:r>
        <w:t xml:space="preserve">decisions </w:t>
      </w:r>
      <w:r w:rsidR="007A13C0">
        <w:t>that impact</w:t>
      </w:r>
      <w:r>
        <w:t xml:space="preserve"> ITU’s role. It also reinforces the principle of shared responsibility for maintaining the organization’s ability to deliver.</w:t>
      </w:r>
    </w:p>
    <w:p w14:paraId="6B0A84C7" w14:textId="13BC52C1" w:rsidR="00D47242" w:rsidRPr="00FA550C" w:rsidRDefault="00FA550C" w:rsidP="00346364">
      <w:pPr>
        <w:pStyle w:val="Heading1"/>
      </w:pPr>
      <w:r w:rsidRPr="00CC213D">
        <w:t>5</w:t>
      </w:r>
      <w:r w:rsidRPr="00CC213D">
        <w:tab/>
      </w:r>
      <w:r w:rsidR="00D47242" w:rsidRPr="00FA550C">
        <w:t>Conclusion</w:t>
      </w:r>
    </w:p>
    <w:p w14:paraId="797F0873" w14:textId="12628CEF" w:rsidR="00E04FA5" w:rsidRDefault="002C25E7" w:rsidP="005A1078">
      <w:pPr>
        <w:jc w:val="both"/>
      </w:pPr>
      <w:r>
        <w:t xml:space="preserve">This </w:t>
      </w:r>
      <w:r w:rsidR="00E04FA5">
        <w:t>document presents</w:t>
      </w:r>
      <w:r>
        <w:t xml:space="preserve"> three </w:t>
      </w:r>
      <w:r w:rsidR="544E62C4">
        <w:t>factor</w:t>
      </w:r>
      <w:r>
        <w:t>s for adjusting the ITU Contributory Unit</w:t>
      </w:r>
      <w:r w:rsidR="00726E96">
        <w:t>, for consideration by CWG-FHR and further guidance to the Secretariat</w:t>
      </w:r>
      <w:r>
        <w:t xml:space="preserve">. </w:t>
      </w:r>
      <w:r w:rsidR="00E04FA5">
        <w:t>It is suggested that the selected methodology could comprise a combination of the</w:t>
      </w:r>
      <w:r w:rsidR="34FFBFC0">
        <w:t>se</w:t>
      </w:r>
      <w:r w:rsidR="00E04FA5">
        <w:t xml:space="preserve"> </w:t>
      </w:r>
      <w:r w:rsidR="4355D493">
        <w:t>factor</w:t>
      </w:r>
      <w:r w:rsidR="00DF53CC">
        <w:t>s</w:t>
      </w:r>
      <w:r w:rsidR="00E04FA5">
        <w:t>. To ensure sustainability</w:t>
      </w:r>
      <w:r w:rsidR="00FA1179">
        <w:t>,</w:t>
      </w:r>
      <w:r w:rsidR="00E04FA5">
        <w:t xml:space="preserve"> the </w:t>
      </w:r>
      <w:r w:rsidR="00FA1179">
        <w:t xml:space="preserve">secretariat </w:t>
      </w:r>
      <w:r w:rsidR="00E04FA5">
        <w:t>recommends that the methodology be established as an ongoing principle</w:t>
      </w:r>
      <w:r w:rsidR="005E1684">
        <w:t xml:space="preserve"> for future application</w:t>
      </w:r>
      <w:r w:rsidR="00E04FA5">
        <w:t xml:space="preserve">, rather than </w:t>
      </w:r>
      <w:r w:rsidR="005E1684">
        <w:t>through</w:t>
      </w:r>
      <w:r w:rsidR="00E04FA5">
        <w:t xml:space="preserve"> </w:t>
      </w:r>
      <w:r w:rsidR="005E1684">
        <w:t>one-off</w:t>
      </w:r>
      <w:r w:rsidR="00E04FA5">
        <w:t xml:space="preserve"> decisions. </w:t>
      </w:r>
    </w:p>
    <w:p w14:paraId="65A5F6FF" w14:textId="30FEE5DE" w:rsidR="005A1078" w:rsidRDefault="005A1078" w:rsidP="428CF903">
      <w:pPr>
        <w:jc w:val="both"/>
      </w:pPr>
    </w:p>
    <w:p w14:paraId="04CA4AA5" w14:textId="00B37BE7" w:rsidR="00AB04F9" w:rsidRDefault="00AB04F9">
      <w:pPr>
        <w:jc w:val="center"/>
      </w:pPr>
      <w:r>
        <w:t>______________</w:t>
      </w:r>
    </w:p>
    <w:sectPr w:rsidR="00AB04F9" w:rsidSect="00AD3606">
      <w:footerReference w:type="default" r:id="rId13"/>
      <w:headerReference w:type="first" r:id="rId14"/>
      <w:footerReference w:type="first" r:id="rId1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2876" w14:textId="77777777" w:rsidR="006547F8" w:rsidRDefault="006547F8">
      <w:r>
        <w:separator/>
      </w:r>
    </w:p>
  </w:endnote>
  <w:endnote w:type="continuationSeparator" w:id="0">
    <w:p w14:paraId="47F4F968" w14:textId="77777777" w:rsidR="006547F8" w:rsidRDefault="0065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7DF8D60D" w14:textId="77777777">
      <w:trPr>
        <w:jc w:val="center"/>
      </w:trPr>
      <w:tc>
        <w:tcPr>
          <w:tcW w:w="1803" w:type="dxa"/>
          <w:vAlign w:val="center"/>
        </w:tcPr>
        <w:p w14:paraId="42F3407A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8FD7186" w14:textId="18986F76" w:rsidR="00EE49E8" w:rsidRPr="00BA3A51" w:rsidRDefault="00EE49E8" w:rsidP="000F6AB8">
          <w:pPr>
            <w:pStyle w:val="Header"/>
            <w:tabs>
              <w:tab w:val="left" w:pos="630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r w:rsidR="00A52C84" w:rsidRPr="00BA3A51">
            <w:rPr>
              <w:bCs/>
              <w:lang w:val="fr-CH"/>
            </w:rPr>
            <w:t>CWG-</w:t>
          </w:r>
          <w:r w:rsidR="000F6AB8">
            <w:rPr>
              <w:bCs/>
              <w:lang w:val="fr-CH"/>
            </w:rPr>
            <w:t>FHR</w:t>
          </w:r>
          <w:r w:rsidR="00A52C84" w:rsidRPr="00BA3A51">
            <w:rPr>
              <w:bCs/>
              <w:lang w:val="fr-CH"/>
            </w:rPr>
            <w:t>-</w:t>
          </w:r>
          <w:r w:rsidR="0025570E">
            <w:rPr>
              <w:bCs/>
              <w:lang w:val="fr-CH"/>
            </w:rPr>
            <w:t>2</w:t>
          </w:r>
          <w:r w:rsidR="00C345D4">
            <w:rPr>
              <w:bCs/>
              <w:lang w:val="fr-CH"/>
            </w:rPr>
            <w:t>1</w:t>
          </w:r>
          <w:r w:rsidR="000F6AB8">
            <w:rPr>
              <w:bCs/>
              <w:lang w:val="fr-CH"/>
            </w:rPr>
            <w:t>/</w:t>
          </w:r>
          <w:r w:rsidR="00C345D4">
            <w:rPr>
              <w:bCs/>
              <w:lang w:val="fr-CH"/>
            </w:rPr>
            <w:t>13</w:t>
          </w:r>
          <w:r w:rsidR="00A52C84" w:rsidRPr="00BA3A51">
            <w:rPr>
              <w:bCs/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E38AFA7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3EF303D2" w14:textId="77777777" w:rsidTr="00A52C84">
      <w:trPr>
        <w:jc w:val="center"/>
      </w:trPr>
      <w:tc>
        <w:tcPr>
          <w:tcW w:w="3107" w:type="dxa"/>
          <w:vAlign w:val="center"/>
        </w:tcPr>
        <w:p w14:paraId="5F132838" w14:textId="004A268B" w:rsidR="00EE49E8" w:rsidRPr="00F56F10" w:rsidRDefault="0025570E" w:rsidP="00B262F8">
          <w:pPr>
            <w:pStyle w:val="Header"/>
            <w:jc w:val="left"/>
            <w:rPr>
              <w:noProof/>
            </w:rPr>
          </w:pPr>
          <w:hyperlink r:id="rId1" w:history="1">
            <w:r w:rsidRPr="00F56F10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7CFADCBC" w14:textId="3BF120CC" w:rsidR="00EE49E8" w:rsidRPr="000F6AB8" w:rsidRDefault="00EE49E8" w:rsidP="000F6AB8">
          <w:pPr>
            <w:pStyle w:val="Header"/>
            <w:tabs>
              <w:tab w:val="left" w:pos="500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>C</w:t>
          </w:r>
          <w:r w:rsidR="00A52C84" w:rsidRPr="000F6AB8">
            <w:rPr>
              <w:bCs/>
              <w:lang w:val="es-ES"/>
            </w:rPr>
            <w:t>WG-</w:t>
          </w:r>
          <w:r w:rsidR="000F6AB8" w:rsidRPr="000F6AB8">
            <w:rPr>
              <w:bCs/>
              <w:lang w:val="es-ES"/>
            </w:rPr>
            <w:t>FHR</w:t>
          </w:r>
          <w:r w:rsidR="00A52C84" w:rsidRPr="000F6AB8">
            <w:rPr>
              <w:bCs/>
              <w:lang w:val="es-ES"/>
            </w:rPr>
            <w:t>-</w:t>
          </w:r>
          <w:r w:rsidR="0025570E" w:rsidRPr="000F6AB8">
            <w:rPr>
              <w:bCs/>
              <w:lang w:val="es-ES"/>
            </w:rPr>
            <w:t>2</w:t>
          </w:r>
          <w:r w:rsidR="00C345D4">
            <w:rPr>
              <w:bCs/>
              <w:lang w:val="es-ES"/>
            </w:rPr>
            <w:t>1</w:t>
          </w:r>
          <w:r w:rsidRPr="000F6AB8">
            <w:rPr>
              <w:bCs/>
              <w:lang w:val="es-ES"/>
            </w:rPr>
            <w:t>/</w:t>
          </w:r>
          <w:r w:rsidR="00C345D4">
            <w:rPr>
              <w:bCs/>
              <w:lang w:val="es-ES"/>
            </w:rPr>
            <w:t>13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BE65BF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7AFE" w14:textId="77777777" w:rsidR="006547F8" w:rsidRDefault="006547F8">
      <w:r>
        <w:t>____________________</w:t>
      </w:r>
    </w:p>
  </w:footnote>
  <w:footnote w:type="continuationSeparator" w:id="0">
    <w:p w14:paraId="3E15BB1F" w14:textId="77777777" w:rsidR="006547F8" w:rsidRDefault="0065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CE00B2" w:rsidRPr="00784011" w14:paraId="35595E88" w14:textId="77777777" w:rsidTr="00091EC0">
      <w:trPr>
        <w:trHeight w:val="1304"/>
        <w:jc w:val="center"/>
      </w:trPr>
      <w:tc>
        <w:tcPr>
          <w:tcW w:w="6546" w:type="dxa"/>
        </w:tcPr>
        <w:bookmarkStart w:id="11" w:name="_Hlk133422111"/>
        <w:p w14:paraId="268B4BE3" w14:textId="77777777" w:rsidR="00CE00B2" w:rsidRPr="009621F8" w:rsidRDefault="00CE00B2" w:rsidP="00CE00B2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267B77B" wp14:editId="3FF6E491">
                    <wp:simplePos x="0" y="0"/>
                    <wp:positionH relativeFrom="column">
                      <wp:posOffset>1436426</wp:posOffset>
                    </wp:positionH>
                    <wp:positionV relativeFrom="paragraph">
                      <wp:posOffset>5715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6D921E" w14:textId="77777777" w:rsidR="00CE00B2" w:rsidRDefault="00CE00B2" w:rsidP="00CE00B2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financial and human resources</w:t>
                                </w:r>
                                <w:r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Twenty-first </w:t>
                                </w:r>
                                <w:r w:rsidRPr="0060523F">
                                  <w:rPr>
                                    <w:sz w:val="20"/>
                                  </w:rPr>
                                  <w:t>meeting – From 10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(p.m.)</w:t>
                                </w:r>
                                <w:r w:rsidRPr="0060523F">
                                  <w:rPr>
                                    <w:sz w:val="20"/>
                                  </w:rPr>
                                  <w:t xml:space="preserve"> to 12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67B77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1pt;margin-top:.45pt;width:314.9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" fillcolor="white [3212]" stroked="f">
                    <v:textbox style="mso-fit-shape-to-text:t" inset="1mm,,1mm">
                      <w:txbxContent>
                        <w:p w14:paraId="206D921E" w14:textId="77777777" w:rsidR="00CE00B2" w:rsidRDefault="00CE00B2" w:rsidP="00CE00B2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financial and human resources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 xml:space="preserve">Twenty-first </w:t>
                          </w:r>
                          <w:r w:rsidRPr="0060523F">
                            <w:rPr>
                              <w:sz w:val="20"/>
                            </w:rPr>
                            <w:t>meeting – From 10</w:t>
                          </w:r>
                          <w:r>
                            <w:rPr>
                              <w:sz w:val="20"/>
                            </w:rPr>
                            <w:t xml:space="preserve"> (p.m.)</w:t>
                          </w:r>
                          <w:r w:rsidRPr="0060523F">
                            <w:rPr>
                              <w:sz w:val="20"/>
                            </w:rPr>
                            <w:t xml:space="preserve"> to 12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7DAB6451" wp14:editId="333468DE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48EB05C7" w14:textId="77777777" w:rsidR="00CE00B2" w:rsidRDefault="00CE00B2" w:rsidP="00CE00B2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B49739D" w14:textId="77777777" w:rsidR="00CE00B2" w:rsidRDefault="00CE00B2" w:rsidP="00CE00B2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BE54373" w14:textId="77777777" w:rsidR="00CE00B2" w:rsidRPr="00784011" w:rsidRDefault="00CE00B2" w:rsidP="00CE00B2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36108734" w14:textId="73C23DD9" w:rsidR="00CE00B2" w:rsidRDefault="00CE00B2" w:rsidP="00CE00B2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A7E6C9" wp14:editId="504D9A90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2ADA70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DF0C32"/>
    <w:multiLevelType w:val="multilevel"/>
    <w:tmpl w:val="3D58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E4204"/>
    <w:multiLevelType w:val="multilevel"/>
    <w:tmpl w:val="9FBC75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C565B"/>
    <w:multiLevelType w:val="multilevel"/>
    <w:tmpl w:val="2FB8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777F0"/>
    <w:multiLevelType w:val="multilevel"/>
    <w:tmpl w:val="EC5879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C2373B3"/>
    <w:multiLevelType w:val="multilevel"/>
    <w:tmpl w:val="E45C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129D9"/>
    <w:multiLevelType w:val="multilevel"/>
    <w:tmpl w:val="298C45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4549D"/>
    <w:multiLevelType w:val="multilevel"/>
    <w:tmpl w:val="90E0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82DA0"/>
    <w:multiLevelType w:val="multilevel"/>
    <w:tmpl w:val="3662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12487"/>
    <w:multiLevelType w:val="multilevel"/>
    <w:tmpl w:val="0A6A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05ABA"/>
    <w:multiLevelType w:val="hybridMultilevel"/>
    <w:tmpl w:val="CB0AE6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B3A5D"/>
    <w:multiLevelType w:val="multilevel"/>
    <w:tmpl w:val="623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E1EBE"/>
    <w:multiLevelType w:val="multilevel"/>
    <w:tmpl w:val="290408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C6CEB"/>
    <w:multiLevelType w:val="hybridMultilevel"/>
    <w:tmpl w:val="D25EE1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6B3E6A"/>
    <w:multiLevelType w:val="multilevel"/>
    <w:tmpl w:val="662E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F2096"/>
    <w:multiLevelType w:val="multilevel"/>
    <w:tmpl w:val="82D6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16267">
    <w:abstractNumId w:val="0"/>
  </w:num>
  <w:num w:numId="2" w16cid:durableId="768156610">
    <w:abstractNumId w:val="8"/>
  </w:num>
  <w:num w:numId="3" w16cid:durableId="490407653">
    <w:abstractNumId w:val="9"/>
  </w:num>
  <w:num w:numId="4" w16cid:durableId="1270041139">
    <w:abstractNumId w:val="6"/>
  </w:num>
  <w:num w:numId="5" w16cid:durableId="682392654">
    <w:abstractNumId w:val="12"/>
  </w:num>
  <w:num w:numId="6" w16cid:durableId="2104836793">
    <w:abstractNumId w:val="2"/>
  </w:num>
  <w:num w:numId="7" w16cid:durableId="1132023299">
    <w:abstractNumId w:val="14"/>
  </w:num>
  <w:num w:numId="8" w16cid:durableId="1339648828">
    <w:abstractNumId w:val="3"/>
  </w:num>
  <w:num w:numId="9" w16cid:durableId="435028875">
    <w:abstractNumId w:val="5"/>
  </w:num>
  <w:num w:numId="10" w16cid:durableId="1941141770">
    <w:abstractNumId w:val="1"/>
  </w:num>
  <w:num w:numId="11" w16cid:durableId="851647216">
    <w:abstractNumId w:val="11"/>
  </w:num>
  <w:num w:numId="12" w16cid:durableId="1514495037">
    <w:abstractNumId w:val="15"/>
  </w:num>
  <w:num w:numId="13" w16cid:durableId="77748315">
    <w:abstractNumId w:val="13"/>
  </w:num>
  <w:num w:numId="14" w16cid:durableId="1995447590">
    <w:abstractNumId w:val="4"/>
  </w:num>
  <w:num w:numId="15" w16cid:durableId="1304700916">
    <w:abstractNumId w:val="7"/>
  </w:num>
  <w:num w:numId="16" w16cid:durableId="798185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C5"/>
    <w:rsid w:val="0000094B"/>
    <w:rsid w:val="000120E4"/>
    <w:rsid w:val="00016CBB"/>
    <w:rsid w:val="000210D4"/>
    <w:rsid w:val="00022925"/>
    <w:rsid w:val="00027007"/>
    <w:rsid w:val="00063016"/>
    <w:rsid w:val="00063A67"/>
    <w:rsid w:val="00066795"/>
    <w:rsid w:val="0007078B"/>
    <w:rsid w:val="00076AF6"/>
    <w:rsid w:val="00085CF2"/>
    <w:rsid w:val="00091C72"/>
    <w:rsid w:val="00091EC0"/>
    <w:rsid w:val="000963A3"/>
    <w:rsid w:val="000B1705"/>
    <w:rsid w:val="000C7389"/>
    <w:rsid w:val="000D75B2"/>
    <w:rsid w:val="000F6AB8"/>
    <w:rsid w:val="000F794B"/>
    <w:rsid w:val="0010502D"/>
    <w:rsid w:val="001054E9"/>
    <w:rsid w:val="001121F5"/>
    <w:rsid w:val="00112EE5"/>
    <w:rsid w:val="00130599"/>
    <w:rsid w:val="001400DC"/>
    <w:rsid w:val="00140CE1"/>
    <w:rsid w:val="00147C54"/>
    <w:rsid w:val="001519D1"/>
    <w:rsid w:val="00162252"/>
    <w:rsid w:val="001649A1"/>
    <w:rsid w:val="00166FAB"/>
    <w:rsid w:val="0017319E"/>
    <w:rsid w:val="00173E91"/>
    <w:rsid w:val="00175251"/>
    <w:rsid w:val="0017539C"/>
    <w:rsid w:val="00175AC2"/>
    <w:rsid w:val="0017609F"/>
    <w:rsid w:val="001837AF"/>
    <w:rsid w:val="00194507"/>
    <w:rsid w:val="001A7D1D"/>
    <w:rsid w:val="001B51DD"/>
    <w:rsid w:val="001C50C1"/>
    <w:rsid w:val="001C56DA"/>
    <w:rsid w:val="001C628E"/>
    <w:rsid w:val="001E0F7B"/>
    <w:rsid w:val="001E0FBE"/>
    <w:rsid w:val="001E2514"/>
    <w:rsid w:val="001E3A11"/>
    <w:rsid w:val="001E5FE7"/>
    <w:rsid w:val="00200D94"/>
    <w:rsid w:val="00200EDA"/>
    <w:rsid w:val="002119FD"/>
    <w:rsid w:val="002130E0"/>
    <w:rsid w:val="0021761A"/>
    <w:rsid w:val="0023502E"/>
    <w:rsid w:val="002370C6"/>
    <w:rsid w:val="00241DBD"/>
    <w:rsid w:val="00244F7F"/>
    <w:rsid w:val="0025570E"/>
    <w:rsid w:val="00264425"/>
    <w:rsid w:val="00265875"/>
    <w:rsid w:val="0027303B"/>
    <w:rsid w:val="0028109B"/>
    <w:rsid w:val="00285AEA"/>
    <w:rsid w:val="002955BD"/>
    <w:rsid w:val="002A2188"/>
    <w:rsid w:val="002B1F58"/>
    <w:rsid w:val="002B4698"/>
    <w:rsid w:val="002C0447"/>
    <w:rsid w:val="002C1C7A"/>
    <w:rsid w:val="002C25E7"/>
    <w:rsid w:val="002C54E2"/>
    <w:rsid w:val="002D35C2"/>
    <w:rsid w:val="002E0AC3"/>
    <w:rsid w:val="002F01DC"/>
    <w:rsid w:val="002F13D2"/>
    <w:rsid w:val="0030160F"/>
    <w:rsid w:val="00301AEE"/>
    <w:rsid w:val="00313607"/>
    <w:rsid w:val="003145DF"/>
    <w:rsid w:val="00317B29"/>
    <w:rsid w:val="00320223"/>
    <w:rsid w:val="0032196D"/>
    <w:rsid w:val="0032202E"/>
    <w:rsid w:val="00322D0D"/>
    <w:rsid w:val="00324387"/>
    <w:rsid w:val="003247CF"/>
    <w:rsid w:val="00327875"/>
    <w:rsid w:val="00330227"/>
    <w:rsid w:val="0034066F"/>
    <w:rsid w:val="00346364"/>
    <w:rsid w:val="00361465"/>
    <w:rsid w:val="00364662"/>
    <w:rsid w:val="00367986"/>
    <w:rsid w:val="00386232"/>
    <w:rsid w:val="003877F5"/>
    <w:rsid w:val="00393591"/>
    <w:rsid w:val="003942D4"/>
    <w:rsid w:val="0039514F"/>
    <w:rsid w:val="003958A8"/>
    <w:rsid w:val="003A0E10"/>
    <w:rsid w:val="003A0F42"/>
    <w:rsid w:val="003A4E66"/>
    <w:rsid w:val="003B29C2"/>
    <w:rsid w:val="003C20CA"/>
    <w:rsid w:val="003C2533"/>
    <w:rsid w:val="003D5A7F"/>
    <w:rsid w:val="003D635C"/>
    <w:rsid w:val="003D66CD"/>
    <w:rsid w:val="003D741C"/>
    <w:rsid w:val="003F3701"/>
    <w:rsid w:val="004016E2"/>
    <w:rsid w:val="0040435A"/>
    <w:rsid w:val="004141C1"/>
    <w:rsid w:val="00416A24"/>
    <w:rsid w:val="0042059E"/>
    <w:rsid w:val="00431D9E"/>
    <w:rsid w:val="00433CE8"/>
    <w:rsid w:val="00434A5C"/>
    <w:rsid w:val="004437E6"/>
    <w:rsid w:val="0044764A"/>
    <w:rsid w:val="00452480"/>
    <w:rsid w:val="004544D9"/>
    <w:rsid w:val="0046404E"/>
    <w:rsid w:val="00472BAD"/>
    <w:rsid w:val="00484009"/>
    <w:rsid w:val="00490E72"/>
    <w:rsid w:val="00491157"/>
    <w:rsid w:val="004921C8"/>
    <w:rsid w:val="00495B0B"/>
    <w:rsid w:val="004A1B8B"/>
    <w:rsid w:val="004B79E7"/>
    <w:rsid w:val="004C4032"/>
    <w:rsid w:val="004D1851"/>
    <w:rsid w:val="004D1D31"/>
    <w:rsid w:val="004D3B0A"/>
    <w:rsid w:val="004D599D"/>
    <w:rsid w:val="004E2EA5"/>
    <w:rsid w:val="004E3AEB"/>
    <w:rsid w:val="004E79B3"/>
    <w:rsid w:val="004F5497"/>
    <w:rsid w:val="0050223C"/>
    <w:rsid w:val="005039C5"/>
    <w:rsid w:val="005069E2"/>
    <w:rsid w:val="00521495"/>
    <w:rsid w:val="005243FF"/>
    <w:rsid w:val="005311D6"/>
    <w:rsid w:val="00534C3D"/>
    <w:rsid w:val="00536422"/>
    <w:rsid w:val="00542C15"/>
    <w:rsid w:val="00544ED3"/>
    <w:rsid w:val="00562E40"/>
    <w:rsid w:val="00564FBC"/>
    <w:rsid w:val="00565A61"/>
    <w:rsid w:val="00566C70"/>
    <w:rsid w:val="00575706"/>
    <w:rsid w:val="005800BC"/>
    <w:rsid w:val="00582442"/>
    <w:rsid w:val="005A1078"/>
    <w:rsid w:val="005A335D"/>
    <w:rsid w:val="005A7328"/>
    <w:rsid w:val="005B2D0F"/>
    <w:rsid w:val="005B3D69"/>
    <w:rsid w:val="005C13D4"/>
    <w:rsid w:val="005C6F1C"/>
    <w:rsid w:val="005C7AEF"/>
    <w:rsid w:val="005D038A"/>
    <w:rsid w:val="005E0701"/>
    <w:rsid w:val="005E1684"/>
    <w:rsid w:val="005E2BD5"/>
    <w:rsid w:val="005E65F9"/>
    <w:rsid w:val="005F3269"/>
    <w:rsid w:val="005F50C5"/>
    <w:rsid w:val="006113D1"/>
    <w:rsid w:val="00613E32"/>
    <w:rsid w:val="00615961"/>
    <w:rsid w:val="00623AE3"/>
    <w:rsid w:val="006261F4"/>
    <w:rsid w:val="0063139F"/>
    <w:rsid w:val="0064258A"/>
    <w:rsid w:val="00644F17"/>
    <w:rsid w:val="0064737F"/>
    <w:rsid w:val="00647454"/>
    <w:rsid w:val="006535F1"/>
    <w:rsid w:val="006547F8"/>
    <w:rsid w:val="0065557D"/>
    <w:rsid w:val="00660D50"/>
    <w:rsid w:val="00662984"/>
    <w:rsid w:val="006716BB"/>
    <w:rsid w:val="00687116"/>
    <w:rsid w:val="00687E76"/>
    <w:rsid w:val="00691FC8"/>
    <w:rsid w:val="0069774E"/>
    <w:rsid w:val="00697B70"/>
    <w:rsid w:val="00697F29"/>
    <w:rsid w:val="006A0166"/>
    <w:rsid w:val="006A02F9"/>
    <w:rsid w:val="006B1859"/>
    <w:rsid w:val="006B5E87"/>
    <w:rsid w:val="006B6680"/>
    <w:rsid w:val="006B6DCC"/>
    <w:rsid w:val="00701C70"/>
    <w:rsid w:val="00702DEF"/>
    <w:rsid w:val="00706861"/>
    <w:rsid w:val="00717CCB"/>
    <w:rsid w:val="00726B8C"/>
    <w:rsid w:val="00726E96"/>
    <w:rsid w:val="0073159F"/>
    <w:rsid w:val="00733E03"/>
    <w:rsid w:val="007353C0"/>
    <w:rsid w:val="007467DA"/>
    <w:rsid w:val="0074747F"/>
    <w:rsid w:val="0075051B"/>
    <w:rsid w:val="00767A79"/>
    <w:rsid w:val="00775655"/>
    <w:rsid w:val="00777950"/>
    <w:rsid w:val="00785C85"/>
    <w:rsid w:val="00793188"/>
    <w:rsid w:val="00794D34"/>
    <w:rsid w:val="007A13C0"/>
    <w:rsid w:val="007A42C4"/>
    <w:rsid w:val="007B4086"/>
    <w:rsid w:val="008048DC"/>
    <w:rsid w:val="00806E3C"/>
    <w:rsid w:val="00813E5E"/>
    <w:rsid w:val="00814BF0"/>
    <w:rsid w:val="008167AC"/>
    <w:rsid w:val="00816C2C"/>
    <w:rsid w:val="00832059"/>
    <w:rsid w:val="0083581B"/>
    <w:rsid w:val="00840399"/>
    <w:rsid w:val="008413A6"/>
    <w:rsid w:val="00844686"/>
    <w:rsid w:val="008448BC"/>
    <w:rsid w:val="00845014"/>
    <w:rsid w:val="00860EED"/>
    <w:rsid w:val="00863874"/>
    <w:rsid w:val="00863CB6"/>
    <w:rsid w:val="00864AFF"/>
    <w:rsid w:val="00865925"/>
    <w:rsid w:val="00870B04"/>
    <w:rsid w:val="00890E5C"/>
    <w:rsid w:val="00891503"/>
    <w:rsid w:val="008A0F5D"/>
    <w:rsid w:val="008B4A6A"/>
    <w:rsid w:val="008C5888"/>
    <w:rsid w:val="008C6225"/>
    <w:rsid w:val="008C7E27"/>
    <w:rsid w:val="008D00A8"/>
    <w:rsid w:val="008D0197"/>
    <w:rsid w:val="008D7F88"/>
    <w:rsid w:val="008E0290"/>
    <w:rsid w:val="008F0619"/>
    <w:rsid w:val="008F2D4F"/>
    <w:rsid w:val="008F3822"/>
    <w:rsid w:val="008F556C"/>
    <w:rsid w:val="008F7448"/>
    <w:rsid w:val="0090147A"/>
    <w:rsid w:val="0090389B"/>
    <w:rsid w:val="009173EF"/>
    <w:rsid w:val="00923012"/>
    <w:rsid w:val="00923034"/>
    <w:rsid w:val="00932906"/>
    <w:rsid w:val="0093465D"/>
    <w:rsid w:val="00952B1E"/>
    <w:rsid w:val="00961860"/>
    <w:rsid w:val="00961B0B"/>
    <w:rsid w:val="00962D33"/>
    <w:rsid w:val="0096315A"/>
    <w:rsid w:val="0098119D"/>
    <w:rsid w:val="00997D88"/>
    <w:rsid w:val="009B30F5"/>
    <w:rsid w:val="009B38C3"/>
    <w:rsid w:val="009B51CE"/>
    <w:rsid w:val="009B5586"/>
    <w:rsid w:val="009D6C8D"/>
    <w:rsid w:val="009D7A4E"/>
    <w:rsid w:val="009E17BD"/>
    <w:rsid w:val="009E485A"/>
    <w:rsid w:val="00A014D6"/>
    <w:rsid w:val="00A04CEC"/>
    <w:rsid w:val="00A16757"/>
    <w:rsid w:val="00A205F2"/>
    <w:rsid w:val="00A2164F"/>
    <w:rsid w:val="00A238B9"/>
    <w:rsid w:val="00A24845"/>
    <w:rsid w:val="00A27F92"/>
    <w:rsid w:val="00A32257"/>
    <w:rsid w:val="00A36D20"/>
    <w:rsid w:val="00A43C03"/>
    <w:rsid w:val="00A46CD0"/>
    <w:rsid w:val="00A47394"/>
    <w:rsid w:val="00A514A4"/>
    <w:rsid w:val="00A5256F"/>
    <w:rsid w:val="00A52C84"/>
    <w:rsid w:val="00A53DBE"/>
    <w:rsid w:val="00A55622"/>
    <w:rsid w:val="00A82B61"/>
    <w:rsid w:val="00A83502"/>
    <w:rsid w:val="00AB04F9"/>
    <w:rsid w:val="00AB2455"/>
    <w:rsid w:val="00AC63C7"/>
    <w:rsid w:val="00AD15B3"/>
    <w:rsid w:val="00AD3606"/>
    <w:rsid w:val="00AD4A3D"/>
    <w:rsid w:val="00AD5733"/>
    <w:rsid w:val="00AE0B76"/>
    <w:rsid w:val="00AE2073"/>
    <w:rsid w:val="00AE7EC1"/>
    <w:rsid w:val="00AF6E49"/>
    <w:rsid w:val="00B04A67"/>
    <w:rsid w:val="00B0583C"/>
    <w:rsid w:val="00B1743D"/>
    <w:rsid w:val="00B248BC"/>
    <w:rsid w:val="00B262F8"/>
    <w:rsid w:val="00B358B2"/>
    <w:rsid w:val="00B3793A"/>
    <w:rsid w:val="00B40A81"/>
    <w:rsid w:val="00B44910"/>
    <w:rsid w:val="00B50756"/>
    <w:rsid w:val="00B61477"/>
    <w:rsid w:val="00B62B36"/>
    <w:rsid w:val="00B65BE1"/>
    <w:rsid w:val="00B6661A"/>
    <w:rsid w:val="00B704CE"/>
    <w:rsid w:val="00B70A25"/>
    <w:rsid w:val="00B72267"/>
    <w:rsid w:val="00B73DD1"/>
    <w:rsid w:val="00B76AD2"/>
    <w:rsid w:val="00B76EB6"/>
    <w:rsid w:val="00B7737B"/>
    <w:rsid w:val="00B824C8"/>
    <w:rsid w:val="00B82972"/>
    <w:rsid w:val="00B849D3"/>
    <w:rsid w:val="00B84B9D"/>
    <w:rsid w:val="00B9356D"/>
    <w:rsid w:val="00B97595"/>
    <w:rsid w:val="00B975F9"/>
    <w:rsid w:val="00BA03EF"/>
    <w:rsid w:val="00BA3A51"/>
    <w:rsid w:val="00BC251A"/>
    <w:rsid w:val="00BD032B"/>
    <w:rsid w:val="00BD0614"/>
    <w:rsid w:val="00BD094B"/>
    <w:rsid w:val="00BD47A6"/>
    <w:rsid w:val="00BD6B17"/>
    <w:rsid w:val="00BE2640"/>
    <w:rsid w:val="00BF3BF2"/>
    <w:rsid w:val="00BF50D1"/>
    <w:rsid w:val="00C01189"/>
    <w:rsid w:val="00C0614E"/>
    <w:rsid w:val="00C14903"/>
    <w:rsid w:val="00C2798C"/>
    <w:rsid w:val="00C34042"/>
    <w:rsid w:val="00C345D4"/>
    <w:rsid w:val="00C36F24"/>
    <w:rsid w:val="00C374DE"/>
    <w:rsid w:val="00C3796A"/>
    <w:rsid w:val="00C47AD4"/>
    <w:rsid w:val="00C52D81"/>
    <w:rsid w:val="00C55198"/>
    <w:rsid w:val="00C725C6"/>
    <w:rsid w:val="00C77235"/>
    <w:rsid w:val="00C859F9"/>
    <w:rsid w:val="00C922C7"/>
    <w:rsid w:val="00C9567B"/>
    <w:rsid w:val="00C973C7"/>
    <w:rsid w:val="00CA6393"/>
    <w:rsid w:val="00CB18FF"/>
    <w:rsid w:val="00CB24AA"/>
    <w:rsid w:val="00CC38AD"/>
    <w:rsid w:val="00CC3A42"/>
    <w:rsid w:val="00CC6A7C"/>
    <w:rsid w:val="00CD0C08"/>
    <w:rsid w:val="00CD3C91"/>
    <w:rsid w:val="00CE00B2"/>
    <w:rsid w:val="00CE03FB"/>
    <w:rsid w:val="00CE38C1"/>
    <w:rsid w:val="00CE433C"/>
    <w:rsid w:val="00CF0161"/>
    <w:rsid w:val="00CF33F3"/>
    <w:rsid w:val="00CF6554"/>
    <w:rsid w:val="00D02535"/>
    <w:rsid w:val="00D06183"/>
    <w:rsid w:val="00D22C42"/>
    <w:rsid w:val="00D43C30"/>
    <w:rsid w:val="00D45669"/>
    <w:rsid w:val="00D45B52"/>
    <w:rsid w:val="00D464CC"/>
    <w:rsid w:val="00D47242"/>
    <w:rsid w:val="00D522F6"/>
    <w:rsid w:val="00D54372"/>
    <w:rsid w:val="00D54F8D"/>
    <w:rsid w:val="00D60115"/>
    <w:rsid w:val="00D65041"/>
    <w:rsid w:val="00D7133D"/>
    <w:rsid w:val="00D72D1D"/>
    <w:rsid w:val="00D8076C"/>
    <w:rsid w:val="00D8287C"/>
    <w:rsid w:val="00D82B37"/>
    <w:rsid w:val="00D82BDF"/>
    <w:rsid w:val="00D904F1"/>
    <w:rsid w:val="00D94A3D"/>
    <w:rsid w:val="00DB00D5"/>
    <w:rsid w:val="00DB1936"/>
    <w:rsid w:val="00DB384B"/>
    <w:rsid w:val="00DC1B4F"/>
    <w:rsid w:val="00DD01DA"/>
    <w:rsid w:val="00DD3184"/>
    <w:rsid w:val="00DE5DCE"/>
    <w:rsid w:val="00DE7153"/>
    <w:rsid w:val="00DF0189"/>
    <w:rsid w:val="00DF447C"/>
    <w:rsid w:val="00DF53CC"/>
    <w:rsid w:val="00E04FA5"/>
    <w:rsid w:val="00E06FD5"/>
    <w:rsid w:val="00E10E80"/>
    <w:rsid w:val="00E124F0"/>
    <w:rsid w:val="00E147B6"/>
    <w:rsid w:val="00E227F3"/>
    <w:rsid w:val="00E230B0"/>
    <w:rsid w:val="00E31F89"/>
    <w:rsid w:val="00E4728B"/>
    <w:rsid w:val="00E545C6"/>
    <w:rsid w:val="00E57027"/>
    <w:rsid w:val="00E60F04"/>
    <w:rsid w:val="00E65B24"/>
    <w:rsid w:val="00E8457A"/>
    <w:rsid w:val="00E854E4"/>
    <w:rsid w:val="00E86DBF"/>
    <w:rsid w:val="00EA1C9F"/>
    <w:rsid w:val="00EA4996"/>
    <w:rsid w:val="00EB0D6F"/>
    <w:rsid w:val="00EB2232"/>
    <w:rsid w:val="00EB3EDD"/>
    <w:rsid w:val="00EC5337"/>
    <w:rsid w:val="00EC6AE0"/>
    <w:rsid w:val="00ED1DC9"/>
    <w:rsid w:val="00ED5F0E"/>
    <w:rsid w:val="00EE49E8"/>
    <w:rsid w:val="00EF1B58"/>
    <w:rsid w:val="00EF204C"/>
    <w:rsid w:val="00F07AC6"/>
    <w:rsid w:val="00F10B59"/>
    <w:rsid w:val="00F11A22"/>
    <w:rsid w:val="00F12CCE"/>
    <w:rsid w:val="00F16BAB"/>
    <w:rsid w:val="00F2150A"/>
    <w:rsid w:val="00F231D8"/>
    <w:rsid w:val="00F3210D"/>
    <w:rsid w:val="00F35862"/>
    <w:rsid w:val="00F44C00"/>
    <w:rsid w:val="00F45D2C"/>
    <w:rsid w:val="00F46C5F"/>
    <w:rsid w:val="00F511FA"/>
    <w:rsid w:val="00F52DEF"/>
    <w:rsid w:val="00F56F10"/>
    <w:rsid w:val="00F624B4"/>
    <w:rsid w:val="00F632C0"/>
    <w:rsid w:val="00F703DA"/>
    <w:rsid w:val="00F74694"/>
    <w:rsid w:val="00F7632A"/>
    <w:rsid w:val="00F77063"/>
    <w:rsid w:val="00F86596"/>
    <w:rsid w:val="00F93FD4"/>
    <w:rsid w:val="00F94A63"/>
    <w:rsid w:val="00FA1179"/>
    <w:rsid w:val="00FA1C28"/>
    <w:rsid w:val="00FA550C"/>
    <w:rsid w:val="00FB1279"/>
    <w:rsid w:val="00FB6B76"/>
    <w:rsid w:val="00FB7596"/>
    <w:rsid w:val="00FD0EBE"/>
    <w:rsid w:val="00FE4077"/>
    <w:rsid w:val="00FE500D"/>
    <w:rsid w:val="00FE77D2"/>
    <w:rsid w:val="00FF0DC7"/>
    <w:rsid w:val="00FF20A9"/>
    <w:rsid w:val="052F1798"/>
    <w:rsid w:val="0A101398"/>
    <w:rsid w:val="0C4EEEA5"/>
    <w:rsid w:val="0CCD2480"/>
    <w:rsid w:val="0DF74D26"/>
    <w:rsid w:val="179C15A5"/>
    <w:rsid w:val="1DC09E4C"/>
    <w:rsid w:val="1E197904"/>
    <w:rsid w:val="1E7DD195"/>
    <w:rsid w:val="1FCFE8FC"/>
    <w:rsid w:val="2129AEED"/>
    <w:rsid w:val="24B4B25E"/>
    <w:rsid w:val="25D74A8C"/>
    <w:rsid w:val="26FD838B"/>
    <w:rsid w:val="282C7E81"/>
    <w:rsid w:val="2849DAAE"/>
    <w:rsid w:val="28DD5AB1"/>
    <w:rsid w:val="298D3E86"/>
    <w:rsid w:val="2D80E9FF"/>
    <w:rsid w:val="30D1855B"/>
    <w:rsid w:val="34FFBFC0"/>
    <w:rsid w:val="394361AC"/>
    <w:rsid w:val="395C7656"/>
    <w:rsid w:val="3974BE4D"/>
    <w:rsid w:val="422F1D5F"/>
    <w:rsid w:val="428CF903"/>
    <w:rsid w:val="4355D493"/>
    <w:rsid w:val="43A16136"/>
    <w:rsid w:val="449FABF3"/>
    <w:rsid w:val="47D57564"/>
    <w:rsid w:val="47E08515"/>
    <w:rsid w:val="4885BA87"/>
    <w:rsid w:val="4991E7DF"/>
    <w:rsid w:val="4C8C4AF5"/>
    <w:rsid w:val="4D882A36"/>
    <w:rsid w:val="503C2C0E"/>
    <w:rsid w:val="50834044"/>
    <w:rsid w:val="50BB4F5D"/>
    <w:rsid w:val="50C46671"/>
    <w:rsid w:val="53F36CAB"/>
    <w:rsid w:val="54165939"/>
    <w:rsid w:val="544E62C4"/>
    <w:rsid w:val="55D4A00E"/>
    <w:rsid w:val="57FDAAF9"/>
    <w:rsid w:val="58759C75"/>
    <w:rsid w:val="596141AA"/>
    <w:rsid w:val="5C6EF6EC"/>
    <w:rsid w:val="5CCD8B62"/>
    <w:rsid w:val="5FC25C03"/>
    <w:rsid w:val="5FD8C298"/>
    <w:rsid w:val="646D74A7"/>
    <w:rsid w:val="64A95BC3"/>
    <w:rsid w:val="64FFD313"/>
    <w:rsid w:val="654E71E0"/>
    <w:rsid w:val="65A5E4F4"/>
    <w:rsid w:val="65E23717"/>
    <w:rsid w:val="6666F401"/>
    <w:rsid w:val="66E23AEB"/>
    <w:rsid w:val="67DB21DE"/>
    <w:rsid w:val="67DB3FF2"/>
    <w:rsid w:val="6EFD257D"/>
    <w:rsid w:val="70FBC124"/>
    <w:rsid w:val="72409674"/>
    <w:rsid w:val="73127CB1"/>
    <w:rsid w:val="73521B8B"/>
    <w:rsid w:val="73A160E1"/>
    <w:rsid w:val="76044314"/>
    <w:rsid w:val="79941062"/>
    <w:rsid w:val="7B0478EB"/>
    <w:rsid w:val="7F9461BA"/>
    <w:rsid w:val="7FCBF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427D12"/>
  <w15:docId w15:val="{BA9EF9FF-F9C3-4B3D-8007-91FB5E08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346364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C6F1C"/>
    <w:rPr>
      <w:color w:val="666666"/>
    </w:rPr>
  </w:style>
  <w:style w:type="paragraph" w:styleId="ListParagraph">
    <w:name w:val="List Paragraph"/>
    <w:basedOn w:val="Normal"/>
    <w:uiPriority w:val="34"/>
    <w:qFormat/>
    <w:rsid w:val="00324387"/>
    <w:pPr>
      <w:ind w:left="720"/>
      <w:contextualSpacing/>
    </w:pPr>
  </w:style>
  <w:style w:type="paragraph" w:customStyle="1" w:styleId="Tablefin">
    <w:name w:val="Table_fin"/>
    <w:basedOn w:val="Tabletext"/>
    <w:rsid w:val="00C36F24"/>
    <w:pPr>
      <w:spacing w:before="0" w:after="0"/>
    </w:pPr>
  </w:style>
  <w:style w:type="paragraph" w:customStyle="1" w:styleId="Reasons">
    <w:name w:val="Reasons"/>
    <w:basedOn w:val="Normal"/>
    <w:qFormat/>
    <w:rsid w:val="00AB04F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Theme="minorHAnsi" w:hAnsiTheme="minorHAnsi" w:cstheme="minorHAnsi"/>
      <w:lang w:val="en-US"/>
    </w:rPr>
  </w:style>
  <w:style w:type="paragraph" w:styleId="Revision">
    <w:name w:val="Revision"/>
    <w:hidden/>
    <w:uiPriority w:val="99"/>
    <w:semiHidden/>
    <w:rsid w:val="00D47242"/>
    <w:rPr>
      <w:rFonts w:ascii="Calibri" w:hAnsi="Calibri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7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24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60"/>
      <w:textAlignment w:val="auto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242"/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0EDA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ascii="Calibri" w:eastAsia="Times New Roman" w:hAnsi="Calibri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200EDA"/>
    <w:rPr>
      <w:rFonts w:ascii="Calibri" w:eastAsiaTheme="minorHAnsi" w:hAnsi="Calibri" w:cstheme="minorBidi"/>
      <w:b/>
      <w:bCs/>
      <w:kern w:val="2"/>
      <w:lang w:val="en-GB" w:eastAsia="en-US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200EDA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200EDA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00ED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Subtitle0">
    <w:name w:val="Subtitle"/>
    <w:basedOn w:val="Normal"/>
    <w:next w:val="Normal"/>
    <w:link w:val="SubtitleChar"/>
    <w:qFormat/>
    <w:rsid w:val="00200ED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0"/>
    <w:rsid w:val="00200ED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customStyle="1" w:styleId="enumlev2ComplexCalibri">
    <w:name w:val="enumlev2 + (Complex) Calibri"/>
    <w:basedOn w:val="enumlev2"/>
    <w:rsid w:val="00346364"/>
    <w:pPr>
      <w:jc w:val="both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L-C-0054/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cwg-fhr/Pages/defaul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467C8-5BDA-48FE-AEB3-4AB115F87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B7A938-13BE-499C-A2F1-780DC806EA0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1cf676c-2816-4389-ad5d-0f2e7c7e67c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357098E-C758-4147-AD38-15E1D4B80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1285</Words>
  <Characters>7658</Characters>
  <Application>Microsoft Office Word</Application>
  <DocSecurity>0</DocSecurity>
  <Lines>143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Methodology for review and revision of the contributory unit</vt:lpstr>
    </vt:vector>
  </TitlesOfParts>
  <Manager/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Methodology for review and revision of the contributory unit</dc:title>
  <dc:subject>ITU Council Working Group on financial and human resources</dc:subject>
  <cp:keywords>CWG-FHR</cp:keywords>
  <dc:description/>
  <dcterms:created xsi:type="dcterms:W3CDTF">2025-08-13T08:12:00Z</dcterms:created>
  <dcterms:modified xsi:type="dcterms:W3CDTF">2025-08-13T16:11:00Z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6f4ba43f36493777ea654b9fc726a6621c880706332192eb3d001ab7a154f03f</vt:lpwstr>
  </property>
  <property fmtid="{D5CDD505-2E9C-101B-9397-08002B2CF9AE}" pid="3" name="ContentTypeId">
    <vt:lpwstr>0x01010096B2CC4DF5F10149B2E37F08EDC3AC3A</vt:lpwstr>
  </property>
  <property fmtid="{D5CDD505-2E9C-101B-9397-08002B2CF9AE}" pid="4" name="MediaServiceImageTags">
    <vt:lpwstr/>
  </property>
</Properties>
</file>