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301AEE" w14:paraId="06988536" w14:textId="77777777" w:rsidTr="39B351CB">
        <w:trPr>
          <w:cantSplit/>
          <w:trHeight w:val="23"/>
        </w:trPr>
        <w:tc>
          <w:tcPr>
            <w:tcW w:w="3969" w:type="dxa"/>
            <w:vMerge w:val="restart"/>
            <w:tcMar>
              <w:left w:w="0" w:type="dxa"/>
            </w:tcMar>
          </w:tcPr>
          <w:p w14:paraId="09139E8F"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50B68EFE" w14:textId="3E23AEB4" w:rsidR="00AD3606" w:rsidRPr="00301AEE" w:rsidRDefault="00AD3606" w:rsidP="00472BAD">
            <w:pPr>
              <w:tabs>
                <w:tab w:val="left" w:pos="851"/>
              </w:tabs>
              <w:spacing w:before="0" w:line="240" w:lineRule="atLeast"/>
              <w:jc w:val="right"/>
              <w:rPr>
                <w:b/>
                <w:lang w:val="fr-FR"/>
              </w:rPr>
            </w:pPr>
            <w:r w:rsidRPr="00301AEE">
              <w:rPr>
                <w:b/>
                <w:lang w:val="fr-FR"/>
              </w:rPr>
              <w:t>Document C</w:t>
            </w:r>
            <w:r w:rsidR="00A52C84" w:rsidRPr="00301AEE">
              <w:rPr>
                <w:b/>
                <w:lang w:val="fr-FR"/>
              </w:rPr>
              <w:t>WG-</w:t>
            </w:r>
            <w:r w:rsidR="000F6AB8">
              <w:rPr>
                <w:b/>
                <w:lang w:val="fr-FR"/>
              </w:rPr>
              <w:t>FHR</w:t>
            </w:r>
            <w:r w:rsidR="00A52C84" w:rsidRPr="00301AEE">
              <w:rPr>
                <w:b/>
                <w:lang w:val="fr-FR"/>
              </w:rPr>
              <w:t>-</w:t>
            </w:r>
            <w:r w:rsidR="00AC61DD">
              <w:rPr>
                <w:b/>
                <w:lang w:val="fr-FR"/>
              </w:rPr>
              <w:t>21</w:t>
            </w:r>
            <w:r w:rsidR="00301AEE" w:rsidRPr="00301AEE">
              <w:rPr>
                <w:b/>
                <w:lang w:val="fr-FR"/>
              </w:rPr>
              <w:t>/</w:t>
            </w:r>
            <w:r w:rsidR="00116C7B">
              <w:rPr>
                <w:b/>
                <w:lang w:val="fr-FR"/>
              </w:rPr>
              <w:t>10</w:t>
            </w:r>
          </w:p>
        </w:tc>
      </w:tr>
      <w:tr w:rsidR="00AD3606" w:rsidRPr="00147C54" w14:paraId="6F6AB1F4" w14:textId="77777777" w:rsidTr="39B351CB">
        <w:trPr>
          <w:cantSplit/>
        </w:trPr>
        <w:tc>
          <w:tcPr>
            <w:tcW w:w="3969" w:type="dxa"/>
            <w:vMerge/>
          </w:tcPr>
          <w:p w14:paraId="243B216A"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0B7DAD36" w14:textId="0977AAC4" w:rsidR="00AD3606" w:rsidRPr="00147C54" w:rsidRDefault="00C93A6C" w:rsidP="00AD3606">
            <w:pPr>
              <w:tabs>
                <w:tab w:val="left" w:pos="851"/>
              </w:tabs>
              <w:spacing w:before="0"/>
              <w:jc w:val="right"/>
              <w:rPr>
                <w:b/>
              </w:rPr>
            </w:pPr>
            <w:r>
              <w:rPr>
                <w:b/>
              </w:rPr>
              <w:t>8</w:t>
            </w:r>
            <w:r w:rsidR="009F5612">
              <w:rPr>
                <w:b/>
              </w:rPr>
              <w:t xml:space="preserve"> August 2025</w:t>
            </w:r>
          </w:p>
        </w:tc>
      </w:tr>
      <w:tr w:rsidR="00AD3606" w:rsidRPr="00147C54" w14:paraId="15660587" w14:textId="77777777" w:rsidTr="39B351CB">
        <w:trPr>
          <w:cantSplit/>
          <w:trHeight w:val="23"/>
        </w:trPr>
        <w:tc>
          <w:tcPr>
            <w:tcW w:w="3969" w:type="dxa"/>
            <w:vMerge/>
          </w:tcPr>
          <w:p w14:paraId="6B39C677"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227FA191"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0EF492BD" w14:textId="77777777" w:rsidTr="39B351CB">
        <w:trPr>
          <w:cantSplit/>
          <w:trHeight w:val="23"/>
        </w:trPr>
        <w:tc>
          <w:tcPr>
            <w:tcW w:w="3969" w:type="dxa"/>
          </w:tcPr>
          <w:p w14:paraId="05EEDB52" w14:textId="77777777" w:rsidR="00472BAD" w:rsidRPr="00147C54" w:rsidRDefault="00472BAD" w:rsidP="00AD3606">
            <w:pPr>
              <w:tabs>
                <w:tab w:val="left" w:pos="851"/>
              </w:tabs>
              <w:spacing w:line="240" w:lineRule="atLeast"/>
              <w:rPr>
                <w:b/>
              </w:rPr>
            </w:pPr>
          </w:p>
        </w:tc>
        <w:tc>
          <w:tcPr>
            <w:tcW w:w="5245" w:type="dxa"/>
          </w:tcPr>
          <w:p w14:paraId="37609302" w14:textId="77777777" w:rsidR="00472BAD" w:rsidRPr="00147C54" w:rsidRDefault="00472BAD" w:rsidP="00AD3606">
            <w:pPr>
              <w:tabs>
                <w:tab w:val="left" w:pos="851"/>
              </w:tabs>
              <w:spacing w:before="0" w:line="240" w:lineRule="atLeast"/>
              <w:jc w:val="right"/>
              <w:rPr>
                <w:b/>
              </w:rPr>
            </w:pPr>
          </w:p>
        </w:tc>
      </w:tr>
      <w:tr w:rsidR="00AD3606" w:rsidRPr="00147C54" w14:paraId="4D854B2D" w14:textId="77777777" w:rsidTr="39B351CB">
        <w:trPr>
          <w:cantSplit/>
        </w:trPr>
        <w:tc>
          <w:tcPr>
            <w:tcW w:w="9214" w:type="dxa"/>
            <w:gridSpan w:val="2"/>
            <w:tcMar>
              <w:left w:w="0" w:type="dxa"/>
            </w:tcMar>
          </w:tcPr>
          <w:p w14:paraId="57AE1C6C" w14:textId="5CE57145" w:rsidR="00AD3606" w:rsidRPr="00147C54" w:rsidRDefault="000F6AB8" w:rsidP="00E4728B">
            <w:pPr>
              <w:pStyle w:val="Source"/>
              <w:framePr w:hSpace="0" w:wrap="auto" w:vAnchor="margin" w:hAnchor="text" w:xAlign="left" w:yAlign="inline"/>
            </w:pPr>
            <w:bookmarkStart w:id="8" w:name="dsource" w:colFirst="0" w:colLast="0"/>
            <w:bookmarkEnd w:id="7"/>
            <w:r>
              <w:t>Report</w:t>
            </w:r>
            <w:r w:rsidRPr="00676C7D">
              <w:t xml:space="preserve"> by the </w:t>
            </w:r>
            <w:r w:rsidR="004D3B0A">
              <w:t>Secretary-General</w:t>
            </w:r>
          </w:p>
        </w:tc>
      </w:tr>
      <w:tr w:rsidR="00AD3606" w:rsidRPr="00147C54" w14:paraId="16EB458A" w14:textId="77777777" w:rsidTr="39B351CB">
        <w:trPr>
          <w:cantSplit/>
        </w:trPr>
        <w:tc>
          <w:tcPr>
            <w:tcW w:w="9214" w:type="dxa"/>
            <w:gridSpan w:val="2"/>
            <w:tcMar>
              <w:left w:w="0" w:type="dxa"/>
            </w:tcMar>
          </w:tcPr>
          <w:p w14:paraId="0DA1E56D" w14:textId="5E9039AF" w:rsidR="00AD3606" w:rsidRPr="00116C7B" w:rsidRDefault="5D41DE06" w:rsidP="00116C7B">
            <w:pPr>
              <w:pStyle w:val="Subtitle"/>
              <w:framePr w:hSpace="0" w:wrap="auto" w:xAlign="left" w:yAlign="inline"/>
              <w:rPr>
                <w:rFonts w:eastAsia="Calibri" w:cs="Calibri"/>
                <w:color w:val="000000" w:themeColor="text1"/>
              </w:rPr>
            </w:pPr>
            <w:bookmarkStart w:id="9" w:name="dtitle1"/>
            <w:bookmarkEnd w:id="8"/>
            <w:r w:rsidRPr="39B351CB">
              <w:rPr>
                <w:rFonts w:eastAsia="Calibri" w:cs="Calibri"/>
                <w:color w:val="000000" w:themeColor="text1"/>
              </w:rPr>
              <w:t>UPDATE ON BUSINESS CONTINUITY MODALITIES FOR ITU MEETINGS 2028-2029</w:t>
            </w:r>
            <w:r w:rsidRPr="39B351CB">
              <w:t xml:space="preserve"> </w:t>
            </w:r>
          </w:p>
        </w:tc>
      </w:tr>
      <w:tr w:rsidR="00AD3606" w:rsidRPr="00147C54" w14:paraId="5E1AA971" w14:textId="77777777" w:rsidTr="39B351CB">
        <w:trPr>
          <w:cantSplit/>
        </w:trPr>
        <w:tc>
          <w:tcPr>
            <w:tcW w:w="9214" w:type="dxa"/>
            <w:gridSpan w:val="2"/>
            <w:tcBorders>
              <w:top w:val="single" w:sz="4" w:space="0" w:color="auto"/>
              <w:bottom w:val="single" w:sz="4" w:space="0" w:color="auto"/>
            </w:tcBorders>
            <w:tcMar>
              <w:left w:w="0" w:type="dxa"/>
            </w:tcMar>
          </w:tcPr>
          <w:p w14:paraId="5AD788C9" w14:textId="77777777" w:rsidR="00AD3606" w:rsidRPr="00147C54" w:rsidRDefault="00F16BAB" w:rsidP="00F16BAB">
            <w:pPr>
              <w:spacing w:before="160"/>
              <w:rPr>
                <w:b/>
                <w:bCs/>
                <w:sz w:val="26"/>
                <w:szCs w:val="26"/>
              </w:rPr>
            </w:pPr>
            <w:r w:rsidRPr="39B351CB">
              <w:rPr>
                <w:b/>
                <w:bCs/>
                <w:sz w:val="26"/>
                <w:szCs w:val="26"/>
              </w:rPr>
              <w:t>Purpose</w:t>
            </w:r>
          </w:p>
          <w:p w14:paraId="2F17413E" w14:textId="38370AB4" w:rsidR="65CA7EBE" w:rsidRDefault="65CA7EBE" w:rsidP="00B70F98">
            <w:pPr>
              <w:jc w:val="both"/>
              <w:rPr>
                <w:rFonts w:eastAsia="Calibri" w:cs="Calibri"/>
                <w:szCs w:val="24"/>
              </w:rPr>
            </w:pPr>
            <w:r w:rsidRPr="39B351CB">
              <w:rPr>
                <w:rFonts w:eastAsia="Calibri" w:cs="Calibri"/>
                <w:color w:val="000000" w:themeColor="text1"/>
                <w:szCs w:val="24"/>
                <w:lang w:val="en-US"/>
              </w:rPr>
              <w:t>This report is submitted at the request of Council as an update to the document on the business continuity modalities for ITU meetings during the construction period of the new ITU headquarters building in 2028 (and potentially in 2029), presented to Council in its June 2025 session (</w:t>
            </w:r>
            <w:r w:rsidR="00B70F98">
              <w:rPr>
                <w:rFonts w:eastAsia="Calibri" w:cs="Calibri"/>
                <w:color w:val="000000" w:themeColor="text1"/>
                <w:szCs w:val="24"/>
                <w:lang w:val="en-US"/>
              </w:rPr>
              <w:t xml:space="preserve">Document </w:t>
            </w:r>
            <w:hyperlink r:id="rId11">
              <w:r w:rsidRPr="39B351CB">
                <w:rPr>
                  <w:rStyle w:val="Hyperlink"/>
                  <w:rFonts w:eastAsia="Calibri" w:cs="Calibri"/>
                  <w:szCs w:val="24"/>
                </w:rPr>
                <w:t>C25/60</w:t>
              </w:r>
            </w:hyperlink>
            <w:r w:rsidRPr="39B351CB">
              <w:rPr>
                <w:rFonts w:eastAsia="Calibri" w:cs="Calibri"/>
                <w:color w:val="000000" w:themeColor="text1"/>
                <w:szCs w:val="24"/>
              </w:rPr>
              <w:t>). It provides additional information on the different options for holding ITU meetings in the period in question and their financial implications.</w:t>
            </w:r>
          </w:p>
          <w:p w14:paraId="486924FF" w14:textId="77777777" w:rsidR="00AD3606" w:rsidRPr="00147C54" w:rsidRDefault="00AD3606" w:rsidP="00F16BAB">
            <w:pPr>
              <w:spacing w:before="160"/>
              <w:rPr>
                <w:b/>
                <w:bCs/>
                <w:sz w:val="26"/>
                <w:szCs w:val="26"/>
              </w:rPr>
            </w:pPr>
            <w:r w:rsidRPr="00147C54">
              <w:rPr>
                <w:b/>
                <w:bCs/>
                <w:sz w:val="26"/>
                <w:szCs w:val="26"/>
              </w:rPr>
              <w:t>Action required</w:t>
            </w:r>
          </w:p>
          <w:p w14:paraId="0846B604" w14:textId="5D2706A2" w:rsidR="0025570E" w:rsidRPr="00703483" w:rsidRDefault="000F6AB8" w:rsidP="39B351CB">
            <w:pPr>
              <w:spacing w:before="160"/>
            </w:pPr>
            <w:r>
              <w:t xml:space="preserve">The Council Working Group on financial and human resources is invited to </w:t>
            </w:r>
            <w:r w:rsidR="621D83D1" w:rsidRPr="39B351CB">
              <w:rPr>
                <w:rFonts w:eastAsia="Calibri" w:cs="Calibri"/>
                <w:b/>
                <w:bCs/>
                <w:color w:val="000000" w:themeColor="text1"/>
                <w:szCs w:val="24"/>
              </w:rPr>
              <w:t>consider</w:t>
            </w:r>
            <w:r w:rsidR="621D83D1" w:rsidRPr="00703483">
              <w:rPr>
                <w:rFonts w:eastAsia="Calibri" w:cs="Calibri"/>
                <w:color w:val="000000" w:themeColor="text1"/>
                <w:szCs w:val="24"/>
              </w:rPr>
              <w:t xml:space="preserve"> this document and</w:t>
            </w:r>
            <w:r w:rsidR="621D83D1" w:rsidRPr="39B351CB">
              <w:rPr>
                <w:rFonts w:eastAsia="Calibri" w:cs="Calibri"/>
                <w:b/>
                <w:bCs/>
                <w:color w:val="000000" w:themeColor="text1"/>
                <w:szCs w:val="24"/>
              </w:rPr>
              <w:t xml:space="preserve"> provide guidance </w:t>
            </w:r>
            <w:r w:rsidR="621D83D1" w:rsidRPr="00703483">
              <w:rPr>
                <w:rFonts w:eastAsia="Calibri" w:cs="Calibri"/>
                <w:color w:val="000000" w:themeColor="text1"/>
                <w:szCs w:val="24"/>
              </w:rPr>
              <w:t>on the way forward.</w:t>
            </w:r>
            <w:r w:rsidR="621D83D1" w:rsidRPr="00703483">
              <w:rPr>
                <w:rFonts w:eastAsia="Calibri" w:cs="Calibri"/>
                <w:szCs w:val="24"/>
              </w:rPr>
              <w:t xml:space="preserve"> </w:t>
            </w:r>
          </w:p>
          <w:p w14:paraId="64CEA947" w14:textId="77777777" w:rsidR="00AD3606" w:rsidRPr="00CD3C91" w:rsidRDefault="00CD3C91" w:rsidP="00152498">
            <w:r>
              <w:t>_______________</w:t>
            </w:r>
          </w:p>
          <w:p w14:paraId="6740FBBB" w14:textId="77777777" w:rsidR="00AD3606" w:rsidRPr="00147C54" w:rsidRDefault="00AD3606" w:rsidP="00F16BAB">
            <w:pPr>
              <w:spacing w:before="160"/>
              <w:rPr>
                <w:b/>
                <w:bCs/>
                <w:sz w:val="26"/>
                <w:szCs w:val="26"/>
              </w:rPr>
            </w:pPr>
            <w:r w:rsidRPr="00147C54">
              <w:rPr>
                <w:b/>
                <w:bCs/>
                <w:sz w:val="26"/>
                <w:szCs w:val="26"/>
              </w:rPr>
              <w:t>References</w:t>
            </w:r>
            <w:r w:rsidR="00301AEE">
              <w:rPr>
                <w:b/>
                <w:bCs/>
                <w:sz w:val="26"/>
                <w:szCs w:val="26"/>
              </w:rPr>
              <w:t xml:space="preserve"> </w:t>
            </w:r>
          </w:p>
          <w:p w14:paraId="43062733" w14:textId="63459ADD" w:rsidR="00AD3606" w:rsidRPr="00510C8C" w:rsidRDefault="000F6AB8" w:rsidP="39B351CB">
            <w:pPr>
              <w:spacing w:after="160"/>
              <w:rPr>
                <w:rFonts w:eastAsia="Calibri" w:cs="Calibri"/>
                <w:sz w:val="22"/>
                <w:szCs w:val="22"/>
              </w:rPr>
            </w:pPr>
            <w:hyperlink r:id="rId12">
              <w:r w:rsidRPr="00510C8C">
                <w:rPr>
                  <w:rStyle w:val="Hyperlink"/>
                  <w:i/>
                  <w:iCs/>
                  <w:sz w:val="22"/>
                  <w:szCs w:val="22"/>
                </w:rPr>
                <w:t>CWG-FHR website</w:t>
              </w:r>
            </w:hyperlink>
            <w:r w:rsidRPr="00510C8C">
              <w:rPr>
                <w:i/>
                <w:iCs/>
                <w:sz w:val="22"/>
                <w:szCs w:val="22"/>
              </w:rPr>
              <w:t>;</w:t>
            </w:r>
            <w:r w:rsidR="00703483" w:rsidRPr="00510C8C">
              <w:rPr>
                <w:i/>
                <w:iCs/>
                <w:sz w:val="22"/>
                <w:szCs w:val="22"/>
              </w:rPr>
              <w:t xml:space="preserve"> Council Documents</w:t>
            </w:r>
            <w:r w:rsidR="4F993628" w:rsidRPr="00510C8C">
              <w:rPr>
                <w:i/>
                <w:iCs/>
                <w:sz w:val="22"/>
                <w:szCs w:val="22"/>
              </w:rPr>
              <w:t xml:space="preserve"> </w:t>
            </w:r>
            <w:hyperlink r:id="rId13">
              <w:r w:rsidR="4F993628" w:rsidRPr="00510C8C">
                <w:rPr>
                  <w:rStyle w:val="Hyperlink"/>
                  <w:rFonts w:eastAsia="Calibri" w:cs="Calibri"/>
                  <w:i/>
                  <w:iCs/>
                  <w:sz w:val="22"/>
                  <w:szCs w:val="22"/>
                </w:rPr>
                <w:t>C25/95</w:t>
              </w:r>
            </w:hyperlink>
            <w:r w:rsidR="00703483" w:rsidRPr="00510C8C">
              <w:rPr>
                <w:rFonts w:eastAsia="Calibri" w:cs="Calibri"/>
                <w:i/>
                <w:iCs/>
                <w:color w:val="000000" w:themeColor="text1"/>
                <w:sz w:val="22"/>
                <w:szCs w:val="22"/>
              </w:rPr>
              <w:t>,</w:t>
            </w:r>
            <w:r w:rsidR="4F993628" w:rsidRPr="00510C8C">
              <w:rPr>
                <w:rFonts w:eastAsia="Calibri" w:cs="Calibri"/>
                <w:i/>
                <w:iCs/>
                <w:color w:val="000000" w:themeColor="text1"/>
                <w:sz w:val="22"/>
                <w:szCs w:val="22"/>
              </w:rPr>
              <w:t xml:space="preserve"> </w:t>
            </w:r>
            <w:hyperlink r:id="rId14">
              <w:r w:rsidR="4F993628" w:rsidRPr="00510C8C">
                <w:rPr>
                  <w:rStyle w:val="Hyperlink"/>
                  <w:rFonts w:eastAsia="Calibri" w:cs="Calibri"/>
                  <w:i/>
                  <w:iCs/>
                  <w:sz w:val="22"/>
                  <w:szCs w:val="22"/>
                </w:rPr>
                <w:t>C25/105</w:t>
              </w:r>
            </w:hyperlink>
            <w:r w:rsidR="00703483" w:rsidRPr="00510C8C">
              <w:rPr>
                <w:rFonts w:eastAsia="Calibri" w:cs="Calibri"/>
                <w:i/>
                <w:iCs/>
                <w:color w:val="000000" w:themeColor="text1"/>
                <w:sz w:val="22"/>
                <w:szCs w:val="22"/>
              </w:rPr>
              <w:t>,</w:t>
            </w:r>
            <w:r w:rsidR="4F993628" w:rsidRPr="00510C8C">
              <w:rPr>
                <w:rFonts w:eastAsia="Calibri" w:cs="Calibri"/>
                <w:i/>
                <w:iCs/>
                <w:color w:val="000000" w:themeColor="text1"/>
                <w:sz w:val="22"/>
                <w:szCs w:val="22"/>
              </w:rPr>
              <w:t xml:space="preserve"> </w:t>
            </w:r>
            <w:hyperlink r:id="rId15">
              <w:r w:rsidR="4F993628" w:rsidRPr="00510C8C">
                <w:rPr>
                  <w:rStyle w:val="Hyperlink"/>
                  <w:rFonts w:eastAsia="Calibri" w:cs="Calibri"/>
                  <w:i/>
                  <w:iCs/>
                  <w:sz w:val="22"/>
                  <w:szCs w:val="22"/>
                </w:rPr>
                <w:t>C25/60</w:t>
              </w:r>
            </w:hyperlink>
            <w:r w:rsidR="00703483" w:rsidRPr="00510C8C">
              <w:rPr>
                <w:rFonts w:eastAsia="Calibri" w:cs="Calibri"/>
                <w:i/>
                <w:iCs/>
                <w:color w:val="000000" w:themeColor="text1"/>
                <w:sz w:val="22"/>
                <w:szCs w:val="22"/>
              </w:rPr>
              <w:t>,</w:t>
            </w:r>
            <w:r w:rsidR="4F993628" w:rsidRPr="00510C8C">
              <w:rPr>
                <w:rFonts w:eastAsia="Calibri" w:cs="Calibri"/>
                <w:i/>
                <w:iCs/>
                <w:color w:val="000000" w:themeColor="text1"/>
                <w:sz w:val="22"/>
                <w:szCs w:val="22"/>
              </w:rPr>
              <w:t xml:space="preserve"> </w:t>
            </w:r>
            <w:hyperlink r:id="rId16">
              <w:r w:rsidR="4F993628" w:rsidRPr="00510C8C">
                <w:rPr>
                  <w:rStyle w:val="Hyperlink"/>
                  <w:rFonts w:eastAsia="Calibri" w:cs="Calibri"/>
                  <w:i/>
                  <w:iCs/>
                  <w:sz w:val="22"/>
                  <w:szCs w:val="22"/>
                </w:rPr>
                <w:t>C25/105</w:t>
              </w:r>
            </w:hyperlink>
          </w:p>
        </w:tc>
      </w:tr>
    </w:tbl>
    <w:p w14:paraId="3FE32CB1"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09365793" w14:textId="77777777" w:rsidR="0090147A" w:rsidRPr="00147C54" w:rsidRDefault="0090147A" w:rsidP="39B351CB">
      <w:pPr>
        <w:tabs>
          <w:tab w:val="clear" w:pos="567"/>
          <w:tab w:val="clear" w:pos="1134"/>
          <w:tab w:val="clear" w:pos="1701"/>
          <w:tab w:val="clear" w:pos="2268"/>
          <w:tab w:val="clear" w:pos="2835"/>
        </w:tabs>
        <w:overflowPunct/>
        <w:autoSpaceDE/>
        <w:autoSpaceDN/>
        <w:adjustRightInd/>
        <w:spacing w:before="0"/>
        <w:textAlignment w:val="auto"/>
        <w:rPr>
          <w:b/>
          <w:bCs/>
        </w:rPr>
      </w:pPr>
      <w:r>
        <w:br w:type="page"/>
      </w:r>
      <w:bookmarkEnd w:id="5"/>
      <w:bookmarkEnd w:id="10"/>
    </w:p>
    <w:p w14:paraId="63C1CF54" w14:textId="0A7EE1AF" w:rsidR="00F44371" w:rsidRPr="00F44371" w:rsidRDefault="26095E5E" w:rsidP="00703483">
      <w:pPr>
        <w:pStyle w:val="Heading1"/>
        <w:rPr>
          <w:rFonts w:eastAsia="Calibri"/>
        </w:rPr>
      </w:pPr>
      <w:r w:rsidRPr="39B351CB">
        <w:rPr>
          <w:rFonts w:eastAsia="Calibri"/>
        </w:rPr>
        <w:lastRenderedPageBreak/>
        <w:t>1</w:t>
      </w:r>
      <w:r w:rsidR="00F44371">
        <w:tab/>
      </w:r>
      <w:r w:rsidRPr="39B351CB">
        <w:rPr>
          <w:rFonts w:eastAsia="Calibri"/>
        </w:rPr>
        <w:t>Background</w:t>
      </w:r>
    </w:p>
    <w:p w14:paraId="4FD3C07A" w14:textId="25817CDF" w:rsidR="00F44371" w:rsidRPr="00F44371" w:rsidRDefault="26095E5E" w:rsidP="00703483">
      <w:pPr>
        <w:jc w:val="both"/>
        <w:rPr>
          <w:rFonts w:eastAsia="Calibri"/>
        </w:rPr>
      </w:pPr>
      <w:r w:rsidRPr="5EEC3B87">
        <w:rPr>
          <w:rFonts w:eastAsia="Calibri"/>
        </w:rPr>
        <w:t xml:space="preserve">Approximately 60 to 65 meetings are held each year in ITU headquarters, supplemented by additional capacity in CICG/CCV. These meetings comprise statutory technical meetings </w:t>
      </w:r>
      <w:r w:rsidR="00F727EE">
        <w:rPr>
          <w:rFonts w:eastAsia="Calibri"/>
        </w:rPr>
        <w:t>(</w:t>
      </w:r>
      <w:r w:rsidR="00FE23DC">
        <w:rPr>
          <w:rFonts w:eastAsia="Calibri"/>
        </w:rPr>
        <w:t>Study Groups and Working Parties</w:t>
      </w:r>
      <w:r w:rsidR="00F727EE">
        <w:rPr>
          <w:rFonts w:eastAsia="Calibri"/>
        </w:rPr>
        <w:t>)</w:t>
      </w:r>
      <w:r w:rsidR="00FE23DC">
        <w:rPr>
          <w:rFonts w:eastAsia="Calibri"/>
        </w:rPr>
        <w:t xml:space="preserve"> </w:t>
      </w:r>
      <w:r w:rsidRPr="5EEC3B87">
        <w:rPr>
          <w:rFonts w:eastAsia="Calibri"/>
        </w:rPr>
        <w:t xml:space="preserve">for all sectors (mandated by Union and sector constitutional documents with decision-making functions and strategical importance), </w:t>
      </w:r>
      <w:r w:rsidR="00FE23DC">
        <w:rPr>
          <w:rFonts w:eastAsia="Calibri"/>
        </w:rPr>
        <w:t>as well as</w:t>
      </w:r>
      <w:r w:rsidR="00FE23DC" w:rsidRPr="5EEC3B87">
        <w:rPr>
          <w:rFonts w:eastAsia="Calibri"/>
        </w:rPr>
        <w:t xml:space="preserve"> </w:t>
      </w:r>
      <w:r w:rsidRPr="5EEC3B87">
        <w:rPr>
          <w:rFonts w:eastAsia="Calibri"/>
        </w:rPr>
        <w:t xml:space="preserve">Advisory Group meetings, Council, </w:t>
      </w:r>
      <w:r w:rsidR="00703483">
        <w:rPr>
          <w:rFonts w:eastAsia="Calibri"/>
        </w:rPr>
        <w:t xml:space="preserve">and </w:t>
      </w:r>
      <w:r w:rsidRPr="5EEC3B87">
        <w:rPr>
          <w:rFonts w:eastAsia="Calibri"/>
        </w:rPr>
        <w:t>Council Working Groups</w:t>
      </w:r>
      <w:r w:rsidR="00FE23DC">
        <w:rPr>
          <w:rFonts w:eastAsia="Calibri"/>
        </w:rPr>
        <w:t>.</w:t>
      </w:r>
    </w:p>
    <w:p w14:paraId="1162DCAD" w14:textId="6E4ACDBE" w:rsidR="00F44371" w:rsidRPr="00F44371" w:rsidRDefault="26095E5E" w:rsidP="00703483">
      <w:pPr>
        <w:jc w:val="both"/>
        <w:rPr>
          <w:rFonts w:eastAsia="Calibri" w:cs="Calibri"/>
          <w:color w:val="000000" w:themeColor="text1"/>
        </w:rPr>
      </w:pPr>
      <w:r w:rsidRPr="5EEC3B87">
        <w:rPr>
          <w:rFonts w:eastAsia="Calibri" w:cs="Calibri"/>
          <w:color w:val="000000" w:themeColor="text1"/>
        </w:rPr>
        <w:t xml:space="preserve">The detailed list </w:t>
      </w:r>
      <w:r w:rsidRPr="00703483">
        <w:rPr>
          <w:rFonts w:eastAsia="Calibri"/>
        </w:rPr>
        <w:t>of</w:t>
      </w:r>
      <w:r w:rsidRPr="5EEC3B87">
        <w:rPr>
          <w:rFonts w:eastAsia="Calibri" w:cs="Calibri"/>
          <w:color w:val="000000" w:themeColor="text1"/>
        </w:rPr>
        <w:t xml:space="preserve"> meetings expected to be held in 2028, based on 2024 data and including </w:t>
      </w:r>
      <w:r w:rsidR="00703483">
        <w:rPr>
          <w:rFonts w:eastAsia="Calibri" w:cs="Calibri"/>
          <w:color w:val="000000" w:themeColor="text1"/>
        </w:rPr>
        <w:t>the number and size of rooms, typical numbers of participants,</w:t>
      </w:r>
      <w:r w:rsidRPr="5EEC3B87">
        <w:rPr>
          <w:rFonts w:eastAsia="Calibri" w:cs="Calibri"/>
          <w:color w:val="000000" w:themeColor="text1"/>
        </w:rPr>
        <w:t xml:space="preserve"> and technical requirements, is available as part of the information for potential ITU Meetings Hub hosts </w:t>
      </w:r>
      <w:hyperlink r:id="rId17">
        <w:r w:rsidRPr="5EEC3B87">
          <w:rPr>
            <w:rStyle w:val="Hyperlink"/>
            <w:rFonts w:eastAsia="Calibri" w:cs="Calibri"/>
          </w:rPr>
          <w:t>here</w:t>
        </w:r>
      </w:hyperlink>
      <w:r w:rsidRPr="5EEC3B87">
        <w:rPr>
          <w:rFonts w:eastAsia="Calibri" w:cs="Calibri"/>
          <w:color w:val="000000" w:themeColor="text1"/>
        </w:rPr>
        <w:t>.</w:t>
      </w:r>
    </w:p>
    <w:p w14:paraId="17580644" w14:textId="6603071E" w:rsidR="00F44371" w:rsidRPr="00F44371" w:rsidRDefault="26095E5E" w:rsidP="00703483">
      <w:pPr>
        <w:jc w:val="both"/>
        <w:rPr>
          <w:rFonts w:eastAsia="Calibri" w:cs="Calibri"/>
          <w:color w:val="000000" w:themeColor="text1"/>
        </w:rPr>
      </w:pPr>
      <w:r w:rsidRPr="67B748BD">
        <w:rPr>
          <w:rFonts w:eastAsia="Calibri" w:cs="Calibri"/>
          <w:color w:val="000000" w:themeColor="text1"/>
        </w:rPr>
        <w:t xml:space="preserve">Due to the construction of the new building within the ITU headquarters project, the ITU meeting rooms in the Tower and Varembé buildings will not be available as of 2028. </w:t>
      </w:r>
      <w:r w:rsidR="000323F6">
        <w:rPr>
          <w:rFonts w:eastAsia="Calibri" w:cs="Calibri"/>
          <w:color w:val="000000" w:themeColor="text1"/>
        </w:rPr>
        <w:t xml:space="preserve">Meeting rooms in the </w:t>
      </w:r>
      <w:r w:rsidR="000323F6" w:rsidRPr="00703483">
        <w:rPr>
          <w:rFonts w:eastAsia="Calibri"/>
        </w:rPr>
        <w:t>Montbrillant</w:t>
      </w:r>
      <w:r w:rsidR="000323F6">
        <w:rPr>
          <w:rFonts w:eastAsia="Calibri" w:cs="Calibri"/>
          <w:color w:val="000000" w:themeColor="text1"/>
        </w:rPr>
        <w:t xml:space="preserve"> building may be available in 2028</w:t>
      </w:r>
      <w:r w:rsidR="00703483">
        <w:rPr>
          <w:rFonts w:eastAsia="Calibri" w:cs="Calibri"/>
          <w:color w:val="000000" w:themeColor="text1"/>
        </w:rPr>
        <w:t>,</w:t>
      </w:r>
      <w:r w:rsidR="000323F6">
        <w:rPr>
          <w:rFonts w:eastAsia="Calibri" w:cs="Calibri"/>
          <w:color w:val="000000" w:themeColor="text1"/>
        </w:rPr>
        <w:t xml:space="preserve"> subject to further analysis and confirmation. </w:t>
      </w:r>
      <w:r w:rsidRPr="67B748BD">
        <w:rPr>
          <w:rFonts w:eastAsia="Calibri" w:cs="Calibri"/>
          <w:color w:val="000000" w:themeColor="text1"/>
        </w:rPr>
        <w:t xml:space="preserve">As the construction schedule cannot be confirmed before finalization of planning (mid-2026), it </w:t>
      </w:r>
      <w:r w:rsidR="5DBD7556" w:rsidRPr="67B748BD">
        <w:rPr>
          <w:rFonts w:eastAsia="Calibri" w:cs="Calibri"/>
          <w:color w:val="000000" w:themeColor="text1"/>
        </w:rPr>
        <w:t xml:space="preserve">is </w:t>
      </w:r>
      <w:r w:rsidRPr="67B748BD">
        <w:rPr>
          <w:rFonts w:eastAsia="Calibri" w:cs="Calibri"/>
          <w:color w:val="000000" w:themeColor="text1"/>
        </w:rPr>
        <w:t>assumed</w:t>
      </w:r>
      <w:r w:rsidR="00D9257A">
        <w:rPr>
          <w:rFonts w:eastAsia="Calibri" w:cs="Calibri"/>
          <w:color w:val="000000" w:themeColor="text1"/>
        </w:rPr>
        <w:t xml:space="preserve"> at this stage</w:t>
      </w:r>
      <w:r w:rsidRPr="67B748BD">
        <w:rPr>
          <w:rFonts w:eastAsia="Calibri" w:cs="Calibri"/>
          <w:color w:val="000000" w:themeColor="text1"/>
        </w:rPr>
        <w:t xml:space="preserve"> that meeting rooms </w:t>
      </w:r>
      <w:r w:rsidR="00E27E8A">
        <w:rPr>
          <w:rFonts w:eastAsia="Calibri" w:cs="Calibri"/>
          <w:color w:val="000000" w:themeColor="text1"/>
        </w:rPr>
        <w:t xml:space="preserve">in the Tower building </w:t>
      </w:r>
      <w:r w:rsidR="00D9257A">
        <w:rPr>
          <w:rFonts w:eastAsia="Calibri" w:cs="Calibri"/>
          <w:color w:val="000000" w:themeColor="text1"/>
        </w:rPr>
        <w:t>will</w:t>
      </w:r>
      <w:r w:rsidRPr="67B748BD">
        <w:rPr>
          <w:rFonts w:eastAsia="Calibri" w:cs="Calibri"/>
          <w:color w:val="000000" w:themeColor="text1"/>
        </w:rPr>
        <w:t xml:space="preserve"> remain unavailable throughout 2029.  </w:t>
      </w:r>
    </w:p>
    <w:p w14:paraId="735CE895" w14:textId="2509583D" w:rsidR="00F44371" w:rsidRPr="00F44371" w:rsidRDefault="26095E5E" w:rsidP="00703483">
      <w:pPr>
        <w:pStyle w:val="Heading1"/>
        <w:rPr>
          <w:rFonts w:eastAsia="Calibri"/>
        </w:rPr>
      </w:pPr>
      <w:r w:rsidRPr="39B351CB">
        <w:rPr>
          <w:rFonts w:eastAsia="Calibri"/>
        </w:rPr>
        <w:t>2</w:t>
      </w:r>
      <w:r w:rsidR="00F44371">
        <w:tab/>
      </w:r>
      <w:r w:rsidRPr="39B351CB">
        <w:rPr>
          <w:rFonts w:eastAsia="Calibri"/>
        </w:rPr>
        <w:t>Business continuity modalities</w:t>
      </w:r>
    </w:p>
    <w:p w14:paraId="329DFC14" w14:textId="57942340" w:rsidR="00F44371" w:rsidRPr="00F44371" w:rsidRDefault="26095E5E" w:rsidP="00703483">
      <w:pPr>
        <w:jc w:val="both"/>
        <w:rPr>
          <w:rFonts w:eastAsia="Calibri" w:cs="Calibri"/>
          <w:color w:val="000000" w:themeColor="text1"/>
          <w:szCs w:val="24"/>
        </w:rPr>
      </w:pPr>
      <w:r w:rsidRPr="39B351CB">
        <w:rPr>
          <w:rFonts w:eastAsia="Calibri" w:cs="Calibri"/>
          <w:color w:val="000000" w:themeColor="text1"/>
          <w:szCs w:val="24"/>
        </w:rPr>
        <w:t>The secretariat has explored the following options to ensure business continuity in the period in question:</w:t>
      </w:r>
    </w:p>
    <w:p w14:paraId="01B3BF97" w14:textId="0E0AEED5" w:rsidR="00F44371" w:rsidRPr="00F44371" w:rsidRDefault="26095E5E" w:rsidP="00703483">
      <w:pPr>
        <w:pStyle w:val="Headingb"/>
        <w:rPr>
          <w:rFonts w:eastAsia="Calibri"/>
        </w:rPr>
      </w:pPr>
      <w:r w:rsidRPr="39B351CB">
        <w:rPr>
          <w:rFonts w:eastAsia="Calibri"/>
        </w:rPr>
        <w:t>Alternative venues in Geneva</w:t>
      </w:r>
    </w:p>
    <w:p w14:paraId="5CD631BD" w14:textId="36979F02" w:rsidR="00F44371" w:rsidRPr="00F44371" w:rsidRDefault="26095E5E" w:rsidP="00703483">
      <w:pPr>
        <w:pStyle w:val="Headingi"/>
        <w:rPr>
          <w:rFonts w:eastAsia="Calibri"/>
        </w:rPr>
      </w:pPr>
      <w:r w:rsidRPr="39B351CB">
        <w:rPr>
          <w:rFonts w:eastAsia="Calibri"/>
        </w:rPr>
        <w:t>CICG</w:t>
      </w:r>
    </w:p>
    <w:p w14:paraId="7FA7BB23" w14:textId="2E1AFF63" w:rsidR="00F44371" w:rsidRPr="00F44371" w:rsidRDefault="26095E5E" w:rsidP="00703483">
      <w:pPr>
        <w:jc w:val="both"/>
        <w:rPr>
          <w:rFonts w:eastAsia="Calibri" w:cs="Calibri"/>
          <w:color w:val="000000" w:themeColor="text1"/>
        </w:rPr>
      </w:pPr>
      <w:r w:rsidRPr="67B748BD">
        <w:rPr>
          <w:rFonts w:eastAsia="Calibri" w:cs="Calibri"/>
          <w:color w:val="000000" w:themeColor="text1"/>
        </w:rPr>
        <w:t xml:space="preserve">Under </w:t>
      </w:r>
      <w:r w:rsidR="002B465E" w:rsidRPr="67B748BD">
        <w:rPr>
          <w:rFonts w:eastAsia="Calibri" w:cs="Calibri"/>
          <w:color w:val="000000" w:themeColor="text1"/>
        </w:rPr>
        <w:t>the present</w:t>
      </w:r>
      <w:r w:rsidRPr="67B748BD">
        <w:rPr>
          <w:rFonts w:eastAsia="Calibri" w:cs="Calibri"/>
          <w:color w:val="000000" w:themeColor="text1"/>
        </w:rPr>
        <w:t xml:space="preserve"> FIPOI plans, CICG </w:t>
      </w:r>
      <w:r w:rsidR="00DE4F94">
        <w:rPr>
          <w:rFonts w:eastAsia="Calibri" w:cs="Calibri"/>
          <w:color w:val="000000" w:themeColor="text1"/>
        </w:rPr>
        <w:t>is</w:t>
      </w:r>
      <w:r w:rsidR="00DE4F94" w:rsidRPr="67B748BD">
        <w:rPr>
          <w:rFonts w:eastAsia="Calibri" w:cs="Calibri"/>
          <w:color w:val="000000" w:themeColor="text1"/>
        </w:rPr>
        <w:t xml:space="preserve"> </w:t>
      </w:r>
      <w:r w:rsidR="00DE4F94">
        <w:rPr>
          <w:rFonts w:eastAsia="Calibri" w:cs="Calibri"/>
          <w:color w:val="000000" w:themeColor="text1"/>
        </w:rPr>
        <w:t>un</w:t>
      </w:r>
      <w:r w:rsidR="5829728C" w:rsidRPr="67B748BD">
        <w:rPr>
          <w:rFonts w:eastAsia="Calibri" w:cs="Calibri"/>
          <w:color w:val="000000" w:themeColor="text1"/>
        </w:rPr>
        <w:t xml:space="preserve">likely </w:t>
      </w:r>
      <w:r w:rsidR="00DE4F94">
        <w:rPr>
          <w:rFonts w:eastAsia="Calibri" w:cs="Calibri"/>
          <w:color w:val="000000" w:themeColor="text1"/>
        </w:rPr>
        <w:t xml:space="preserve">to </w:t>
      </w:r>
      <w:r w:rsidRPr="67B748BD">
        <w:rPr>
          <w:rFonts w:eastAsia="Calibri" w:cs="Calibri"/>
          <w:color w:val="000000" w:themeColor="text1"/>
        </w:rPr>
        <w:t>be available for use throughout 2028 due to renovation work currently planned to begin in 2028 and will have limited availability at best in 2029.</w:t>
      </w:r>
      <w:r w:rsidR="00703483">
        <w:rPr>
          <w:rFonts w:eastAsia="Calibri" w:cs="Calibri"/>
          <w:color w:val="000000" w:themeColor="text1"/>
        </w:rPr>
        <w:t xml:space="preserve"> </w:t>
      </w:r>
      <w:r w:rsidRPr="00703483">
        <w:rPr>
          <w:rFonts w:eastAsia="Calibri"/>
        </w:rPr>
        <w:t>Switzerland</w:t>
      </w:r>
      <w:r w:rsidRPr="67B748BD">
        <w:rPr>
          <w:rFonts w:eastAsia="Calibri" w:cs="Calibri"/>
          <w:color w:val="000000" w:themeColor="text1"/>
        </w:rPr>
        <w:t>, ITU’s host country, remains committed to providing support to ITU during the period of CICG’s renovation within the limits of available resources, but cannot give firm guarantees at this stage.</w:t>
      </w:r>
    </w:p>
    <w:p w14:paraId="17530A9B" w14:textId="24B118D1" w:rsidR="00F44371" w:rsidRPr="00F44371" w:rsidRDefault="26095E5E" w:rsidP="00703483">
      <w:pPr>
        <w:pStyle w:val="Headingi"/>
        <w:rPr>
          <w:rFonts w:eastAsia="Calibri"/>
        </w:rPr>
      </w:pPr>
      <w:r w:rsidRPr="39B351CB">
        <w:rPr>
          <w:rFonts w:eastAsia="Calibri"/>
        </w:rPr>
        <w:t>Palexpo</w:t>
      </w:r>
    </w:p>
    <w:p w14:paraId="5CA109C2" w14:textId="0E889A50" w:rsidR="00F44371" w:rsidRPr="00F44371" w:rsidRDefault="26095E5E" w:rsidP="00703483">
      <w:pPr>
        <w:jc w:val="both"/>
        <w:rPr>
          <w:rFonts w:eastAsia="Calibri" w:cs="Calibri"/>
          <w:color w:val="000000" w:themeColor="text1"/>
        </w:rPr>
      </w:pPr>
      <w:r w:rsidRPr="67B748BD">
        <w:rPr>
          <w:rFonts w:eastAsia="Calibri" w:cs="Calibri"/>
          <w:color w:val="000000" w:themeColor="text1"/>
        </w:rPr>
        <w:t>The</w:t>
      </w:r>
      <w:r w:rsidRPr="67B748BD">
        <w:rPr>
          <w:rFonts w:eastAsia="Calibri" w:cs="Calibri"/>
          <w:i/>
          <w:iCs/>
          <w:color w:val="000000" w:themeColor="text1"/>
        </w:rPr>
        <w:t xml:space="preserve"> </w:t>
      </w:r>
      <w:r w:rsidRPr="67B748BD">
        <w:rPr>
          <w:rFonts w:eastAsia="Calibri" w:cs="Calibri"/>
          <w:color w:val="000000" w:themeColor="text1"/>
        </w:rPr>
        <w:t xml:space="preserve">newly extended Palexpo conference centre offers </w:t>
      </w:r>
      <w:r w:rsidR="002B465E" w:rsidRPr="67B748BD">
        <w:rPr>
          <w:rFonts w:eastAsia="Calibri" w:cs="Calibri"/>
          <w:color w:val="000000" w:themeColor="text1"/>
        </w:rPr>
        <w:t>an</w:t>
      </w:r>
      <w:r w:rsidRPr="67B748BD">
        <w:rPr>
          <w:rFonts w:eastAsia="Calibri" w:cs="Calibri"/>
          <w:color w:val="000000" w:themeColor="text1"/>
        </w:rPr>
        <w:t xml:space="preserve"> alternative venue to hold the majority of ITU </w:t>
      </w:r>
      <w:r w:rsidRPr="00703483">
        <w:rPr>
          <w:rFonts w:eastAsia="Calibri"/>
        </w:rPr>
        <w:t>meetings</w:t>
      </w:r>
      <w:r w:rsidRPr="67B748BD">
        <w:rPr>
          <w:rFonts w:eastAsia="Calibri" w:cs="Calibri"/>
          <w:color w:val="000000" w:themeColor="text1"/>
        </w:rPr>
        <w:t xml:space="preserve"> in one location in Geneva in 2028 (and 2029 if necessary). The indicative cost of hosting all meetings in Palexpo for one year is 4.6M CHF (as per the full breakdown of costs reported in </w:t>
      </w:r>
      <w:r w:rsidR="007D5A01">
        <w:rPr>
          <w:rFonts w:eastAsia="Calibri" w:cs="Calibri"/>
          <w:color w:val="000000" w:themeColor="text1"/>
        </w:rPr>
        <w:t xml:space="preserve">Document </w:t>
      </w:r>
      <w:hyperlink r:id="rId18">
        <w:r w:rsidRPr="007D5A01">
          <w:rPr>
            <w:rStyle w:val="Hyperlink"/>
            <w:rFonts w:eastAsia="Calibri" w:cs="Calibri"/>
          </w:rPr>
          <w:t>C25/60</w:t>
        </w:r>
      </w:hyperlink>
      <w:r w:rsidRPr="67B748BD">
        <w:rPr>
          <w:rFonts w:eastAsia="Calibri" w:cs="Calibri"/>
          <w:color w:val="000000" w:themeColor="text1"/>
        </w:rPr>
        <w:t>), and the deadline to sign a contract with Palexpo at this preferential rate is 31 December 2025. Given current budget estimates and the lack of identified funds, the option of holding meetings in Palexpo is not feasible.</w:t>
      </w:r>
    </w:p>
    <w:p w14:paraId="181B6166" w14:textId="55DD2937" w:rsidR="00F44371" w:rsidRPr="00F44371" w:rsidRDefault="26095E5E" w:rsidP="00703483">
      <w:pPr>
        <w:pStyle w:val="Headingi"/>
        <w:rPr>
          <w:rFonts w:eastAsia="Calibri"/>
        </w:rPr>
      </w:pPr>
      <w:r w:rsidRPr="67B748BD">
        <w:rPr>
          <w:rFonts w:eastAsia="Calibri"/>
        </w:rPr>
        <w:t xml:space="preserve">Other </w:t>
      </w:r>
      <w:r w:rsidR="5DB58931" w:rsidRPr="67B748BD">
        <w:rPr>
          <w:rFonts w:eastAsia="Calibri"/>
        </w:rPr>
        <w:t>UN/</w:t>
      </w:r>
      <w:r w:rsidRPr="67B748BD">
        <w:rPr>
          <w:rFonts w:eastAsia="Calibri"/>
        </w:rPr>
        <w:t xml:space="preserve">international </w:t>
      </w:r>
      <w:r w:rsidR="3FC32C96" w:rsidRPr="67B748BD">
        <w:rPr>
          <w:rFonts w:eastAsia="Calibri"/>
        </w:rPr>
        <w:t>entities</w:t>
      </w:r>
    </w:p>
    <w:p w14:paraId="22BD1A37" w14:textId="53AFFA09" w:rsidR="00F44371" w:rsidRPr="00F44371" w:rsidRDefault="26095E5E" w:rsidP="00703483">
      <w:pPr>
        <w:jc w:val="both"/>
        <w:rPr>
          <w:rFonts w:eastAsia="Calibri" w:cs="Calibri"/>
          <w:color w:val="000000" w:themeColor="text1"/>
          <w:szCs w:val="24"/>
        </w:rPr>
      </w:pPr>
      <w:r w:rsidRPr="39B351CB">
        <w:rPr>
          <w:rFonts w:eastAsia="Calibri" w:cs="Calibri"/>
          <w:color w:val="000000" w:themeColor="text1"/>
          <w:szCs w:val="24"/>
        </w:rPr>
        <w:t>There is increased pressure on meeting spaces in international Geneva in the period up to 2030 as several major construction projects are taking place in parallel, demand is high and few meeting rooms are available for external use.  A limited number of rooms may be available to rent in 2028 on an ad hoc basis in different venues such as WHO and UNOG, but this availability may only be confirmed six months in advance at best.</w:t>
      </w:r>
    </w:p>
    <w:p w14:paraId="0CA50846" w14:textId="5373E7AC" w:rsidR="00F44371" w:rsidRPr="00F44371" w:rsidRDefault="26095E5E" w:rsidP="00703483">
      <w:pPr>
        <w:pStyle w:val="Headingi"/>
        <w:rPr>
          <w:rFonts w:eastAsia="Calibri"/>
        </w:rPr>
      </w:pPr>
      <w:r w:rsidRPr="39B351CB">
        <w:rPr>
          <w:rFonts w:eastAsia="Calibri"/>
        </w:rPr>
        <w:lastRenderedPageBreak/>
        <w:t>UNOG Tempus</w:t>
      </w:r>
    </w:p>
    <w:p w14:paraId="5B51C1CB" w14:textId="65A076B4" w:rsidR="00F44371" w:rsidRPr="00F44371" w:rsidRDefault="26095E5E" w:rsidP="00703483">
      <w:pPr>
        <w:jc w:val="both"/>
        <w:rPr>
          <w:rFonts w:eastAsia="Calibri" w:cs="Calibri"/>
          <w:color w:val="000000" w:themeColor="text1"/>
        </w:rPr>
      </w:pPr>
      <w:r w:rsidRPr="67B748BD">
        <w:rPr>
          <w:rFonts w:eastAsia="Calibri" w:cs="Calibri"/>
          <w:color w:val="000000" w:themeColor="text1"/>
        </w:rPr>
        <w:t>As part of the ongoing renovation of its conference facilities, the United Nations Office at Geneva (</w:t>
      </w:r>
      <w:r w:rsidRPr="00703483">
        <w:rPr>
          <w:rFonts w:eastAsia="Calibri"/>
        </w:rPr>
        <w:t>UNOG</w:t>
      </w:r>
      <w:r w:rsidRPr="67B748BD">
        <w:rPr>
          <w:rFonts w:eastAsia="Calibri" w:cs="Calibri"/>
          <w:color w:val="000000" w:themeColor="text1"/>
        </w:rPr>
        <w:t>) has built a temporary conference structure, Tempus, which may be available for lease by ITU in 2028. It can hold 600 participants in one room or be reconfigured into three rooms</w:t>
      </w:r>
      <w:r w:rsidR="00304742">
        <w:rPr>
          <w:rFonts w:eastAsia="Calibri" w:cs="Calibri"/>
          <w:color w:val="000000" w:themeColor="text1"/>
        </w:rPr>
        <w:t>,</w:t>
      </w:r>
      <w:r w:rsidRPr="67B748BD">
        <w:rPr>
          <w:rFonts w:eastAsia="Calibri" w:cs="Calibri"/>
          <w:color w:val="000000" w:themeColor="text1"/>
        </w:rPr>
        <w:t xml:space="preserve"> each seating 200 participants, enabling it to hold some 13 ITU meetings throughout the year.</w:t>
      </w:r>
    </w:p>
    <w:p w14:paraId="363E23F7" w14:textId="50A255DE" w:rsidR="00F44371" w:rsidRPr="00F44371" w:rsidRDefault="26095E5E" w:rsidP="00703483">
      <w:pPr>
        <w:jc w:val="both"/>
        <w:rPr>
          <w:rFonts w:eastAsia="Calibri" w:cs="Calibri"/>
          <w:color w:val="000000" w:themeColor="text1"/>
        </w:rPr>
      </w:pPr>
      <w:r w:rsidRPr="67B748BD">
        <w:rPr>
          <w:rFonts w:eastAsia="Calibri" w:cs="Calibri"/>
          <w:color w:val="000000" w:themeColor="text1"/>
        </w:rPr>
        <w:t xml:space="preserve">The cost for </w:t>
      </w:r>
      <w:r w:rsidRPr="00703483">
        <w:rPr>
          <w:rFonts w:eastAsia="Calibri"/>
        </w:rPr>
        <w:t>rental</w:t>
      </w:r>
      <w:r w:rsidRPr="67B748BD">
        <w:rPr>
          <w:rFonts w:eastAsia="Calibri" w:cs="Calibri"/>
          <w:color w:val="000000" w:themeColor="text1"/>
        </w:rPr>
        <w:t xml:space="preserve"> for one year in 2028</w:t>
      </w:r>
      <w:r w:rsidR="00304742">
        <w:rPr>
          <w:rFonts w:eastAsia="Calibri" w:cs="Calibri"/>
          <w:color w:val="000000" w:themeColor="text1"/>
        </w:rPr>
        <w:t>,</w:t>
      </w:r>
      <w:r w:rsidRPr="67B748BD">
        <w:rPr>
          <w:rFonts w:eastAsia="Calibri" w:cs="Calibri"/>
          <w:color w:val="000000" w:themeColor="text1"/>
        </w:rPr>
        <w:t xml:space="preserve"> including reconfiguration into three rooms and dismantlement of the temporary structure</w:t>
      </w:r>
      <w:r w:rsidR="00304742">
        <w:rPr>
          <w:rFonts w:eastAsia="Calibri" w:cs="Calibri"/>
          <w:color w:val="000000" w:themeColor="text1"/>
        </w:rPr>
        <w:t>,</w:t>
      </w:r>
      <w:r w:rsidRPr="67B748BD">
        <w:rPr>
          <w:rFonts w:eastAsia="Calibri" w:cs="Calibri"/>
          <w:color w:val="000000" w:themeColor="text1"/>
        </w:rPr>
        <w:t xml:space="preserve"> is estimated at 640</w:t>
      </w:r>
      <w:r w:rsidR="00304742">
        <w:rPr>
          <w:rFonts w:eastAsia="Calibri" w:cs="Calibri"/>
          <w:color w:val="000000" w:themeColor="text1"/>
        </w:rPr>
        <w:t> </w:t>
      </w:r>
      <w:r w:rsidRPr="67B748BD">
        <w:rPr>
          <w:rFonts w:eastAsia="Calibri" w:cs="Calibri"/>
          <w:color w:val="000000" w:themeColor="text1"/>
        </w:rPr>
        <w:t>000 CHF. Additional costs for security are estimated at 4</w:t>
      </w:r>
      <w:r w:rsidR="00304742">
        <w:rPr>
          <w:rFonts w:eastAsia="Calibri" w:cs="Calibri"/>
          <w:color w:val="000000" w:themeColor="text1"/>
        </w:rPr>
        <w:t> </w:t>
      </w:r>
      <w:r w:rsidRPr="67B748BD">
        <w:rPr>
          <w:rFonts w:eastAsia="Calibri" w:cs="Calibri"/>
          <w:color w:val="000000" w:themeColor="text1"/>
        </w:rPr>
        <w:t xml:space="preserve">000 CHF per day. Further costs for technical services would also apply. </w:t>
      </w:r>
    </w:p>
    <w:p w14:paraId="535A4E4B" w14:textId="16C719DF" w:rsidR="00F44371" w:rsidRPr="00F44371" w:rsidRDefault="26095E5E" w:rsidP="00703483">
      <w:pPr>
        <w:jc w:val="both"/>
        <w:rPr>
          <w:rFonts w:eastAsia="Calibri" w:cs="Calibri"/>
          <w:color w:val="000000" w:themeColor="text1"/>
          <w:szCs w:val="24"/>
        </w:rPr>
      </w:pPr>
      <w:r w:rsidRPr="39B351CB">
        <w:rPr>
          <w:rFonts w:eastAsia="Calibri" w:cs="Calibri"/>
          <w:color w:val="000000" w:themeColor="text1"/>
          <w:szCs w:val="24"/>
        </w:rPr>
        <w:t xml:space="preserve">Given its limited capacity and high costs, rental of the structure on a yearly basis does not provide a </w:t>
      </w:r>
      <w:r w:rsidRPr="00703483">
        <w:rPr>
          <w:rFonts w:eastAsia="Calibri"/>
        </w:rPr>
        <w:t>reasonable</w:t>
      </w:r>
      <w:r w:rsidRPr="39B351CB">
        <w:rPr>
          <w:rFonts w:eastAsia="Calibri" w:cs="Calibri"/>
          <w:color w:val="000000" w:themeColor="text1"/>
          <w:szCs w:val="24"/>
        </w:rPr>
        <w:t xml:space="preserve"> return on investment and cannot be considered a viable option. However, renting space in Tempus as one room (600 participants) on an ad hoc basis</w:t>
      </w:r>
      <w:r w:rsidR="008C303D">
        <w:rPr>
          <w:rFonts w:eastAsia="Calibri" w:cs="Calibri"/>
          <w:color w:val="000000" w:themeColor="text1"/>
          <w:szCs w:val="24"/>
        </w:rPr>
        <w:t>,</w:t>
      </w:r>
      <w:r w:rsidRPr="39B351CB">
        <w:rPr>
          <w:rFonts w:eastAsia="Calibri" w:cs="Calibri"/>
          <w:color w:val="000000" w:themeColor="text1"/>
          <w:szCs w:val="24"/>
        </w:rPr>
        <w:t xml:space="preserve"> as one of a selection of alternative venues in Geneva</w:t>
      </w:r>
      <w:r w:rsidR="008C303D">
        <w:rPr>
          <w:rFonts w:eastAsia="Calibri" w:cs="Calibri"/>
          <w:color w:val="000000" w:themeColor="text1"/>
          <w:szCs w:val="24"/>
        </w:rPr>
        <w:t>,</w:t>
      </w:r>
      <w:r w:rsidRPr="39B351CB">
        <w:rPr>
          <w:rFonts w:eastAsia="Calibri" w:cs="Calibri"/>
          <w:color w:val="000000" w:themeColor="text1"/>
          <w:szCs w:val="24"/>
        </w:rPr>
        <w:t xml:space="preserve"> may be considered.</w:t>
      </w:r>
    </w:p>
    <w:p w14:paraId="08D0E4CF" w14:textId="0DED03A3" w:rsidR="00F44371" w:rsidRPr="00F44371" w:rsidRDefault="26095E5E" w:rsidP="007D5A01">
      <w:pPr>
        <w:pStyle w:val="Headingi"/>
        <w:rPr>
          <w:rFonts w:eastAsia="Calibri"/>
        </w:rPr>
      </w:pPr>
      <w:r w:rsidRPr="39B351CB">
        <w:rPr>
          <w:rFonts w:eastAsia="Calibri"/>
        </w:rPr>
        <w:t>Indicative overview of costs in other UN agencies on an ad hoc basis</w:t>
      </w:r>
    </w:p>
    <w:p w14:paraId="7142F242" w14:textId="448B245C" w:rsidR="00F44371" w:rsidRDefault="26095E5E" w:rsidP="00703483">
      <w:pPr>
        <w:jc w:val="both"/>
        <w:rPr>
          <w:rFonts w:eastAsia="Calibri" w:cs="Calibri"/>
          <w:color w:val="000000" w:themeColor="text1"/>
        </w:rPr>
      </w:pPr>
      <w:r w:rsidRPr="558108A7">
        <w:rPr>
          <w:rFonts w:eastAsia="Calibri" w:cs="Calibri"/>
          <w:color w:val="000000" w:themeColor="text1"/>
        </w:rPr>
        <w:t xml:space="preserve">The following table provides an indicative comparison of the cost of rental for a selected number of </w:t>
      </w:r>
      <w:r w:rsidRPr="00703483">
        <w:rPr>
          <w:rFonts w:eastAsia="Calibri"/>
        </w:rPr>
        <w:t>indicative</w:t>
      </w:r>
      <w:r w:rsidRPr="558108A7">
        <w:rPr>
          <w:rFonts w:eastAsia="Calibri" w:cs="Calibri"/>
          <w:color w:val="000000" w:themeColor="text1"/>
        </w:rPr>
        <w:t xml:space="preserve"> meetings, noting that technical and services fees will also apply:</w:t>
      </w:r>
    </w:p>
    <w:p w14:paraId="30E03E68" w14:textId="77777777" w:rsidR="007D5A01" w:rsidRPr="00F44371" w:rsidRDefault="007D5A01" w:rsidP="00703483">
      <w:pPr>
        <w:jc w:val="both"/>
        <w:rPr>
          <w:rFonts w:eastAsia="Calibri" w:cs="Calibri"/>
          <w:color w:val="000000" w:themeColor="text1"/>
          <w:szCs w:val="24"/>
        </w:rPr>
      </w:pPr>
    </w:p>
    <w:tbl>
      <w:tblPr>
        <w:tblStyle w:val="PlainTable1"/>
        <w:tblW w:w="0" w:type="auto"/>
        <w:jc w:val="center"/>
        <w:tblBorders>
          <w:top w:val="single" w:sz="6" w:space="0" w:color="auto"/>
          <w:left w:val="single" w:sz="6" w:space="0" w:color="auto"/>
          <w:bottom w:val="single" w:sz="6" w:space="0" w:color="auto"/>
          <w:right w:val="single" w:sz="6" w:space="0" w:color="auto"/>
        </w:tblBorders>
        <w:tblLayout w:type="fixed"/>
        <w:tblLook w:val="0420" w:firstRow="1" w:lastRow="0" w:firstColumn="0" w:lastColumn="0" w:noHBand="0" w:noVBand="1"/>
      </w:tblPr>
      <w:tblGrid>
        <w:gridCol w:w="990"/>
        <w:gridCol w:w="705"/>
        <w:gridCol w:w="3105"/>
        <w:gridCol w:w="1410"/>
        <w:gridCol w:w="990"/>
        <w:gridCol w:w="1125"/>
        <w:gridCol w:w="1830"/>
      </w:tblGrid>
      <w:tr w:rsidR="39B351CB" w:rsidRPr="00473358" w14:paraId="673474E7" w14:textId="77777777" w:rsidTr="00B2717E">
        <w:trPr>
          <w:cnfStyle w:val="100000000000" w:firstRow="1" w:lastRow="0" w:firstColumn="0" w:lastColumn="0" w:oddVBand="0" w:evenVBand="0" w:oddHBand="0" w:evenHBand="0" w:firstRowFirstColumn="0" w:firstRowLastColumn="0" w:lastRowFirstColumn="0" w:lastRowLastColumn="0"/>
          <w:cantSplit/>
          <w:tblHeader/>
          <w:jc w:val="center"/>
        </w:trPr>
        <w:tc>
          <w:tcPr>
            <w:tcW w:w="990" w:type="dxa"/>
            <w:tcMar>
              <w:left w:w="105" w:type="dxa"/>
              <w:right w:w="105" w:type="dxa"/>
            </w:tcMar>
          </w:tcPr>
          <w:p w14:paraId="1CD4FC9C" w14:textId="3D25F3D9" w:rsidR="39B351CB" w:rsidRPr="00473358" w:rsidRDefault="39B351CB" w:rsidP="00473358">
            <w:pPr>
              <w:pStyle w:val="Tablehead"/>
              <w:rPr>
                <w:rFonts w:eastAsia="Calibri"/>
                <w:b/>
                <w:bCs w:val="0"/>
              </w:rPr>
            </w:pPr>
            <w:r w:rsidRPr="00473358">
              <w:rPr>
                <w:rFonts w:eastAsia="Calibri"/>
                <w:b/>
                <w:bCs w:val="0"/>
              </w:rPr>
              <w:t>Meeting</w:t>
            </w:r>
          </w:p>
        </w:tc>
        <w:tc>
          <w:tcPr>
            <w:tcW w:w="705" w:type="dxa"/>
            <w:tcMar>
              <w:left w:w="105" w:type="dxa"/>
              <w:right w:w="105" w:type="dxa"/>
            </w:tcMar>
          </w:tcPr>
          <w:p w14:paraId="52268619" w14:textId="5A0A5CF4" w:rsidR="39B351CB" w:rsidRPr="00473358" w:rsidRDefault="39B351CB" w:rsidP="00473358">
            <w:pPr>
              <w:pStyle w:val="Tablehead"/>
              <w:rPr>
                <w:rFonts w:eastAsia="Calibri"/>
                <w:b/>
                <w:bCs w:val="0"/>
              </w:rPr>
            </w:pPr>
            <w:r w:rsidRPr="00473358">
              <w:rPr>
                <w:rFonts w:eastAsia="Calibri"/>
                <w:b/>
                <w:bCs w:val="0"/>
              </w:rPr>
              <w:t>Days</w:t>
            </w:r>
          </w:p>
        </w:tc>
        <w:tc>
          <w:tcPr>
            <w:tcW w:w="3105" w:type="dxa"/>
            <w:tcMar>
              <w:left w:w="105" w:type="dxa"/>
              <w:right w:w="105" w:type="dxa"/>
            </w:tcMar>
          </w:tcPr>
          <w:p w14:paraId="4D3DE649" w14:textId="64568459" w:rsidR="39B351CB" w:rsidRPr="00473358" w:rsidRDefault="39B351CB" w:rsidP="00473358">
            <w:pPr>
              <w:pStyle w:val="Tablehead"/>
              <w:rPr>
                <w:rFonts w:eastAsia="Calibri"/>
                <w:b/>
                <w:bCs w:val="0"/>
              </w:rPr>
            </w:pPr>
            <w:r w:rsidRPr="00473358">
              <w:rPr>
                <w:rFonts w:eastAsia="Calibri"/>
                <w:b/>
                <w:bCs w:val="0"/>
              </w:rPr>
              <w:t>Rooms/ capacity</w:t>
            </w:r>
          </w:p>
        </w:tc>
        <w:tc>
          <w:tcPr>
            <w:tcW w:w="1410" w:type="dxa"/>
            <w:tcMar>
              <w:left w:w="105" w:type="dxa"/>
              <w:right w:w="105" w:type="dxa"/>
            </w:tcMar>
          </w:tcPr>
          <w:p w14:paraId="6194B0E5" w14:textId="11B1CF6B" w:rsidR="39B351CB" w:rsidRPr="00473358" w:rsidRDefault="39B351CB" w:rsidP="00473358">
            <w:pPr>
              <w:pStyle w:val="Tablehead"/>
              <w:rPr>
                <w:rFonts w:eastAsia="Calibri"/>
                <w:b/>
                <w:bCs w:val="0"/>
              </w:rPr>
            </w:pPr>
            <w:r w:rsidRPr="00473358">
              <w:rPr>
                <w:rFonts w:eastAsia="Calibri"/>
                <w:b/>
                <w:bCs w:val="0"/>
              </w:rPr>
              <w:t xml:space="preserve">Costs </w:t>
            </w:r>
            <w:r w:rsidR="00473358">
              <w:rPr>
                <w:rFonts w:eastAsia="Calibri"/>
                <w:b/>
                <w:bCs w:val="0"/>
              </w:rPr>
              <w:br/>
            </w:r>
            <w:r w:rsidRPr="00473358">
              <w:rPr>
                <w:rFonts w:eastAsia="Calibri"/>
                <w:b/>
                <w:bCs w:val="0"/>
              </w:rPr>
              <w:t>(CHF)</w:t>
            </w:r>
          </w:p>
        </w:tc>
        <w:tc>
          <w:tcPr>
            <w:tcW w:w="990" w:type="dxa"/>
            <w:tcMar>
              <w:left w:w="105" w:type="dxa"/>
              <w:right w:w="105" w:type="dxa"/>
            </w:tcMar>
          </w:tcPr>
          <w:p w14:paraId="46FC6F10" w14:textId="02F3136B" w:rsidR="39B351CB" w:rsidRPr="00473358" w:rsidRDefault="62759D70" w:rsidP="00863EA5">
            <w:pPr>
              <w:pStyle w:val="Tablehead"/>
              <w:rPr>
                <w:rFonts w:eastAsia="Calibri"/>
                <w:b/>
                <w:bCs w:val="0"/>
              </w:rPr>
            </w:pPr>
            <w:r w:rsidRPr="00473358">
              <w:rPr>
                <w:rFonts w:eastAsia="Calibri"/>
                <w:b/>
                <w:bCs w:val="0"/>
              </w:rPr>
              <w:t>CICG</w:t>
            </w:r>
          </w:p>
        </w:tc>
        <w:tc>
          <w:tcPr>
            <w:tcW w:w="1125" w:type="dxa"/>
            <w:tcMar>
              <w:left w:w="105" w:type="dxa"/>
              <w:right w:w="105" w:type="dxa"/>
            </w:tcMar>
          </w:tcPr>
          <w:p w14:paraId="3BDAA43F" w14:textId="09B2CFC7" w:rsidR="39B351CB" w:rsidRPr="00473358" w:rsidRDefault="39B351CB" w:rsidP="00863EA5">
            <w:pPr>
              <w:pStyle w:val="Tablehead"/>
              <w:rPr>
                <w:rFonts w:eastAsia="Calibri"/>
                <w:b/>
                <w:bCs w:val="0"/>
              </w:rPr>
            </w:pPr>
            <w:r w:rsidRPr="00473358">
              <w:rPr>
                <w:rFonts w:eastAsia="Calibri"/>
                <w:b/>
                <w:bCs w:val="0"/>
              </w:rPr>
              <w:t>UNOG</w:t>
            </w:r>
          </w:p>
        </w:tc>
        <w:tc>
          <w:tcPr>
            <w:tcW w:w="1830" w:type="dxa"/>
            <w:tcMar>
              <w:left w:w="105" w:type="dxa"/>
              <w:right w:w="105" w:type="dxa"/>
            </w:tcMar>
          </w:tcPr>
          <w:p w14:paraId="691D8EEC" w14:textId="6F2DEF5B" w:rsidR="39B351CB" w:rsidRPr="00473358" w:rsidRDefault="39B351CB" w:rsidP="00863EA5">
            <w:pPr>
              <w:pStyle w:val="Tablehead"/>
              <w:rPr>
                <w:rFonts w:eastAsia="Calibri"/>
                <w:b/>
                <w:bCs w:val="0"/>
              </w:rPr>
            </w:pPr>
            <w:r w:rsidRPr="00473358">
              <w:rPr>
                <w:rFonts w:eastAsia="Calibri"/>
                <w:b/>
                <w:bCs w:val="0"/>
              </w:rPr>
              <w:t>Palexpo</w:t>
            </w:r>
          </w:p>
        </w:tc>
      </w:tr>
      <w:tr w:rsidR="39B351CB" w14:paraId="6CF5F99E" w14:textId="77777777" w:rsidTr="00473358">
        <w:trPr>
          <w:cnfStyle w:val="000000100000" w:firstRow="0" w:lastRow="0" w:firstColumn="0" w:lastColumn="0" w:oddVBand="0" w:evenVBand="0" w:oddHBand="1" w:evenHBand="0" w:firstRowFirstColumn="0" w:firstRowLastColumn="0" w:lastRowFirstColumn="0" w:lastRowLastColumn="0"/>
          <w:cantSplit/>
          <w:jc w:val="center"/>
        </w:trPr>
        <w:tc>
          <w:tcPr>
            <w:tcW w:w="990" w:type="dxa"/>
            <w:vMerge w:val="restart"/>
            <w:tcMar>
              <w:left w:w="105" w:type="dxa"/>
              <w:right w:w="105" w:type="dxa"/>
            </w:tcMar>
            <w:vAlign w:val="center"/>
          </w:tcPr>
          <w:p w14:paraId="6338959A" w14:textId="60729979" w:rsidR="39B351CB" w:rsidRDefault="39B351CB" w:rsidP="00473358">
            <w:pPr>
              <w:pStyle w:val="Tabletext"/>
              <w:rPr>
                <w:rFonts w:eastAsia="Calibri"/>
              </w:rPr>
            </w:pPr>
            <w:r w:rsidRPr="39B351CB">
              <w:rPr>
                <w:rFonts w:eastAsia="Calibri"/>
              </w:rPr>
              <w:t>Council</w:t>
            </w:r>
          </w:p>
        </w:tc>
        <w:tc>
          <w:tcPr>
            <w:tcW w:w="705" w:type="dxa"/>
            <w:vMerge w:val="restart"/>
            <w:tcMar>
              <w:left w:w="105" w:type="dxa"/>
              <w:right w:w="105" w:type="dxa"/>
            </w:tcMar>
            <w:vAlign w:val="center"/>
          </w:tcPr>
          <w:p w14:paraId="743669C8" w14:textId="07EE8914" w:rsidR="39B351CB" w:rsidRDefault="39B351CB" w:rsidP="00473358">
            <w:pPr>
              <w:pStyle w:val="Tabletext"/>
              <w:jc w:val="center"/>
              <w:rPr>
                <w:rFonts w:eastAsia="Calibri"/>
              </w:rPr>
            </w:pPr>
            <w:r w:rsidRPr="39B351CB">
              <w:rPr>
                <w:rFonts w:eastAsia="Calibri"/>
              </w:rPr>
              <w:t>12</w:t>
            </w:r>
          </w:p>
        </w:tc>
        <w:tc>
          <w:tcPr>
            <w:tcW w:w="3105" w:type="dxa"/>
            <w:vMerge w:val="restart"/>
            <w:tcMar>
              <w:left w:w="105" w:type="dxa"/>
              <w:right w:w="105" w:type="dxa"/>
            </w:tcMar>
            <w:vAlign w:val="center"/>
          </w:tcPr>
          <w:p w14:paraId="496070B0" w14:textId="6F04874D" w:rsidR="39B351CB" w:rsidRDefault="39B351CB" w:rsidP="00473358">
            <w:pPr>
              <w:pStyle w:val="Tabletext"/>
              <w:rPr>
                <w:rFonts w:eastAsia="Calibri"/>
              </w:rPr>
            </w:pPr>
            <w:r w:rsidRPr="39B351CB">
              <w:rPr>
                <w:rFonts w:eastAsia="Calibri"/>
              </w:rPr>
              <w:t>1</w:t>
            </w:r>
            <w:r w:rsidR="00863EA5">
              <w:rPr>
                <w:rFonts w:eastAsia="Calibri" w:cs="Calibri"/>
              </w:rPr>
              <w:t>×</w:t>
            </w:r>
            <w:r w:rsidRPr="39B351CB">
              <w:rPr>
                <w:rFonts w:eastAsia="Calibri"/>
              </w:rPr>
              <w:t>350</w:t>
            </w:r>
            <w:r w:rsidR="00B2717E">
              <w:rPr>
                <w:rFonts w:eastAsia="Calibri"/>
              </w:rPr>
              <w:t>,</w:t>
            </w:r>
            <w:r w:rsidRPr="39B351CB">
              <w:rPr>
                <w:rFonts w:eastAsia="Calibri"/>
              </w:rPr>
              <w:t xml:space="preserve"> 1</w:t>
            </w:r>
            <w:r w:rsidR="00B2717E">
              <w:rPr>
                <w:rFonts w:eastAsia="Calibri" w:cs="Calibri"/>
              </w:rPr>
              <w:t>×</w:t>
            </w:r>
            <w:r w:rsidRPr="39B351CB">
              <w:rPr>
                <w:rFonts w:eastAsia="Calibri"/>
              </w:rPr>
              <w:t>150</w:t>
            </w:r>
            <w:r w:rsidR="00B2717E">
              <w:rPr>
                <w:rFonts w:eastAsia="Calibri"/>
              </w:rPr>
              <w:t>,</w:t>
            </w:r>
            <w:r w:rsidRPr="39B351CB">
              <w:rPr>
                <w:rFonts w:eastAsia="Calibri"/>
              </w:rPr>
              <w:t xml:space="preserve"> 1</w:t>
            </w:r>
            <w:r w:rsidR="00B2717E">
              <w:rPr>
                <w:rFonts w:eastAsia="Calibri" w:cs="Calibri"/>
              </w:rPr>
              <w:t>×</w:t>
            </w:r>
            <w:r w:rsidRPr="39B351CB">
              <w:rPr>
                <w:rFonts w:eastAsia="Calibri"/>
              </w:rPr>
              <w:t>80</w:t>
            </w:r>
            <w:r w:rsidR="00B2717E">
              <w:rPr>
                <w:rFonts w:eastAsia="Calibri"/>
              </w:rPr>
              <w:t>,</w:t>
            </w:r>
            <w:r w:rsidRPr="39B351CB">
              <w:rPr>
                <w:rFonts w:eastAsia="Calibri"/>
              </w:rPr>
              <w:t xml:space="preserve"> 2</w:t>
            </w:r>
            <w:r w:rsidR="00B2717E">
              <w:rPr>
                <w:rFonts w:eastAsia="Calibri" w:cs="Calibri"/>
              </w:rPr>
              <w:t>×</w:t>
            </w:r>
            <w:r w:rsidRPr="39B351CB">
              <w:rPr>
                <w:rFonts w:eastAsia="Calibri"/>
              </w:rPr>
              <w:t>30</w:t>
            </w:r>
            <w:r w:rsidR="00B2717E">
              <w:rPr>
                <w:rFonts w:eastAsia="Calibri"/>
              </w:rPr>
              <w:t>,</w:t>
            </w:r>
            <w:r w:rsidRPr="39B351CB">
              <w:rPr>
                <w:rFonts w:eastAsia="Calibri"/>
              </w:rPr>
              <w:t xml:space="preserve"> 1</w:t>
            </w:r>
            <w:r w:rsidR="00B2717E">
              <w:rPr>
                <w:rFonts w:eastAsia="Calibri" w:cs="Calibri"/>
              </w:rPr>
              <w:t>×</w:t>
            </w:r>
            <w:r w:rsidRPr="39B351CB">
              <w:rPr>
                <w:rFonts w:eastAsia="Calibri"/>
              </w:rPr>
              <w:t>20</w:t>
            </w:r>
          </w:p>
        </w:tc>
        <w:tc>
          <w:tcPr>
            <w:tcW w:w="1410" w:type="dxa"/>
            <w:tcMar>
              <w:left w:w="105" w:type="dxa"/>
              <w:right w:w="105" w:type="dxa"/>
            </w:tcMar>
            <w:vAlign w:val="center"/>
          </w:tcPr>
          <w:p w14:paraId="12C70BDE" w14:textId="148249D7" w:rsidR="39B351CB" w:rsidRDefault="39B351CB" w:rsidP="00473358">
            <w:pPr>
              <w:pStyle w:val="Tabletext"/>
              <w:rPr>
                <w:rFonts w:eastAsia="Calibri"/>
              </w:rPr>
            </w:pPr>
            <w:r w:rsidRPr="39B351CB">
              <w:rPr>
                <w:rFonts w:eastAsia="Calibri"/>
              </w:rPr>
              <w:t>Rental</w:t>
            </w:r>
          </w:p>
        </w:tc>
        <w:tc>
          <w:tcPr>
            <w:tcW w:w="990" w:type="dxa"/>
            <w:tcMar>
              <w:left w:w="105" w:type="dxa"/>
              <w:right w:w="105" w:type="dxa"/>
            </w:tcMar>
            <w:vAlign w:val="center"/>
          </w:tcPr>
          <w:p w14:paraId="0D70579C" w14:textId="02D6413D" w:rsidR="39B351CB" w:rsidRDefault="39B351CB" w:rsidP="00863EA5">
            <w:pPr>
              <w:pStyle w:val="Tabletext"/>
              <w:jc w:val="center"/>
              <w:rPr>
                <w:rFonts w:eastAsia="Calibri"/>
                <w:color w:val="000000" w:themeColor="text1"/>
              </w:rPr>
            </w:pPr>
            <w:r w:rsidRPr="39B351CB">
              <w:rPr>
                <w:rFonts w:eastAsia="Calibri"/>
                <w:color w:val="000000" w:themeColor="text1"/>
              </w:rPr>
              <w:t>27 368</w:t>
            </w:r>
          </w:p>
        </w:tc>
        <w:tc>
          <w:tcPr>
            <w:tcW w:w="1125" w:type="dxa"/>
            <w:tcMar>
              <w:left w:w="105" w:type="dxa"/>
              <w:right w:w="105" w:type="dxa"/>
            </w:tcMar>
            <w:vAlign w:val="bottom"/>
          </w:tcPr>
          <w:p w14:paraId="38B40F3D" w14:textId="2BD9B64C" w:rsidR="39B351CB" w:rsidRDefault="39B351CB" w:rsidP="00863EA5">
            <w:pPr>
              <w:pStyle w:val="Tabletext"/>
              <w:jc w:val="center"/>
              <w:rPr>
                <w:rFonts w:eastAsia="Calibri"/>
                <w:color w:val="000000" w:themeColor="text1"/>
              </w:rPr>
            </w:pPr>
            <w:r w:rsidRPr="39B351CB">
              <w:rPr>
                <w:rFonts w:eastAsia="Calibri"/>
                <w:color w:val="000000" w:themeColor="text1"/>
              </w:rPr>
              <w:t>33 792</w:t>
            </w:r>
          </w:p>
        </w:tc>
        <w:tc>
          <w:tcPr>
            <w:tcW w:w="1830" w:type="dxa"/>
            <w:tcMar>
              <w:left w:w="105" w:type="dxa"/>
              <w:right w:w="105" w:type="dxa"/>
            </w:tcMar>
            <w:vAlign w:val="bottom"/>
          </w:tcPr>
          <w:p w14:paraId="1E827352" w14:textId="0C67DBC5" w:rsidR="39B351CB" w:rsidRDefault="39B351CB" w:rsidP="00863EA5">
            <w:pPr>
              <w:pStyle w:val="Tabletext"/>
              <w:jc w:val="center"/>
              <w:rPr>
                <w:rFonts w:eastAsia="Calibri"/>
              </w:rPr>
            </w:pPr>
            <w:r w:rsidRPr="39B351CB">
              <w:rPr>
                <w:rFonts w:eastAsia="Calibri"/>
              </w:rPr>
              <w:t>95 400</w:t>
            </w:r>
          </w:p>
        </w:tc>
      </w:tr>
      <w:tr w:rsidR="39B351CB" w14:paraId="4070C697" w14:textId="77777777" w:rsidTr="00473358">
        <w:trPr>
          <w:cantSplit/>
          <w:jc w:val="center"/>
        </w:trPr>
        <w:tc>
          <w:tcPr>
            <w:tcW w:w="990" w:type="dxa"/>
            <w:vMerge/>
            <w:vAlign w:val="center"/>
          </w:tcPr>
          <w:p w14:paraId="1AFAAECE" w14:textId="77777777" w:rsidR="00553BD4" w:rsidRDefault="00553BD4" w:rsidP="00473358">
            <w:pPr>
              <w:pStyle w:val="Tabletext"/>
            </w:pPr>
          </w:p>
        </w:tc>
        <w:tc>
          <w:tcPr>
            <w:tcW w:w="705" w:type="dxa"/>
            <w:vMerge/>
            <w:vAlign w:val="center"/>
          </w:tcPr>
          <w:p w14:paraId="034A8A35" w14:textId="77777777" w:rsidR="00553BD4" w:rsidRDefault="00553BD4" w:rsidP="00473358">
            <w:pPr>
              <w:pStyle w:val="Tabletext"/>
              <w:jc w:val="center"/>
            </w:pPr>
          </w:p>
        </w:tc>
        <w:tc>
          <w:tcPr>
            <w:tcW w:w="3105" w:type="dxa"/>
            <w:vMerge/>
            <w:vAlign w:val="center"/>
          </w:tcPr>
          <w:p w14:paraId="324354E7" w14:textId="77777777" w:rsidR="00553BD4" w:rsidRDefault="00553BD4" w:rsidP="00473358">
            <w:pPr>
              <w:pStyle w:val="Tabletext"/>
            </w:pPr>
          </w:p>
        </w:tc>
        <w:tc>
          <w:tcPr>
            <w:tcW w:w="1410" w:type="dxa"/>
            <w:tcMar>
              <w:left w:w="105" w:type="dxa"/>
              <w:right w:w="105" w:type="dxa"/>
            </w:tcMar>
            <w:vAlign w:val="bottom"/>
          </w:tcPr>
          <w:p w14:paraId="066CF2D3" w14:textId="07D8A7CB" w:rsidR="39B351CB" w:rsidRDefault="39B351CB" w:rsidP="00473358">
            <w:pPr>
              <w:pStyle w:val="Tabletext"/>
              <w:rPr>
                <w:rFonts w:eastAsia="Calibri"/>
                <w:color w:val="000000" w:themeColor="text1"/>
              </w:rPr>
            </w:pPr>
            <w:r w:rsidRPr="39B351CB">
              <w:rPr>
                <w:rFonts w:eastAsia="Calibri"/>
                <w:color w:val="000000" w:themeColor="text1"/>
              </w:rPr>
              <w:t>Security</w:t>
            </w:r>
          </w:p>
        </w:tc>
        <w:tc>
          <w:tcPr>
            <w:tcW w:w="990" w:type="dxa"/>
            <w:tcMar>
              <w:left w:w="105" w:type="dxa"/>
              <w:right w:w="105" w:type="dxa"/>
            </w:tcMar>
            <w:vAlign w:val="center"/>
          </w:tcPr>
          <w:p w14:paraId="78A7642F" w14:textId="6BCAC757" w:rsidR="39B351CB" w:rsidRDefault="39B351CB" w:rsidP="00863EA5">
            <w:pPr>
              <w:pStyle w:val="Tabletext"/>
              <w:jc w:val="center"/>
              <w:rPr>
                <w:rFonts w:eastAsia="Calibri"/>
                <w:color w:val="000000" w:themeColor="text1"/>
              </w:rPr>
            </w:pPr>
            <w:r w:rsidRPr="39B351CB">
              <w:rPr>
                <w:rFonts w:eastAsia="Calibri"/>
                <w:color w:val="000000" w:themeColor="text1"/>
              </w:rPr>
              <w:t>10 220</w:t>
            </w:r>
          </w:p>
        </w:tc>
        <w:tc>
          <w:tcPr>
            <w:tcW w:w="1125" w:type="dxa"/>
            <w:tcMar>
              <w:left w:w="105" w:type="dxa"/>
              <w:right w:w="105" w:type="dxa"/>
            </w:tcMar>
            <w:vAlign w:val="bottom"/>
          </w:tcPr>
          <w:p w14:paraId="2D1624E7" w14:textId="7C8F9349" w:rsidR="39B351CB" w:rsidRDefault="002B465E" w:rsidP="00863EA5">
            <w:pPr>
              <w:pStyle w:val="Tabletext"/>
              <w:jc w:val="center"/>
              <w:rPr>
                <w:rFonts w:eastAsia="Calibri"/>
                <w:color w:val="000000" w:themeColor="text1"/>
              </w:rPr>
            </w:pPr>
            <w:r>
              <w:rPr>
                <w:rFonts w:eastAsia="Calibri"/>
                <w:color w:val="000000" w:themeColor="text1"/>
              </w:rPr>
              <w:t>TBD</w:t>
            </w:r>
          </w:p>
        </w:tc>
        <w:tc>
          <w:tcPr>
            <w:tcW w:w="1830" w:type="dxa"/>
            <w:tcMar>
              <w:left w:w="105" w:type="dxa"/>
              <w:right w:w="105" w:type="dxa"/>
            </w:tcMar>
            <w:vAlign w:val="bottom"/>
          </w:tcPr>
          <w:p w14:paraId="47FE4DAE" w14:textId="6DAF2DCB" w:rsidR="39B351CB" w:rsidRDefault="39B351CB" w:rsidP="00863EA5">
            <w:pPr>
              <w:pStyle w:val="Tabletext"/>
              <w:jc w:val="center"/>
              <w:rPr>
                <w:rFonts w:eastAsia="Calibri"/>
                <w:color w:val="000000" w:themeColor="text1"/>
              </w:rPr>
            </w:pPr>
            <w:r w:rsidRPr="39B351CB">
              <w:rPr>
                <w:rFonts w:eastAsia="Calibri"/>
                <w:color w:val="000000" w:themeColor="text1"/>
              </w:rPr>
              <w:t>14 099</w:t>
            </w:r>
          </w:p>
        </w:tc>
      </w:tr>
      <w:tr w:rsidR="39B351CB" w14:paraId="7CF9D1A0" w14:textId="77777777" w:rsidTr="00473358">
        <w:trPr>
          <w:cnfStyle w:val="000000100000" w:firstRow="0" w:lastRow="0" w:firstColumn="0" w:lastColumn="0" w:oddVBand="0" w:evenVBand="0" w:oddHBand="1" w:evenHBand="0" w:firstRowFirstColumn="0" w:firstRowLastColumn="0" w:lastRowFirstColumn="0" w:lastRowLastColumn="0"/>
          <w:cantSplit/>
          <w:jc w:val="center"/>
        </w:trPr>
        <w:tc>
          <w:tcPr>
            <w:tcW w:w="990" w:type="dxa"/>
            <w:vMerge/>
            <w:vAlign w:val="center"/>
          </w:tcPr>
          <w:p w14:paraId="25FA3272" w14:textId="77777777" w:rsidR="00553BD4" w:rsidRDefault="00553BD4" w:rsidP="00473358">
            <w:pPr>
              <w:pStyle w:val="Tabletext"/>
            </w:pPr>
          </w:p>
        </w:tc>
        <w:tc>
          <w:tcPr>
            <w:tcW w:w="705" w:type="dxa"/>
            <w:vMerge/>
            <w:vAlign w:val="center"/>
          </w:tcPr>
          <w:p w14:paraId="3122B29B" w14:textId="77777777" w:rsidR="00553BD4" w:rsidRDefault="00553BD4" w:rsidP="00473358">
            <w:pPr>
              <w:pStyle w:val="Tabletext"/>
              <w:jc w:val="center"/>
            </w:pPr>
          </w:p>
        </w:tc>
        <w:tc>
          <w:tcPr>
            <w:tcW w:w="3105" w:type="dxa"/>
            <w:vMerge/>
            <w:vAlign w:val="center"/>
          </w:tcPr>
          <w:p w14:paraId="27FBB73F" w14:textId="77777777" w:rsidR="00553BD4" w:rsidRDefault="00553BD4" w:rsidP="00473358">
            <w:pPr>
              <w:pStyle w:val="Tabletext"/>
            </w:pPr>
          </w:p>
        </w:tc>
        <w:tc>
          <w:tcPr>
            <w:tcW w:w="1410" w:type="dxa"/>
            <w:tcMar>
              <w:left w:w="105" w:type="dxa"/>
              <w:right w:w="105" w:type="dxa"/>
            </w:tcMar>
            <w:vAlign w:val="bottom"/>
          </w:tcPr>
          <w:p w14:paraId="056E12C7" w14:textId="73C7211F" w:rsidR="39B351CB" w:rsidRDefault="39B351CB" w:rsidP="00473358">
            <w:pPr>
              <w:pStyle w:val="Tabletext"/>
              <w:rPr>
                <w:rFonts w:eastAsia="Calibri"/>
                <w:color w:val="000000" w:themeColor="text1"/>
              </w:rPr>
            </w:pPr>
            <w:r w:rsidRPr="39B351CB">
              <w:rPr>
                <w:rFonts w:eastAsia="Calibri"/>
                <w:color w:val="000000" w:themeColor="text1"/>
              </w:rPr>
              <w:t>Technical</w:t>
            </w:r>
          </w:p>
        </w:tc>
        <w:tc>
          <w:tcPr>
            <w:tcW w:w="990" w:type="dxa"/>
            <w:tcMar>
              <w:left w:w="105" w:type="dxa"/>
              <w:right w:w="105" w:type="dxa"/>
            </w:tcMar>
            <w:vAlign w:val="center"/>
          </w:tcPr>
          <w:p w14:paraId="77559EB0" w14:textId="67643139" w:rsidR="39B351CB" w:rsidRDefault="39B351CB" w:rsidP="00863EA5">
            <w:pPr>
              <w:pStyle w:val="Tabletext"/>
              <w:jc w:val="center"/>
              <w:rPr>
                <w:rFonts w:eastAsia="Calibri"/>
                <w:color w:val="000000" w:themeColor="text1"/>
              </w:rPr>
            </w:pPr>
            <w:r w:rsidRPr="39B351CB">
              <w:rPr>
                <w:rFonts w:eastAsia="Calibri"/>
                <w:color w:val="000000" w:themeColor="text1"/>
              </w:rPr>
              <w:t>50 000</w:t>
            </w:r>
          </w:p>
        </w:tc>
        <w:tc>
          <w:tcPr>
            <w:tcW w:w="1125" w:type="dxa"/>
            <w:tcMar>
              <w:left w:w="105" w:type="dxa"/>
              <w:right w:w="105" w:type="dxa"/>
            </w:tcMar>
            <w:vAlign w:val="bottom"/>
          </w:tcPr>
          <w:p w14:paraId="52586640" w14:textId="00DBF82A" w:rsidR="39B351CB" w:rsidRDefault="39B351CB" w:rsidP="00863EA5">
            <w:pPr>
              <w:pStyle w:val="Tabletext"/>
              <w:jc w:val="center"/>
              <w:rPr>
                <w:rFonts w:eastAsia="Calibri"/>
                <w:color w:val="000000" w:themeColor="text1"/>
              </w:rPr>
            </w:pPr>
            <w:r w:rsidRPr="39B351CB">
              <w:rPr>
                <w:rFonts w:eastAsia="Calibri"/>
                <w:color w:val="000000" w:themeColor="text1"/>
              </w:rPr>
              <w:t>44 000</w:t>
            </w:r>
          </w:p>
        </w:tc>
        <w:tc>
          <w:tcPr>
            <w:tcW w:w="1830" w:type="dxa"/>
            <w:tcMar>
              <w:left w:w="105" w:type="dxa"/>
              <w:right w:w="105" w:type="dxa"/>
            </w:tcMar>
            <w:vAlign w:val="bottom"/>
          </w:tcPr>
          <w:p w14:paraId="13F16830" w14:textId="084D2681" w:rsidR="39B351CB" w:rsidRDefault="002B465E" w:rsidP="00863EA5">
            <w:pPr>
              <w:pStyle w:val="Tabletext"/>
              <w:jc w:val="center"/>
              <w:rPr>
                <w:rFonts w:eastAsia="Calibri"/>
                <w:color w:val="000000" w:themeColor="text1"/>
              </w:rPr>
            </w:pPr>
            <w:r>
              <w:rPr>
                <w:rFonts w:eastAsia="Calibri"/>
                <w:color w:val="000000" w:themeColor="text1"/>
              </w:rPr>
              <w:t>TBD</w:t>
            </w:r>
          </w:p>
        </w:tc>
      </w:tr>
      <w:tr w:rsidR="39B351CB" w14:paraId="63129EBF" w14:textId="77777777" w:rsidTr="00473358">
        <w:trPr>
          <w:cantSplit/>
          <w:jc w:val="center"/>
        </w:trPr>
        <w:tc>
          <w:tcPr>
            <w:tcW w:w="990" w:type="dxa"/>
            <w:vMerge/>
            <w:vAlign w:val="center"/>
          </w:tcPr>
          <w:p w14:paraId="7EAFFA5C" w14:textId="77777777" w:rsidR="00553BD4" w:rsidRDefault="00553BD4" w:rsidP="00473358">
            <w:pPr>
              <w:pStyle w:val="Tabletext"/>
            </w:pPr>
          </w:p>
        </w:tc>
        <w:tc>
          <w:tcPr>
            <w:tcW w:w="705" w:type="dxa"/>
            <w:vMerge/>
            <w:vAlign w:val="center"/>
          </w:tcPr>
          <w:p w14:paraId="3CBC02DB" w14:textId="77777777" w:rsidR="00553BD4" w:rsidRDefault="00553BD4" w:rsidP="00473358">
            <w:pPr>
              <w:pStyle w:val="Tabletext"/>
              <w:jc w:val="center"/>
            </w:pPr>
          </w:p>
        </w:tc>
        <w:tc>
          <w:tcPr>
            <w:tcW w:w="3105" w:type="dxa"/>
            <w:vMerge/>
            <w:vAlign w:val="center"/>
          </w:tcPr>
          <w:p w14:paraId="1621AA44" w14:textId="77777777" w:rsidR="00553BD4" w:rsidRDefault="00553BD4" w:rsidP="00473358">
            <w:pPr>
              <w:pStyle w:val="Tabletext"/>
            </w:pPr>
          </w:p>
        </w:tc>
        <w:tc>
          <w:tcPr>
            <w:tcW w:w="1410" w:type="dxa"/>
            <w:tcMar>
              <w:left w:w="105" w:type="dxa"/>
              <w:right w:w="105" w:type="dxa"/>
            </w:tcMar>
            <w:vAlign w:val="bottom"/>
          </w:tcPr>
          <w:p w14:paraId="62770C94" w14:textId="1D913D4D" w:rsidR="39B351CB" w:rsidRPr="00863EA5" w:rsidRDefault="39B351CB" w:rsidP="00473358">
            <w:pPr>
              <w:pStyle w:val="Tabletext"/>
              <w:rPr>
                <w:rFonts w:eastAsia="Calibri"/>
                <w:b/>
                <w:bCs/>
                <w:color w:val="000000" w:themeColor="text1"/>
              </w:rPr>
            </w:pPr>
            <w:r w:rsidRPr="00863EA5">
              <w:rPr>
                <w:rFonts w:eastAsia="Calibri"/>
                <w:b/>
                <w:bCs/>
                <w:color w:val="000000" w:themeColor="text1"/>
              </w:rPr>
              <w:t>Total:</w:t>
            </w:r>
          </w:p>
        </w:tc>
        <w:tc>
          <w:tcPr>
            <w:tcW w:w="990" w:type="dxa"/>
            <w:tcMar>
              <w:left w:w="105" w:type="dxa"/>
              <w:right w:w="105" w:type="dxa"/>
            </w:tcMar>
            <w:vAlign w:val="center"/>
          </w:tcPr>
          <w:p w14:paraId="35BC6041" w14:textId="5AF3FE23" w:rsidR="39B351CB" w:rsidRPr="00863EA5" w:rsidRDefault="39B351CB" w:rsidP="00863EA5">
            <w:pPr>
              <w:pStyle w:val="Tabletext"/>
              <w:jc w:val="center"/>
              <w:rPr>
                <w:rFonts w:eastAsia="Calibri"/>
                <w:b/>
                <w:bCs/>
                <w:color w:val="000000" w:themeColor="text1"/>
              </w:rPr>
            </w:pPr>
            <w:r w:rsidRPr="00863EA5">
              <w:rPr>
                <w:rFonts w:eastAsia="Calibri"/>
                <w:b/>
                <w:bCs/>
                <w:color w:val="000000" w:themeColor="text1"/>
              </w:rPr>
              <w:t>87 588</w:t>
            </w:r>
          </w:p>
        </w:tc>
        <w:tc>
          <w:tcPr>
            <w:tcW w:w="1125" w:type="dxa"/>
            <w:tcMar>
              <w:left w:w="105" w:type="dxa"/>
              <w:right w:w="105" w:type="dxa"/>
            </w:tcMar>
            <w:vAlign w:val="bottom"/>
          </w:tcPr>
          <w:p w14:paraId="59EB7DFC" w14:textId="54417B9D" w:rsidR="39B351CB" w:rsidRPr="00863EA5" w:rsidRDefault="002B465E" w:rsidP="00863EA5">
            <w:pPr>
              <w:pStyle w:val="Tabletext"/>
              <w:jc w:val="center"/>
              <w:rPr>
                <w:rFonts w:eastAsia="Calibri"/>
                <w:b/>
                <w:bCs/>
                <w:color w:val="000000" w:themeColor="text1"/>
              </w:rPr>
            </w:pPr>
            <w:r w:rsidRPr="00863EA5">
              <w:rPr>
                <w:rFonts w:eastAsia="Calibri"/>
                <w:b/>
                <w:bCs/>
                <w:color w:val="000000" w:themeColor="text1"/>
              </w:rPr>
              <w:t>TBD</w:t>
            </w:r>
          </w:p>
        </w:tc>
        <w:tc>
          <w:tcPr>
            <w:tcW w:w="1830" w:type="dxa"/>
            <w:tcMar>
              <w:left w:w="105" w:type="dxa"/>
              <w:right w:w="105" w:type="dxa"/>
            </w:tcMar>
            <w:vAlign w:val="bottom"/>
          </w:tcPr>
          <w:p w14:paraId="3EB44FBF" w14:textId="08F4830A" w:rsidR="39B351CB" w:rsidRPr="00863EA5" w:rsidRDefault="002B465E" w:rsidP="00863EA5">
            <w:pPr>
              <w:pStyle w:val="Tabletext"/>
              <w:jc w:val="center"/>
              <w:rPr>
                <w:rFonts w:eastAsia="Calibri"/>
                <w:b/>
                <w:bCs/>
                <w:color w:val="000000" w:themeColor="text1"/>
              </w:rPr>
            </w:pPr>
            <w:r w:rsidRPr="00863EA5">
              <w:rPr>
                <w:rFonts w:eastAsia="Calibri"/>
                <w:b/>
                <w:bCs/>
                <w:color w:val="000000" w:themeColor="text1"/>
              </w:rPr>
              <w:t>TBD</w:t>
            </w:r>
          </w:p>
        </w:tc>
      </w:tr>
      <w:tr w:rsidR="39B351CB" w14:paraId="4C4520A7" w14:textId="77777777" w:rsidTr="00473358">
        <w:trPr>
          <w:cnfStyle w:val="000000100000" w:firstRow="0" w:lastRow="0" w:firstColumn="0" w:lastColumn="0" w:oddVBand="0" w:evenVBand="0" w:oddHBand="1" w:evenHBand="0" w:firstRowFirstColumn="0" w:firstRowLastColumn="0" w:lastRowFirstColumn="0" w:lastRowLastColumn="0"/>
          <w:cantSplit/>
          <w:jc w:val="center"/>
        </w:trPr>
        <w:tc>
          <w:tcPr>
            <w:tcW w:w="990" w:type="dxa"/>
            <w:vMerge w:val="restart"/>
            <w:tcMar>
              <w:left w:w="105" w:type="dxa"/>
              <w:right w:w="105" w:type="dxa"/>
            </w:tcMar>
            <w:vAlign w:val="center"/>
          </w:tcPr>
          <w:p w14:paraId="3C34C392" w14:textId="07332A2D" w:rsidR="39B351CB" w:rsidRDefault="39B351CB" w:rsidP="00473358">
            <w:pPr>
              <w:pStyle w:val="Tabletext"/>
              <w:rPr>
                <w:rFonts w:eastAsia="Calibri"/>
              </w:rPr>
            </w:pPr>
            <w:r w:rsidRPr="39B351CB">
              <w:rPr>
                <w:rFonts w:eastAsia="Calibri"/>
              </w:rPr>
              <w:t>CWGs</w:t>
            </w:r>
          </w:p>
        </w:tc>
        <w:tc>
          <w:tcPr>
            <w:tcW w:w="705" w:type="dxa"/>
            <w:vMerge w:val="restart"/>
            <w:tcMar>
              <w:left w:w="105" w:type="dxa"/>
              <w:right w:w="105" w:type="dxa"/>
            </w:tcMar>
            <w:vAlign w:val="center"/>
          </w:tcPr>
          <w:p w14:paraId="58DF4894" w14:textId="151399E6" w:rsidR="39B351CB" w:rsidRDefault="39B351CB" w:rsidP="00473358">
            <w:pPr>
              <w:pStyle w:val="Tabletext"/>
              <w:jc w:val="center"/>
              <w:rPr>
                <w:rFonts w:eastAsia="Calibri"/>
              </w:rPr>
            </w:pPr>
            <w:r w:rsidRPr="39B351CB">
              <w:rPr>
                <w:rFonts w:eastAsia="Calibri"/>
              </w:rPr>
              <w:t>12</w:t>
            </w:r>
          </w:p>
        </w:tc>
        <w:tc>
          <w:tcPr>
            <w:tcW w:w="3105" w:type="dxa"/>
            <w:vMerge w:val="restart"/>
            <w:tcMar>
              <w:left w:w="105" w:type="dxa"/>
              <w:right w:w="105" w:type="dxa"/>
            </w:tcMar>
            <w:vAlign w:val="center"/>
          </w:tcPr>
          <w:p w14:paraId="6081487B" w14:textId="02873F25" w:rsidR="39B351CB" w:rsidRDefault="39B351CB" w:rsidP="00473358">
            <w:pPr>
              <w:pStyle w:val="Tabletext"/>
              <w:rPr>
                <w:rFonts w:eastAsia="Calibri"/>
                <w:color w:val="000000" w:themeColor="text1"/>
              </w:rPr>
            </w:pPr>
            <w:r w:rsidRPr="39B351CB">
              <w:rPr>
                <w:rFonts w:eastAsia="Calibri"/>
                <w:color w:val="000000" w:themeColor="text1"/>
              </w:rPr>
              <w:t>1</w:t>
            </w:r>
            <w:r w:rsidR="00B2717E">
              <w:rPr>
                <w:rFonts w:eastAsia="Calibri" w:cs="Calibri"/>
              </w:rPr>
              <w:t>×</w:t>
            </w:r>
            <w:r w:rsidRPr="39B351CB">
              <w:rPr>
                <w:rFonts w:eastAsia="Calibri"/>
                <w:color w:val="000000" w:themeColor="text1"/>
              </w:rPr>
              <w:t>150, 1</w:t>
            </w:r>
            <w:r w:rsidR="00B2717E">
              <w:rPr>
                <w:rFonts w:eastAsia="Calibri" w:cs="Calibri"/>
              </w:rPr>
              <w:t>×</w:t>
            </w:r>
            <w:r w:rsidRPr="39B351CB">
              <w:rPr>
                <w:rFonts w:eastAsia="Calibri"/>
                <w:color w:val="000000" w:themeColor="text1"/>
              </w:rPr>
              <w:t>80</w:t>
            </w:r>
          </w:p>
        </w:tc>
        <w:tc>
          <w:tcPr>
            <w:tcW w:w="1410" w:type="dxa"/>
            <w:tcMar>
              <w:left w:w="105" w:type="dxa"/>
              <w:right w:w="105" w:type="dxa"/>
            </w:tcMar>
            <w:vAlign w:val="center"/>
          </w:tcPr>
          <w:p w14:paraId="21711572" w14:textId="302DF31D" w:rsidR="39B351CB" w:rsidRDefault="39B351CB" w:rsidP="00473358">
            <w:pPr>
              <w:pStyle w:val="Tabletext"/>
              <w:rPr>
                <w:rFonts w:eastAsia="Calibri"/>
              </w:rPr>
            </w:pPr>
            <w:r w:rsidRPr="39B351CB">
              <w:rPr>
                <w:rFonts w:eastAsia="Calibri"/>
              </w:rPr>
              <w:t>Rental</w:t>
            </w:r>
          </w:p>
        </w:tc>
        <w:tc>
          <w:tcPr>
            <w:tcW w:w="990" w:type="dxa"/>
            <w:tcMar>
              <w:left w:w="105" w:type="dxa"/>
              <w:right w:w="105" w:type="dxa"/>
            </w:tcMar>
            <w:vAlign w:val="center"/>
          </w:tcPr>
          <w:p w14:paraId="708A9150" w14:textId="20025C77" w:rsidR="39B351CB" w:rsidRDefault="39B351CB" w:rsidP="00863EA5">
            <w:pPr>
              <w:pStyle w:val="Tabletext"/>
              <w:jc w:val="center"/>
              <w:rPr>
                <w:rFonts w:eastAsia="Calibri"/>
                <w:color w:val="000000" w:themeColor="text1"/>
              </w:rPr>
            </w:pPr>
            <w:r w:rsidRPr="39B351CB">
              <w:rPr>
                <w:rFonts w:eastAsia="Calibri"/>
                <w:color w:val="000000" w:themeColor="text1"/>
              </w:rPr>
              <w:t>21 560</w:t>
            </w:r>
          </w:p>
        </w:tc>
        <w:tc>
          <w:tcPr>
            <w:tcW w:w="1125" w:type="dxa"/>
            <w:tcMar>
              <w:left w:w="105" w:type="dxa"/>
              <w:right w:w="105" w:type="dxa"/>
            </w:tcMar>
            <w:vAlign w:val="bottom"/>
          </w:tcPr>
          <w:p w14:paraId="78121A06" w14:textId="4552DFE0" w:rsidR="39B351CB" w:rsidRDefault="39B351CB" w:rsidP="00863EA5">
            <w:pPr>
              <w:pStyle w:val="Tabletext"/>
              <w:jc w:val="center"/>
              <w:rPr>
                <w:rFonts w:eastAsia="Calibri"/>
                <w:color w:val="000000" w:themeColor="text1"/>
              </w:rPr>
            </w:pPr>
            <w:r w:rsidRPr="39B351CB">
              <w:rPr>
                <w:rFonts w:eastAsia="Calibri"/>
                <w:color w:val="000000" w:themeColor="text1"/>
              </w:rPr>
              <w:t>14 784</w:t>
            </w:r>
          </w:p>
        </w:tc>
        <w:tc>
          <w:tcPr>
            <w:tcW w:w="1830" w:type="dxa"/>
            <w:tcMar>
              <w:left w:w="105" w:type="dxa"/>
              <w:right w:w="105" w:type="dxa"/>
            </w:tcMar>
            <w:vAlign w:val="bottom"/>
          </w:tcPr>
          <w:p w14:paraId="064AA96D" w14:textId="6EE32379" w:rsidR="39B351CB" w:rsidRDefault="39B351CB" w:rsidP="00863EA5">
            <w:pPr>
              <w:pStyle w:val="Tabletext"/>
              <w:jc w:val="center"/>
              <w:rPr>
                <w:rFonts w:eastAsia="Calibri"/>
                <w:color w:val="000000" w:themeColor="text1"/>
              </w:rPr>
            </w:pPr>
            <w:r w:rsidRPr="39B351CB">
              <w:rPr>
                <w:rFonts w:eastAsia="Calibri"/>
                <w:color w:val="000000" w:themeColor="text1"/>
              </w:rPr>
              <w:t>56 760</w:t>
            </w:r>
          </w:p>
        </w:tc>
      </w:tr>
      <w:tr w:rsidR="39B351CB" w14:paraId="23CB9219" w14:textId="77777777" w:rsidTr="00473358">
        <w:trPr>
          <w:cantSplit/>
          <w:jc w:val="center"/>
        </w:trPr>
        <w:tc>
          <w:tcPr>
            <w:tcW w:w="990" w:type="dxa"/>
            <w:vMerge/>
            <w:vAlign w:val="center"/>
          </w:tcPr>
          <w:p w14:paraId="03267438" w14:textId="77777777" w:rsidR="00553BD4" w:rsidRDefault="00553BD4" w:rsidP="00473358">
            <w:pPr>
              <w:pStyle w:val="Tabletext"/>
            </w:pPr>
          </w:p>
        </w:tc>
        <w:tc>
          <w:tcPr>
            <w:tcW w:w="705" w:type="dxa"/>
            <w:vMerge/>
            <w:vAlign w:val="center"/>
          </w:tcPr>
          <w:p w14:paraId="35E48AA5" w14:textId="77777777" w:rsidR="00553BD4" w:rsidRDefault="00553BD4" w:rsidP="00473358">
            <w:pPr>
              <w:pStyle w:val="Tabletext"/>
              <w:jc w:val="center"/>
            </w:pPr>
          </w:p>
        </w:tc>
        <w:tc>
          <w:tcPr>
            <w:tcW w:w="3105" w:type="dxa"/>
            <w:vMerge/>
            <w:vAlign w:val="center"/>
          </w:tcPr>
          <w:p w14:paraId="6E99173B" w14:textId="77777777" w:rsidR="00553BD4" w:rsidRDefault="00553BD4" w:rsidP="00473358">
            <w:pPr>
              <w:pStyle w:val="Tabletext"/>
            </w:pPr>
          </w:p>
        </w:tc>
        <w:tc>
          <w:tcPr>
            <w:tcW w:w="1410" w:type="dxa"/>
            <w:tcMar>
              <w:left w:w="105" w:type="dxa"/>
              <w:right w:w="105" w:type="dxa"/>
            </w:tcMar>
            <w:vAlign w:val="bottom"/>
          </w:tcPr>
          <w:p w14:paraId="640F5F57" w14:textId="6EA65207" w:rsidR="39B351CB" w:rsidRDefault="39B351CB" w:rsidP="00473358">
            <w:pPr>
              <w:pStyle w:val="Tabletext"/>
              <w:rPr>
                <w:rFonts w:eastAsia="Calibri"/>
                <w:color w:val="000000" w:themeColor="text1"/>
              </w:rPr>
            </w:pPr>
            <w:r w:rsidRPr="39B351CB">
              <w:rPr>
                <w:rFonts w:eastAsia="Calibri"/>
                <w:color w:val="000000" w:themeColor="text1"/>
              </w:rPr>
              <w:t>Security</w:t>
            </w:r>
          </w:p>
        </w:tc>
        <w:tc>
          <w:tcPr>
            <w:tcW w:w="990" w:type="dxa"/>
            <w:tcMar>
              <w:left w:w="105" w:type="dxa"/>
              <w:right w:w="105" w:type="dxa"/>
            </w:tcMar>
            <w:vAlign w:val="center"/>
          </w:tcPr>
          <w:p w14:paraId="17AAC8CE" w14:textId="06C1A8A8" w:rsidR="39B351CB" w:rsidRDefault="39B351CB" w:rsidP="00863EA5">
            <w:pPr>
              <w:pStyle w:val="Tabletext"/>
              <w:jc w:val="center"/>
              <w:rPr>
                <w:rFonts w:eastAsia="Calibri"/>
                <w:color w:val="000000" w:themeColor="text1"/>
              </w:rPr>
            </w:pPr>
            <w:r w:rsidRPr="39B351CB">
              <w:rPr>
                <w:rFonts w:eastAsia="Calibri"/>
                <w:color w:val="000000" w:themeColor="text1"/>
              </w:rPr>
              <w:t>10 220</w:t>
            </w:r>
          </w:p>
        </w:tc>
        <w:tc>
          <w:tcPr>
            <w:tcW w:w="1125" w:type="dxa"/>
            <w:tcMar>
              <w:left w:w="105" w:type="dxa"/>
              <w:right w:w="105" w:type="dxa"/>
            </w:tcMar>
            <w:vAlign w:val="bottom"/>
          </w:tcPr>
          <w:p w14:paraId="748A177A" w14:textId="2093B942" w:rsidR="39B351CB" w:rsidRDefault="002B465E" w:rsidP="00863EA5">
            <w:pPr>
              <w:pStyle w:val="Tabletext"/>
              <w:jc w:val="center"/>
              <w:rPr>
                <w:rFonts w:eastAsia="Calibri"/>
                <w:color w:val="000000" w:themeColor="text1"/>
              </w:rPr>
            </w:pPr>
            <w:r>
              <w:rPr>
                <w:rFonts w:eastAsia="Calibri"/>
                <w:color w:val="000000" w:themeColor="text1"/>
              </w:rPr>
              <w:t>TBD</w:t>
            </w:r>
          </w:p>
        </w:tc>
        <w:tc>
          <w:tcPr>
            <w:tcW w:w="1830" w:type="dxa"/>
            <w:tcMar>
              <w:left w:w="105" w:type="dxa"/>
              <w:right w:w="105" w:type="dxa"/>
            </w:tcMar>
            <w:vAlign w:val="bottom"/>
          </w:tcPr>
          <w:p w14:paraId="20F05E18" w14:textId="3CD61401" w:rsidR="39B351CB" w:rsidRDefault="39B351CB" w:rsidP="00863EA5">
            <w:pPr>
              <w:pStyle w:val="Tabletext"/>
              <w:jc w:val="center"/>
              <w:rPr>
                <w:rFonts w:eastAsia="Calibri"/>
                <w:color w:val="000000" w:themeColor="text1"/>
              </w:rPr>
            </w:pPr>
            <w:r w:rsidRPr="39B351CB">
              <w:rPr>
                <w:rFonts w:eastAsia="Calibri"/>
                <w:color w:val="000000" w:themeColor="text1"/>
              </w:rPr>
              <w:t>14 099</w:t>
            </w:r>
          </w:p>
        </w:tc>
      </w:tr>
      <w:tr w:rsidR="39B351CB" w14:paraId="3A5A70AC" w14:textId="77777777" w:rsidTr="00473358">
        <w:trPr>
          <w:cnfStyle w:val="000000100000" w:firstRow="0" w:lastRow="0" w:firstColumn="0" w:lastColumn="0" w:oddVBand="0" w:evenVBand="0" w:oddHBand="1" w:evenHBand="0" w:firstRowFirstColumn="0" w:firstRowLastColumn="0" w:lastRowFirstColumn="0" w:lastRowLastColumn="0"/>
          <w:cantSplit/>
          <w:jc w:val="center"/>
        </w:trPr>
        <w:tc>
          <w:tcPr>
            <w:tcW w:w="990" w:type="dxa"/>
            <w:vMerge/>
            <w:vAlign w:val="center"/>
          </w:tcPr>
          <w:p w14:paraId="01DAC1B8" w14:textId="77777777" w:rsidR="00553BD4" w:rsidRDefault="00553BD4" w:rsidP="00473358">
            <w:pPr>
              <w:pStyle w:val="Tabletext"/>
            </w:pPr>
          </w:p>
        </w:tc>
        <w:tc>
          <w:tcPr>
            <w:tcW w:w="705" w:type="dxa"/>
            <w:vMerge/>
            <w:vAlign w:val="center"/>
          </w:tcPr>
          <w:p w14:paraId="68ACDE44" w14:textId="77777777" w:rsidR="00553BD4" w:rsidRDefault="00553BD4" w:rsidP="00473358">
            <w:pPr>
              <w:pStyle w:val="Tabletext"/>
              <w:jc w:val="center"/>
            </w:pPr>
          </w:p>
        </w:tc>
        <w:tc>
          <w:tcPr>
            <w:tcW w:w="3105" w:type="dxa"/>
            <w:vMerge/>
            <w:vAlign w:val="center"/>
          </w:tcPr>
          <w:p w14:paraId="74995819" w14:textId="77777777" w:rsidR="00553BD4" w:rsidRDefault="00553BD4" w:rsidP="00473358">
            <w:pPr>
              <w:pStyle w:val="Tabletext"/>
            </w:pPr>
          </w:p>
        </w:tc>
        <w:tc>
          <w:tcPr>
            <w:tcW w:w="1410" w:type="dxa"/>
            <w:tcMar>
              <w:left w:w="105" w:type="dxa"/>
              <w:right w:w="105" w:type="dxa"/>
            </w:tcMar>
            <w:vAlign w:val="bottom"/>
          </w:tcPr>
          <w:p w14:paraId="68E5CD28" w14:textId="456F3585" w:rsidR="39B351CB" w:rsidRDefault="39B351CB" w:rsidP="00473358">
            <w:pPr>
              <w:pStyle w:val="Tabletext"/>
              <w:rPr>
                <w:rFonts w:eastAsia="Calibri"/>
                <w:color w:val="000000" w:themeColor="text1"/>
              </w:rPr>
            </w:pPr>
            <w:r w:rsidRPr="39B351CB">
              <w:rPr>
                <w:rFonts w:eastAsia="Calibri"/>
                <w:color w:val="000000" w:themeColor="text1"/>
              </w:rPr>
              <w:t>Technical</w:t>
            </w:r>
          </w:p>
        </w:tc>
        <w:tc>
          <w:tcPr>
            <w:tcW w:w="990" w:type="dxa"/>
            <w:tcMar>
              <w:left w:w="105" w:type="dxa"/>
              <w:right w:w="105" w:type="dxa"/>
            </w:tcMar>
            <w:vAlign w:val="center"/>
          </w:tcPr>
          <w:p w14:paraId="7CB2AFF0" w14:textId="4FA0C4EF" w:rsidR="39B351CB" w:rsidRDefault="39B351CB" w:rsidP="00863EA5">
            <w:pPr>
              <w:pStyle w:val="Tabletext"/>
              <w:jc w:val="center"/>
              <w:rPr>
                <w:rFonts w:eastAsia="Calibri"/>
                <w:color w:val="000000" w:themeColor="text1"/>
              </w:rPr>
            </w:pPr>
            <w:r w:rsidRPr="39B351CB">
              <w:rPr>
                <w:rFonts w:eastAsia="Calibri"/>
                <w:color w:val="000000" w:themeColor="text1"/>
              </w:rPr>
              <w:t>35 000</w:t>
            </w:r>
          </w:p>
        </w:tc>
        <w:tc>
          <w:tcPr>
            <w:tcW w:w="1125" w:type="dxa"/>
            <w:tcMar>
              <w:left w:w="105" w:type="dxa"/>
              <w:right w:w="105" w:type="dxa"/>
            </w:tcMar>
            <w:vAlign w:val="bottom"/>
          </w:tcPr>
          <w:p w14:paraId="2F9FDFC8" w14:textId="7946590C" w:rsidR="39B351CB" w:rsidRDefault="39B351CB" w:rsidP="00863EA5">
            <w:pPr>
              <w:pStyle w:val="Tabletext"/>
              <w:jc w:val="center"/>
              <w:rPr>
                <w:rFonts w:eastAsia="Calibri"/>
                <w:color w:val="000000" w:themeColor="text1"/>
              </w:rPr>
            </w:pPr>
            <w:r w:rsidRPr="39B351CB">
              <w:rPr>
                <w:rFonts w:eastAsia="Calibri"/>
                <w:color w:val="000000" w:themeColor="text1"/>
              </w:rPr>
              <w:t>28 800</w:t>
            </w:r>
          </w:p>
        </w:tc>
        <w:tc>
          <w:tcPr>
            <w:tcW w:w="1830" w:type="dxa"/>
            <w:tcMar>
              <w:left w:w="105" w:type="dxa"/>
              <w:right w:w="105" w:type="dxa"/>
            </w:tcMar>
            <w:vAlign w:val="bottom"/>
          </w:tcPr>
          <w:p w14:paraId="70FD76B6" w14:textId="7FDE4A64" w:rsidR="39B351CB" w:rsidRDefault="002B465E" w:rsidP="00863EA5">
            <w:pPr>
              <w:pStyle w:val="Tabletext"/>
              <w:jc w:val="center"/>
              <w:rPr>
                <w:rFonts w:eastAsia="Calibri"/>
                <w:color w:val="000000" w:themeColor="text1"/>
              </w:rPr>
            </w:pPr>
            <w:r>
              <w:rPr>
                <w:rFonts w:eastAsia="Calibri"/>
                <w:color w:val="000000" w:themeColor="text1"/>
              </w:rPr>
              <w:t>TBD</w:t>
            </w:r>
          </w:p>
        </w:tc>
      </w:tr>
      <w:tr w:rsidR="39B351CB" w14:paraId="06A1B33F" w14:textId="77777777" w:rsidTr="00473358">
        <w:trPr>
          <w:cantSplit/>
          <w:jc w:val="center"/>
        </w:trPr>
        <w:tc>
          <w:tcPr>
            <w:tcW w:w="990" w:type="dxa"/>
            <w:vMerge/>
            <w:vAlign w:val="center"/>
          </w:tcPr>
          <w:p w14:paraId="55C5F000" w14:textId="77777777" w:rsidR="00553BD4" w:rsidRDefault="00553BD4" w:rsidP="00473358">
            <w:pPr>
              <w:pStyle w:val="Tabletext"/>
            </w:pPr>
          </w:p>
        </w:tc>
        <w:tc>
          <w:tcPr>
            <w:tcW w:w="705" w:type="dxa"/>
            <w:vMerge/>
            <w:vAlign w:val="center"/>
          </w:tcPr>
          <w:p w14:paraId="1B1A2DC7" w14:textId="77777777" w:rsidR="00553BD4" w:rsidRDefault="00553BD4" w:rsidP="00473358">
            <w:pPr>
              <w:pStyle w:val="Tabletext"/>
              <w:jc w:val="center"/>
            </w:pPr>
          </w:p>
        </w:tc>
        <w:tc>
          <w:tcPr>
            <w:tcW w:w="3105" w:type="dxa"/>
            <w:vMerge/>
            <w:vAlign w:val="center"/>
          </w:tcPr>
          <w:p w14:paraId="334C48A0" w14:textId="77777777" w:rsidR="00553BD4" w:rsidRDefault="00553BD4" w:rsidP="00473358">
            <w:pPr>
              <w:pStyle w:val="Tabletext"/>
            </w:pPr>
          </w:p>
        </w:tc>
        <w:tc>
          <w:tcPr>
            <w:tcW w:w="1410" w:type="dxa"/>
            <w:tcMar>
              <w:left w:w="105" w:type="dxa"/>
              <w:right w:w="105" w:type="dxa"/>
            </w:tcMar>
            <w:vAlign w:val="bottom"/>
          </w:tcPr>
          <w:p w14:paraId="3DAC004F" w14:textId="1C2D7786" w:rsidR="39B351CB" w:rsidRPr="00863EA5" w:rsidRDefault="39B351CB" w:rsidP="00473358">
            <w:pPr>
              <w:pStyle w:val="Tabletext"/>
              <w:rPr>
                <w:rFonts w:eastAsia="Calibri"/>
                <w:b/>
                <w:bCs/>
                <w:color w:val="000000" w:themeColor="text1"/>
              </w:rPr>
            </w:pPr>
            <w:r w:rsidRPr="00863EA5">
              <w:rPr>
                <w:rFonts w:eastAsia="Calibri"/>
                <w:b/>
                <w:bCs/>
                <w:color w:val="000000" w:themeColor="text1"/>
              </w:rPr>
              <w:t>Total:</w:t>
            </w:r>
          </w:p>
        </w:tc>
        <w:tc>
          <w:tcPr>
            <w:tcW w:w="990" w:type="dxa"/>
            <w:tcMar>
              <w:left w:w="105" w:type="dxa"/>
              <w:right w:w="105" w:type="dxa"/>
            </w:tcMar>
            <w:vAlign w:val="center"/>
          </w:tcPr>
          <w:p w14:paraId="46AE032D" w14:textId="0B51142E" w:rsidR="39B351CB" w:rsidRPr="00863EA5" w:rsidRDefault="39B351CB" w:rsidP="00863EA5">
            <w:pPr>
              <w:pStyle w:val="Tabletext"/>
              <w:jc w:val="center"/>
              <w:rPr>
                <w:rFonts w:eastAsia="Calibri"/>
                <w:b/>
                <w:bCs/>
                <w:color w:val="000000" w:themeColor="text1"/>
              </w:rPr>
            </w:pPr>
            <w:r w:rsidRPr="00863EA5">
              <w:rPr>
                <w:rFonts w:eastAsia="Calibri"/>
                <w:b/>
                <w:bCs/>
                <w:color w:val="000000" w:themeColor="text1"/>
              </w:rPr>
              <w:t>66 780</w:t>
            </w:r>
          </w:p>
        </w:tc>
        <w:tc>
          <w:tcPr>
            <w:tcW w:w="1125" w:type="dxa"/>
            <w:tcMar>
              <w:left w:w="105" w:type="dxa"/>
              <w:right w:w="105" w:type="dxa"/>
            </w:tcMar>
            <w:vAlign w:val="bottom"/>
          </w:tcPr>
          <w:p w14:paraId="09287F77" w14:textId="393E9F77" w:rsidR="39B351CB" w:rsidRPr="00863EA5" w:rsidRDefault="70F7E980" w:rsidP="00863EA5">
            <w:pPr>
              <w:pStyle w:val="Tabletext"/>
              <w:jc w:val="center"/>
              <w:rPr>
                <w:rFonts w:eastAsia="Calibri"/>
                <w:b/>
                <w:bCs/>
                <w:color w:val="000000" w:themeColor="text1"/>
              </w:rPr>
            </w:pPr>
            <w:r w:rsidRPr="00863EA5">
              <w:rPr>
                <w:rFonts w:eastAsia="Calibri"/>
                <w:b/>
                <w:bCs/>
                <w:color w:val="000000" w:themeColor="text1"/>
              </w:rPr>
              <w:t>TBD</w:t>
            </w:r>
          </w:p>
        </w:tc>
        <w:tc>
          <w:tcPr>
            <w:tcW w:w="1830" w:type="dxa"/>
            <w:tcMar>
              <w:left w:w="105" w:type="dxa"/>
              <w:right w:w="105" w:type="dxa"/>
            </w:tcMar>
            <w:vAlign w:val="bottom"/>
          </w:tcPr>
          <w:p w14:paraId="30768D7F" w14:textId="08D3332C" w:rsidR="39B351CB" w:rsidRPr="00863EA5" w:rsidRDefault="00721375" w:rsidP="00863EA5">
            <w:pPr>
              <w:pStyle w:val="Tabletext"/>
              <w:jc w:val="center"/>
              <w:rPr>
                <w:rFonts w:eastAsia="Calibri"/>
                <w:b/>
                <w:bCs/>
                <w:color w:val="000000" w:themeColor="text1"/>
              </w:rPr>
            </w:pPr>
            <w:r w:rsidRPr="00863EA5">
              <w:rPr>
                <w:rFonts w:eastAsia="Calibri"/>
                <w:b/>
                <w:bCs/>
                <w:color w:val="000000" w:themeColor="text1"/>
              </w:rPr>
              <w:t>TBD</w:t>
            </w:r>
          </w:p>
        </w:tc>
      </w:tr>
      <w:tr w:rsidR="39B351CB" w14:paraId="0255D97E" w14:textId="77777777" w:rsidTr="00473358">
        <w:trPr>
          <w:cnfStyle w:val="000000100000" w:firstRow="0" w:lastRow="0" w:firstColumn="0" w:lastColumn="0" w:oddVBand="0" w:evenVBand="0" w:oddHBand="1" w:evenHBand="0" w:firstRowFirstColumn="0" w:firstRowLastColumn="0" w:lastRowFirstColumn="0" w:lastRowLastColumn="0"/>
          <w:cantSplit/>
          <w:jc w:val="center"/>
        </w:trPr>
        <w:tc>
          <w:tcPr>
            <w:tcW w:w="990" w:type="dxa"/>
            <w:vMerge w:val="restart"/>
            <w:tcMar>
              <w:left w:w="105" w:type="dxa"/>
              <w:right w:w="105" w:type="dxa"/>
            </w:tcMar>
            <w:vAlign w:val="center"/>
          </w:tcPr>
          <w:p w14:paraId="6A3FF36B" w14:textId="12149F9F" w:rsidR="39B351CB" w:rsidRDefault="39B351CB" w:rsidP="00473358">
            <w:pPr>
              <w:pStyle w:val="Tabletext"/>
              <w:rPr>
                <w:rFonts w:eastAsia="Calibri"/>
              </w:rPr>
            </w:pPr>
            <w:r w:rsidRPr="39B351CB">
              <w:rPr>
                <w:rFonts w:eastAsia="Calibri"/>
              </w:rPr>
              <w:t>TSAG</w:t>
            </w:r>
          </w:p>
        </w:tc>
        <w:tc>
          <w:tcPr>
            <w:tcW w:w="705" w:type="dxa"/>
            <w:vMerge w:val="restart"/>
            <w:tcMar>
              <w:left w:w="105" w:type="dxa"/>
              <w:right w:w="105" w:type="dxa"/>
            </w:tcMar>
            <w:vAlign w:val="center"/>
          </w:tcPr>
          <w:p w14:paraId="63CC1B3A" w14:textId="61EB16A8" w:rsidR="39B351CB" w:rsidRDefault="39B351CB" w:rsidP="00473358">
            <w:pPr>
              <w:pStyle w:val="Tabletext"/>
              <w:jc w:val="center"/>
              <w:rPr>
                <w:rFonts w:eastAsia="Calibri"/>
              </w:rPr>
            </w:pPr>
            <w:r w:rsidRPr="39B351CB">
              <w:rPr>
                <w:rFonts w:eastAsia="Calibri"/>
              </w:rPr>
              <w:t>5</w:t>
            </w:r>
          </w:p>
        </w:tc>
        <w:tc>
          <w:tcPr>
            <w:tcW w:w="3105" w:type="dxa"/>
            <w:vMerge w:val="restart"/>
            <w:tcMar>
              <w:left w:w="105" w:type="dxa"/>
              <w:right w:w="105" w:type="dxa"/>
            </w:tcMar>
            <w:vAlign w:val="center"/>
          </w:tcPr>
          <w:p w14:paraId="72368B6D" w14:textId="3E7FCA05" w:rsidR="39B351CB" w:rsidRDefault="39B351CB" w:rsidP="00863EA5">
            <w:pPr>
              <w:pStyle w:val="Tabletext"/>
              <w:rPr>
                <w:rFonts w:eastAsia="Calibri"/>
                <w:color w:val="000000" w:themeColor="text1"/>
              </w:rPr>
            </w:pPr>
            <w:r w:rsidRPr="39B351CB">
              <w:rPr>
                <w:rFonts w:eastAsia="Calibri"/>
                <w:color w:val="000000" w:themeColor="text1"/>
              </w:rPr>
              <w:t>1</w:t>
            </w:r>
            <w:r w:rsidR="00B2717E">
              <w:rPr>
                <w:rFonts w:eastAsia="Calibri" w:cs="Calibri"/>
              </w:rPr>
              <w:t>×</w:t>
            </w:r>
            <w:r w:rsidRPr="39B351CB">
              <w:rPr>
                <w:rFonts w:eastAsia="Calibri"/>
                <w:color w:val="000000" w:themeColor="text1"/>
              </w:rPr>
              <w:t>200, 1</w:t>
            </w:r>
            <w:r w:rsidR="00B2717E">
              <w:rPr>
                <w:rFonts w:eastAsia="Calibri" w:cs="Calibri"/>
              </w:rPr>
              <w:t>×</w:t>
            </w:r>
            <w:r w:rsidRPr="39B351CB">
              <w:rPr>
                <w:rFonts w:eastAsia="Calibri"/>
                <w:color w:val="000000" w:themeColor="text1"/>
              </w:rPr>
              <w:t>50, 1</w:t>
            </w:r>
            <w:r w:rsidR="00B2717E">
              <w:rPr>
                <w:rFonts w:eastAsia="Calibri" w:cs="Calibri"/>
              </w:rPr>
              <w:t>×</w:t>
            </w:r>
            <w:r w:rsidRPr="39B351CB">
              <w:rPr>
                <w:rFonts w:eastAsia="Calibri"/>
                <w:color w:val="000000" w:themeColor="text1"/>
              </w:rPr>
              <w:t>30,1</w:t>
            </w:r>
            <w:r w:rsidR="00B2717E">
              <w:rPr>
                <w:rFonts w:eastAsia="Calibri" w:cs="Calibri"/>
              </w:rPr>
              <w:t>×</w:t>
            </w:r>
            <w:r w:rsidRPr="39B351CB">
              <w:rPr>
                <w:rFonts w:eastAsia="Calibri"/>
                <w:color w:val="000000" w:themeColor="text1"/>
              </w:rPr>
              <w:t>2</w:t>
            </w:r>
            <w:r w:rsidR="003D36FB">
              <w:rPr>
                <w:rFonts w:eastAsia="Calibri"/>
                <w:color w:val="000000" w:themeColor="text1"/>
              </w:rPr>
              <w:t>0</w:t>
            </w:r>
          </w:p>
        </w:tc>
        <w:tc>
          <w:tcPr>
            <w:tcW w:w="1410" w:type="dxa"/>
            <w:tcMar>
              <w:left w:w="105" w:type="dxa"/>
              <w:right w:w="105" w:type="dxa"/>
            </w:tcMar>
            <w:vAlign w:val="center"/>
          </w:tcPr>
          <w:p w14:paraId="3F6DE6EC" w14:textId="21E03533" w:rsidR="39B351CB" w:rsidRDefault="39B351CB" w:rsidP="00473358">
            <w:pPr>
              <w:pStyle w:val="Tabletext"/>
              <w:rPr>
                <w:rFonts w:eastAsia="Calibri"/>
              </w:rPr>
            </w:pPr>
            <w:r w:rsidRPr="39B351CB">
              <w:rPr>
                <w:rFonts w:eastAsia="Calibri"/>
              </w:rPr>
              <w:t>Rental</w:t>
            </w:r>
          </w:p>
        </w:tc>
        <w:tc>
          <w:tcPr>
            <w:tcW w:w="990" w:type="dxa"/>
            <w:tcMar>
              <w:left w:w="105" w:type="dxa"/>
              <w:right w:w="105" w:type="dxa"/>
            </w:tcMar>
            <w:vAlign w:val="center"/>
          </w:tcPr>
          <w:p w14:paraId="3BBDB04D" w14:textId="30CA870F" w:rsidR="39B351CB" w:rsidRDefault="00354B03" w:rsidP="00863EA5">
            <w:pPr>
              <w:pStyle w:val="Tabletext"/>
              <w:jc w:val="center"/>
              <w:rPr>
                <w:rFonts w:eastAsia="Calibri"/>
                <w:color w:val="000000" w:themeColor="text1"/>
              </w:rPr>
            </w:pPr>
            <w:r>
              <w:rPr>
                <w:rFonts w:eastAsia="Calibri"/>
                <w:color w:val="000000" w:themeColor="text1"/>
              </w:rPr>
              <w:t>14 050</w:t>
            </w:r>
          </w:p>
        </w:tc>
        <w:tc>
          <w:tcPr>
            <w:tcW w:w="1125" w:type="dxa"/>
            <w:tcMar>
              <w:left w:w="105" w:type="dxa"/>
              <w:right w:w="105" w:type="dxa"/>
            </w:tcMar>
            <w:vAlign w:val="bottom"/>
          </w:tcPr>
          <w:p w14:paraId="7FD5480D" w14:textId="5E1D1514" w:rsidR="39B351CB" w:rsidRDefault="39B351CB" w:rsidP="00863EA5">
            <w:pPr>
              <w:pStyle w:val="Tabletext"/>
              <w:jc w:val="center"/>
              <w:rPr>
                <w:rFonts w:eastAsia="Calibri"/>
                <w:color w:val="000000" w:themeColor="text1"/>
              </w:rPr>
            </w:pPr>
            <w:r w:rsidRPr="39B351CB">
              <w:rPr>
                <w:rFonts w:eastAsia="Calibri"/>
                <w:color w:val="000000" w:themeColor="text1"/>
              </w:rPr>
              <w:t>7 920</w:t>
            </w:r>
          </w:p>
        </w:tc>
        <w:tc>
          <w:tcPr>
            <w:tcW w:w="1830" w:type="dxa"/>
            <w:tcMar>
              <w:left w:w="105" w:type="dxa"/>
              <w:right w:w="105" w:type="dxa"/>
            </w:tcMar>
            <w:vAlign w:val="bottom"/>
          </w:tcPr>
          <w:p w14:paraId="7382A155" w14:textId="6367C3BC" w:rsidR="39B351CB" w:rsidRDefault="39B351CB" w:rsidP="00863EA5">
            <w:pPr>
              <w:pStyle w:val="Tabletext"/>
              <w:jc w:val="center"/>
              <w:rPr>
                <w:rFonts w:eastAsia="Calibri"/>
                <w:color w:val="000000" w:themeColor="text1"/>
              </w:rPr>
            </w:pPr>
            <w:r w:rsidRPr="39B351CB">
              <w:rPr>
                <w:rFonts w:eastAsia="Calibri"/>
                <w:color w:val="000000" w:themeColor="text1"/>
              </w:rPr>
              <w:t>26 400</w:t>
            </w:r>
          </w:p>
        </w:tc>
      </w:tr>
      <w:tr w:rsidR="39B351CB" w14:paraId="5375C4AF" w14:textId="77777777" w:rsidTr="00473358">
        <w:trPr>
          <w:cantSplit/>
          <w:jc w:val="center"/>
        </w:trPr>
        <w:tc>
          <w:tcPr>
            <w:tcW w:w="990" w:type="dxa"/>
            <w:vMerge/>
            <w:vAlign w:val="center"/>
          </w:tcPr>
          <w:p w14:paraId="0C8A82DA" w14:textId="77777777" w:rsidR="00553BD4" w:rsidRDefault="00553BD4" w:rsidP="00473358">
            <w:pPr>
              <w:pStyle w:val="Tabletext"/>
            </w:pPr>
          </w:p>
        </w:tc>
        <w:tc>
          <w:tcPr>
            <w:tcW w:w="705" w:type="dxa"/>
            <w:vMerge/>
            <w:vAlign w:val="center"/>
          </w:tcPr>
          <w:p w14:paraId="7D2541A7" w14:textId="77777777" w:rsidR="00553BD4" w:rsidRDefault="00553BD4" w:rsidP="00473358">
            <w:pPr>
              <w:pStyle w:val="Tabletext"/>
              <w:jc w:val="center"/>
            </w:pPr>
          </w:p>
        </w:tc>
        <w:tc>
          <w:tcPr>
            <w:tcW w:w="3105" w:type="dxa"/>
            <w:vMerge/>
            <w:vAlign w:val="center"/>
          </w:tcPr>
          <w:p w14:paraId="542A76C2" w14:textId="77777777" w:rsidR="00553BD4" w:rsidRDefault="00553BD4" w:rsidP="00473358">
            <w:pPr>
              <w:pStyle w:val="Tabletext"/>
            </w:pPr>
          </w:p>
        </w:tc>
        <w:tc>
          <w:tcPr>
            <w:tcW w:w="1410" w:type="dxa"/>
            <w:tcMar>
              <w:left w:w="105" w:type="dxa"/>
              <w:right w:w="105" w:type="dxa"/>
            </w:tcMar>
            <w:vAlign w:val="bottom"/>
          </w:tcPr>
          <w:p w14:paraId="3B142292" w14:textId="59612ADC" w:rsidR="39B351CB" w:rsidRDefault="39B351CB" w:rsidP="00473358">
            <w:pPr>
              <w:pStyle w:val="Tabletext"/>
              <w:rPr>
                <w:rFonts w:eastAsia="Calibri"/>
                <w:color w:val="000000" w:themeColor="text1"/>
              </w:rPr>
            </w:pPr>
            <w:r w:rsidRPr="39B351CB">
              <w:rPr>
                <w:rFonts w:eastAsia="Calibri"/>
                <w:color w:val="000000" w:themeColor="text1"/>
              </w:rPr>
              <w:t>Security</w:t>
            </w:r>
          </w:p>
        </w:tc>
        <w:tc>
          <w:tcPr>
            <w:tcW w:w="990" w:type="dxa"/>
            <w:tcMar>
              <w:left w:w="105" w:type="dxa"/>
              <w:right w:w="105" w:type="dxa"/>
            </w:tcMar>
            <w:vAlign w:val="center"/>
          </w:tcPr>
          <w:p w14:paraId="74CA98FB" w14:textId="1B8C47EA" w:rsidR="39B351CB" w:rsidRDefault="39B351CB" w:rsidP="00863EA5">
            <w:pPr>
              <w:pStyle w:val="Tabletext"/>
              <w:jc w:val="center"/>
              <w:rPr>
                <w:rFonts w:eastAsia="Calibri"/>
                <w:color w:val="000000" w:themeColor="text1"/>
              </w:rPr>
            </w:pPr>
            <w:r w:rsidRPr="39B351CB">
              <w:rPr>
                <w:rFonts w:eastAsia="Calibri"/>
                <w:color w:val="000000" w:themeColor="text1"/>
              </w:rPr>
              <w:t>7 200</w:t>
            </w:r>
          </w:p>
        </w:tc>
        <w:tc>
          <w:tcPr>
            <w:tcW w:w="1125" w:type="dxa"/>
            <w:tcMar>
              <w:left w:w="105" w:type="dxa"/>
              <w:right w:w="105" w:type="dxa"/>
            </w:tcMar>
            <w:vAlign w:val="bottom"/>
          </w:tcPr>
          <w:p w14:paraId="08D50393" w14:textId="220C9E7E" w:rsidR="39B351CB" w:rsidRDefault="002B465E" w:rsidP="00863EA5">
            <w:pPr>
              <w:pStyle w:val="Tabletext"/>
              <w:jc w:val="center"/>
              <w:rPr>
                <w:rFonts w:eastAsia="Calibri"/>
                <w:color w:val="000000" w:themeColor="text1"/>
              </w:rPr>
            </w:pPr>
            <w:r>
              <w:rPr>
                <w:rFonts w:eastAsia="Calibri"/>
                <w:color w:val="000000" w:themeColor="text1"/>
              </w:rPr>
              <w:t>TBD</w:t>
            </w:r>
          </w:p>
        </w:tc>
        <w:tc>
          <w:tcPr>
            <w:tcW w:w="1830" w:type="dxa"/>
            <w:tcMar>
              <w:left w:w="105" w:type="dxa"/>
              <w:right w:w="105" w:type="dxa"/>
            </w:tcMar>
            <w:vAlign w:val="bottom"/>
          </w:tcPr>
          <w:p w14:paraId="4CB9F7C6" w14:textId="1820994C" w:rsidR="39B351CB" w:rsidRDefault="39B351CB" w:rsidP="00863EA5">
            <w:pPr>
              <w:pStyle w:val="Tabletext"/>
              <w:jc w:val="center"/>
              <w:rPr>
                <w:rFonts w:eastAsia="Calibri"/>
                <w:color w:val="000000" w:themeColor="text1"/>
              </w:rPr>
            </w:pPr>
            <w:r w:rsidRPr="39B351CB">
              <w:rPr>
                <w:rFonts w:eastAsia="Calibri"/>
                <w:color w:val="000000" w:themeColor="text1"/>
              </w:rPr>
              <w:t>7 242</w:t>
            </w:r>
          </w:p>
        </w:tc>
      </w:tr>
      <w:tr w:rsidR="39B351CB" w14:paraId="62ABB067" w14:textId="77777777" w:rsidTr="00473358">
        <w:trPr>
          <w:cnfStyle w:val="000000100000" w:firstRow="0" w:lastRow="0" w:firstColumn="0" w:lastColumn="0" w:oddVBand="0" w:evenVBand="0" w:oddHBand="1" w:evenHBand="0" w:firstRowFirstColumn="0" w:firstRowLastColumn="0" w:lastRowFirstColumn="0" w:lastRowLastColumn="0"/>
          <w:cantSplit/>
          <w:jc w:val="center"/>
        </w:trPr>
        <w:tc>
          <w:tcPr>
            <w:tcW w:w="990" w:type="dxa"/>
            <w:vMerge/>
            <w:vAlign w:val="center"/>
          </w:tcPr>
          <w:p w14:paraId="6DC153A0" w14:textId="77777777" w:rsidR="00553BD4" w:rsidRDefault="00553BD4" w:rsidP="00473358">
            <w:pPr>
              <w:pStyle w:val="Tabletext"/>
            </w:pPr>
          </w:p>
        </w:tc>
        <w:tc>
          <w:tcPr>
            <w:tcW w:w="705" w:type="dxa"/>
            <w:vMerge/>
            <w:vAlign w:val="center"/>
          </w:tcPr>
          <w:p w14:paraId="33FA3023" w14:textId="77777777" w:rsidR="00553BD4" w:rsidRDefault="00553BD4" w:rsidP="00473358">
            <w:pPr>
              <w:pStyle w:val="Tabletext"/>
              <w:jc w:val="center"/>
            </w:pPr>
          </w:p>
        </w:tc>
        <w:tc>
          <w:tcPr>
            <w:tcW w:w="3105" w:type="dxa"/>
            <w:vMerge/>
            <w:vAlign w:val="center"/>
          </w:tcPr>
          <w:p w14:paraId="202148BF" w14:textId="77777777" w:rsidR="00553BD4" w:rsidRDefault="00553BD4" w:rsidP="00473358">
            <w:pPr>
              <w:pStyle w:val="Tabletext"/>
            </w:pPr>
          </w:p>
        </w:tc>
        <w:tc>
          <w:tcPr>
            <w:tcW w:w="1410" w:type="dxa"/>
            <w:tcMar>
              <w:left w:w="105" w:type="dxa"/>
              <w:right w:w="105" w:type="dxa"/>
            </w:tcMar>
            <w:vAlign w:val="bottom"/>
          </w:tcPr>
          <w:p w14:paraId="15E9B3A7" w14:textId="167B785E" w:rsidR="39B351CB" w:rsidRDefault="39B351CB" w:rsidP="00473358">
            <w:pPr>
              <w:pStyle w:val="Tabletext"/>
              <w:rPr>
                <w:rFonts w:eastAsia="Calibri"/>
                <w:color w:val="000000" w:themeColor="text1"/>
              </w:rPr>
            </w:pPr>
            <w:r w:rsidRPr="39B351CB">
              <w:rPr>
                <w:rFonts w:eastAsia="Calibri"/>
                <w:color w:val="000000" w:themeColor="text1"/>
              </w:rPr>
              <w:t>Technical</w:t>
            </w:r>
          </w:p>
        </w:tc>
        <w:tc>
          <w:tcPr>
            <w:tcW w:w="990" w:type="dxa"/>
            <w:tcMar>
              <w:left w:w="105" w:type="dxa"/>
              <w:right w:w="105" w:type="dxa"/>
            </w:tcMar>
            <w:vAlign w:val="center"/>
          </w:tcPr>
          <w:p w14:paraId="267D0D6B" w14:textId="091812E3" w:rsidR="39B351CB" w:rsidRDefault="39B351CB" w:rsidP="00863EA5">
            <w:pPr>
              <w:pStyle w:val="Tabletext"/>
              <w:jc w:val="center"/>
              <w:rPr>
                <w:rFonts w:eastAsia="Calibri"/>
                <w:color w:val="000000" w:themeColor="text1"/>
              </w:rPr>
            </w:pPr>
            <w:r w:rsidRPr="39B351CB">
              <w:rPr>
                <w:rFonts w:eastAsia="Calibri"/>
                <w:color w:val="000000" w:themeColor="text1"/>
              </w:rPr>
              <w:t>18 000</w:t>
            </w:r>
          </w:p>
        </w:tc>
        <w:tc>
          <w:tcPr>
            <w:tcW w:w="1125" w:type="dxa"/>
            <w:tcMar>
              <w:left w:w="105" w:type="dxa"/>
              <w:right w:w="105" w:type="dxa"/>
            </w:tcMar>
            <w:vAlign w:val="bottom"/>
          </w:tcPr>
          <w:p w14:paraId="6AED57B1" w14:textId="254516CD" w:rsidR="39B351CB" w:rsidRDefault="39B351CB" w:rsidP="00863EA5">
            <w:pPr>
              <w:pStyle w:val="Tabletext"/>
              <w:jc w:val="center"/>
              <w:rPr>
                <w:rFonts w:eastAsia="Calibri"/>
                <w:color w:val="000000" w:themeColor="text1"/>
              </w:rPr>
            </w:pPr>
            <w:r w:rsidRPr="39B351CB">
              <w:rPr>
                <w:rFonts w:eastAsia="Calibri"/>
                <w:color w:val="000000" w:themeColor="text1"/>
              </w:rPr>
              <w:t>15 200</w:t>
            </w:r>
          </w:p>
        </w:tc>
        <w:tc>
          <w:tcPr>
            <w:tcW w:w="1830" w:type="dxa"/>
            <w:tcMar>
              <w:left w:w="105" w:type="dxa"/>
              <w:right w:w="105" w:type="dxa"/>
            </w:tcMar>
            <w:vAlign w:val="bottom"/>
          </w:tcPr>
          <w:p w14:paraId="5C5A2C49" w14:textId="21B4E139" w:rsidR="39B351CB" w:rsidRDefault="002B465E" w:rsidP="00863EA5">
            <w:pPr>
              <w:pStyle w:val="Tabletext"/>
              <w:jc w:val="center"/>
              <w:rPr>
                <w:rFonts w:eastAsia="Calibri"/>
                <w:color w:val="000000" w:themeColor="text1"/>
              </w:rPr>
            </w:pPr>
            <w:r>
              <w:rPr>
                <w:rFonts w:eastAsia="Calibri"/>
                <w:color w:val="000000" w:themeColor="text1"/>
              </w:rPr>
              <w:t>TBD</w:t>
            </w:r>
          </w:p>
        </w:tc>
      </w:tr>
      <w:tr w:rsidR="39B351CB" w14:paraId="0AF7DC77" w14:textId="77777777" w:rsidTr="00473358">
        <w:trPr>
          <w:cantSplit/>
          <w:jc w:val="center"/>
        </w:trPr>
        <w:tc>
          <w:tcPr>
            <w:tcW w:w="990" w:type="dxa"/>
            <w:vMerge/>
            <w:vAlign w:val="center"/>
          </w:tcPr>
          <w:p w14:paraId="0A88C016" w14:textId="77777777" w:rsidR="00553BD4" w:rsidRDefault="00553BD4" w:rsidP="00473358">
            <w:pPr>
              <w:pStyle w:val="Tabletext"/>
            </w:pPr>
          </w:p>
        </w:tc>
        <w:tc>
          <w:tcPr>
            <w:tcW w:w="705" w:type="dxa"/>
            <w:vMerge/>
            <w:vAlign w:val="center"/>
          </w:tcPr>
          <w:p w14:paraId="0B48F975" w14:textId="77777777" w:rsidR="00553BD4" w:rsidRDefault="00553BD4" w:rsidP="00473358">
            <w:pPr>
              <w:pStyle w:val="Tabletext"/>
              <w:jc w:val="center"/>
            </w:pPr>
          </w:p>
        </w:tc>
        <w:tc>
          <w:tcPr>
            <w:tcW w:w="3105" w:type="dxa"/>
            <w:vMerge/>
            <w:vAlign w:val="center"/>
          </w:tcPr>
          <w:p w14:paraId="49E986B1" w14:textId="77777777" w:rsidR="00553BD4" w:rsidRDefault="00553BD4" w:rsidP="00473358">
            <w:pPr>
              <w:pStyle w:val="Tabletext"/>
            </w:pPr>
          </w:p>
        </w:tc>
        <w:tc>
          <w:tcPr>
            <w:tcW w:w="1410" w:type="dxa"/>
            <w:tcMar>
              <w:left w:w="105" w:type="dxa"/>
              <w:right w:w="105" w:type="dxa"/>
            </w:tcMar>
            <w:vAlign w:val="bottom"/>
          </w:tcPr>
          <w:p w14:paraId="4E11E7A0" w14:textId="67168D5B" w:rsidR="39B351CB" w:rsidRPr="00863EA5" w:rsidRDefault="39B351CB" w:rsidP="00473358">
            <w:pPr>
              <w:pStyle w:val="Tabletext"/>
              <w:rPr>
                <w:rFonts w:eastAsia="Calibri"/>
                <w:b/>
                <w:bCs/>
                <w:color w:val="000000" w:themeColor="text1"/>
              </w:rPr>
            </w:pPr>
            <w:r w:rsidRPr="00863EA5">
              <w:rPr>
                <w:rFonts w:eastAsia="Calibri"/>
                <w:b/>
                <w:bCs/>
                <w:color w:val="000000" w:themeColor="text1"/>
              </w:rPr>
              <w:t>Total:</w:t>
            </w:r>
          </w:p>
        </w:tc>
        <w:tc>
          <w:tcPr>
            <w:tcW w:w="990" w:type="dxa"/>
            <w:tcMar>
              <w:left w:w="105" w:type="dxa"/>
              <w:right w:w="105" w:type="dxa"/>
            </w:tcMar>
            <w:vAlign w:val="center"/>
          </w:tcPr>
          <w:p w14:paraId="10C4E1C0" w14:textId="1574DB85" w:rsidR="39B351CB" w:rsidRPr="00863EA5" w:rsidRDefault="39B351CB" w:rsidP="00863EA5">
            <w:pPr>
              <w:pStyle w:val="Tabletext"/>
              <w:jc w:val="center"/>
              <w:rPr>
                <w:rFonts w:eastAsia="Calibri"/>
                <w:b/>
                <w:bCs/>
                <w:color w:val="000000" w:themeColor="text1"/>
              </w:rPr>
            </w:pPr>
            <w:r w:rsidRPr="00863EA5">
              <w:rPr>
                <w:rFonts w:eastAsia="Calibri"/>
                <w:b/>
                <w:bCs/>
                <w:color w:val="000000" w:themeColor="text1"/>
              </w:rPr>
              <w:t>38 450</w:t>
            </w:r>
          </w:p>
        </w:tc>
        <w:tc>
          <w:tcPr>
            <w:tcW w:w="1125" w:type="dxa"/>
            <w:tcMar>
              <w:left w:w="105" w:type="dxa"/>
              <w:right w:w="105" w:type="dxa"/>
            </w:tcMar>
            <w:vAlign w:val="bottom"/>
          </w:tcPr>
          <w:p w14:paraId="58AC82FE" w14:textId="65726636" w:rsidR="39B351CB" w:rsidRPr="00863EA5" w:rsidRDefault="002B465E" w:rsidP="00863EA5">
            <w:pPr>
              <w:pStyle w:val="Tabletext"/>
              <w:jc w:val="center"/>
              <w:rPr>
                <w:rFonts w:eastAsia="Calibri"/>
                <w:b/>
                <w:bCs/>
                <w:color w:val="000000" w:themeColor="text1"/>
              </w:rPr>
            </w:pPr>
            <w:r w:rsidRPr="00863EA5">
              <w:rPr>
                <w:rFonts w:eastAsia="Calibri"/>
                <w:b/>
                <w:bCs/>
                <w:color w:val="000000" w:themeColor="text1"/>
              </w:rPr>
              <w:t>TBD</w:t>
            </w:r>
          </w:p>
        </w:tc>
        <w:tc>
          <w:tcPr>
            <w:tcW w:w="1830" w:type="dxa"/>
            <w:tcMar>
              <w:left w:w="105" w:type="dxa"/>
              <w:right w:w="105" w:type="dxa"/>
            </w:tcMar>
            <w:vAlign w:val="bottom"/>
          </w:tcPr>
          <w:p w14:paraId="6F0524D1" w14:textId="72DBFE6B" w:rsidR="39B351CB" w:rsidRPr="00863EA5" w:rsidRDefault="003D36FB" w:rsidP="00863EA5">
            <w:pPr>
              <w:pStyle w:val="Tabletext"/>
              <w:jc w:val="center"/>
              <w:rPr>
                <w:rFonts w:eastAsia="Calibri"/>
                <w:b/>
                <w:bCs/>
                <w:color w:val="000000" w:themeColor="text1"/>
              </w:rPr>
            </w:pPr>
            <w:r w:rsidRPr="00863EA5">
              <w:rPr>
                <w:rFonts w:eastAsia="Calibri"/>
                <w:b/>
                <w:bCs/>
                <w:color w:val="000000" w:themeColor="text1"/>
              </w:rPr>
              <w:t>TBD</w:t>
            </w:r>
          </w:p>
        </w:tc>
      </w:tr>
      <w:tr w:rsidR="39B351CB" w14:paraId="3749F9BE" w14:textId="77777777" w:rsidTr="00473358">
        <w:trPr>
          <w:cnfStyle w:val="000000100000" w:firstRow="0" w:lastRow="0" w:firstColumn="0" w:lastColumn="0" w:oddVBand="0" w:evenVBand="0" w:oddHBand="1" w:evenHBand="0" w:firstRowFirstColumn="0" w:firstRowLastColumn="0" w:lastRowFirstColumn="0" w:lastRowLastColumn="0"/>
          <w:cantSplit/>
          <w:jc w:val="center"/>
        </w:trPr>
        <w:tc>
          <w:tcPr>
            <w:tcW w:w="990" w:type="dxa"/>
            <w:vMerge w:val="restart"/>
            <w:tcMar>
              <w:left w:w="105" w:type="dxa"/>
              <w:right w:w="105" w:type="dxa"/>
            </w:tcMar>
            <w:vAlign w:val="center"/>
          </w:tcPr>
          <w:p w14:paraId="563E8F1E" w14:textId="4922A9C8" w:rsidR="39B351CB" w:rsidRDefault="39B351CB" w:rsidP="00473358">
            <w:pPr>
              <w:pStyle w:val="Tabletext"/>
              <w:rPr>
                <w:rFonts w:eastAsia="Calibri"/>
              </w:rPr>
            </w:pPr>
            <w:r w:rsidRPr="39B351CB">
              <w:rPr>
                <w:rFonts w:eastAsia="Calibri"/>
              </w:rPr>
              <w:t>BR WPs 5A</w:t>
            </w:r>
            <w:r w:rsidR="00B2717E">
              <w:rPr>
                <w:rFonts w:eastAsia="Calibri"/>
              </w:rPr>
              <w:t>-</w:t>
            </w:r>
            <w:r w:rsidRPr="39B351CB">
              <w:rPr>
                <w:rFonts w:eastAsia="Calibri"/>
              </w:rPr>
              <w:t>B</w:t>
            </w:r>
            <w:r w:rsidR="00B2717E">
              <w:rPr>
                <w:rFonts w:eastAsia="Calibri"/>
              </w:rPr>
              <w:t>-</w:t>
            </w:r>
            <w:r w:rsidRPr="39B351CB">
              <w:rPr>
                <w:rFonts w:eastAsia="Calibri"/>
              </w:rPr>
              <w:t>C</w:t>
            </w:r>
          </w:p>
        </w:tc>
        <w:tc>
          <w:tcPr>
            <w:tcW w:w="705" w:type="dxa"/>
            <w:vMerge w:val="restart"/>
            <w:tcMar>
              <w:left w:w="105" w:type="dxa"/>
              <w:right w:w="105" w:type="dxa"/>
            </w:tcMar>
            <w:vAlign w:val="center"/>
          </w:tcPr>
          <w:p w14:paraId="50D94F3C" w14:textId="23EE7F0F" w:rsidR="39B351CB" w:rsidRDefault="39B351CB" w:rsidP="00473358">
            <w:pPr>
              <w:pStyle w:val="Tabletext"/>
              <w:jc w:val="center"/>
              <w:rPr>
                <w:rFonts w:eastAsia="Calibri"/>
              </w:rPr>
            </w:pPr>
            <w:r w:rsidRPr="39B351CB">
              <w:rPr>
                <w:rFonts w:eastAsia="Calibri"/>
              </w:rPr>
              <w:t>12</w:t>
            </w:r>
          </w:p>
        </w:tc>
        <w:tc>
          <w:tcPr>
            <w:tcW w:w="3105" w:type="dxa"/>
            <w:vMerge w:val="restart"/>
            <w:tcMar>
              <w:left w:w="105" w:type="dxa"/>
              <w:right w:w="105" w:type="dxa"/>
            </w:tcMar>
            <w:vAlign w:val="center"/>
          </w:tcPr>
          <w:p w14:paraId="317329D8" w14:textId="1B5B5E62" w:rsidR="39B351CB" w:rsidRDefault="39B351CB" w:rsidP="00473358">
            <w:pPr>
              <w:pStyle w:val="Tabletext"/>
              <w:rPr>
                <w:rFonts w:eastAsia="Calibri"/>
                <w:color w:val="000000" w:themeColor="text1"/>
              </w:rPr>
            </w:pPr>
            <w:r w:rsidRPr="39B351CB">
              <w:rPr>
                <w:rFonts w:eastAsia="Calibri"/>
                <w:color w:val="000000" w:themeColor="text1"/>
              </w:rPr>
              <w:t>1</w:t>
            </w:r>
            <w:r w:rsidR="00B2717E">
              <w:rPr>
                <w:rFonts w:eastAsia="Calibri" w:cs="Calibri"/>
              </w:rPr>
              <w:t>×</w:t>
            </w:r>
            <w:r w:rsidRPr="39B351CB">
              <w:rPr>
                <w:rFonts w:eastAsia="Calibri"/>
                <w:color w:val="000000" w:themeColor="text1"/>
              </w:rPr>
              <w:t>200, 1</w:t>
            </w:r>
            <w:r w:rsidR="00B2717E">
              <w:rPr>
                <w:rFonts w:eastAsia="Calibri" w:cs="Calibri"/>
              </w:rPr>
              <w:t>×</w:t>
            </w:r>
            <w:r w:rsidRPr="39B351CB">
              <w:rPr>
                <w:rFonts w:eastAsia="Calibri"/>
                <w:color w:val="000000" w:themeColor="text1"/>
              </w:rPr>
              <w:t>120, 1</w:t>
            </w:r>
            <w:r w:rsidR="00B2717E">
              <w:rPr>
                <w:rFonts w:eastAsia="Calibri" w:cs="Calibri"/>
              </w:rPr>
              <w:t>×</w:t>
            </w:r>
            <w:r w:rsidRPr="39B351CB">
              <w:rPr>
                <w:rFonts w:eastAsia="Calibri"/>
                <w:color w:val="000000" w:themeColor="text1"/>
              </w:rPr>
              <w:t>80,1</w:t>
            </w:r>
            <w:r w:rsidR="00B2717E">
              <w:rPr>
                <w:rFonts w:eastAsia="Calibri" w:cs="Calibri"/>
              </w:rPr>
              <w:t>×</w:t>
            </w:r>
            <w:r w:rsidRPr="39B351CB">
              <w:rPr>
                <w:rFonts w:eastAsia="Calibri"/>
                <w:color w:val="000000" w:themeColor="text1"/>
              </w:rPr>
              <w:t>50, 1</w:t>
            </w:r>
            <w:r w:rsidR="00B2717E">
              <w:rPr>
                <w:rFonts w:eastAsia="Calibri" w:cs="Calibri"/>
              </w:rPr>
              <w:t>×</w:t>
            </w:r>
            <w:r w:rsidRPr="39B351CB">
              <w:rPr>
                <w:rFonts w:eastAsia="Calibri"/>
                <w:color w:val="000000" w:themeColor="text1"/>
              </w:rPr>
              <w:t>30</w:t>
            </w:r>
          </w:p>
        </w:tc>
        <w:tc>
          <w:tcPr>
            <w:tcW w:w="1410" w:type="dxa"/>
            <w:tcMar>
              <w:left w:w="105" w:type="dxa"/>
              <w:right w:w="105" w:type="dxa"/>
            </w:tcMar>
            <w:vAlign w:val="center"/>
          </w:tcPr>
          <w:p w14:paraId="0AA318C1" w14:textId="73A3DC5B" w:rsidR="39B351CB" w:rsidRDefault="39B351CB" w:rsidP="00473358">
            <w:pPr>
              <w:pStyle w:val="Tabletext"/>
              <w:rPr>
                <w:rFonts w:eastAsia="Calibri"/>
              </w:rPr>
            </w:pPr>
            <w:r w:rsidRPr="39B351CB">
              <w:rPr>
                <w:rFonts w:eastAsia="Calibri"/>
              </w:rPr>
              <w:t>Rental</w:t>
            </w:r>
          </w:p>
        </w:tc>
        <w:tc>
          <w:tcPr>
            <w:tcW w:w="990" w:type="dxa"/>
            <w:tcMar>
              <w:left w:w="105" w:type="dxa"/>
              <w:right w:w="105" w:type="dxa"/>
            </w:tcMar>
            <w:vAlign w:val="center"/>
          </w:tcPr>
          <w:p w14:paraId="000F2E8A" w14:textId="60A88D39" w:rsidR="39B351CB" w:rsidRDefault="39B351CB" w:rsidP="00863EA5">
            <w:pPr>
              <w:pStyle w:val="Tabletext"/>
              <w:jc w:val="center"/>
              <w:rPr>
                <w:rFonts w:eastAsia="Calibri"/>
                <w:color w:val="000000" w:themeColor="text1"/>
              </w:rPr>
            </w:pPr>
            <w:r w:rsidRPr="39B351CB">
              <w:rPr>
                <w:rFonts w:eastAsia="Calibri"/>
                <w:color w:val="000000" w:themeColor="text1"/>
              </w:rPr>
              <w:t>27 128</w:t>
            </w:r>
          </w:p>
        </w:tc>
        <w:tc>
          <w:tcPr>
            <w:tcW w:w="1125" w:type="dxa"/>
            <w:tcMar>
              <w:left w:w="105" w:type="dxa"/>
              <w:right w:w="105" w:type="dxa"/>
            </w:tcMar>
            <w:vAlign w:val="bottom"/>
          </w:tcPr>
          <w:p w14:paraId="03FF61B3" w14:textId="5EA43728" w:rsidR="39B351CB" w:rsidRDefault="39B351CB" w:rsidP="00863EA5">
            <w:pPr>
              <w:pStyle w:val="Tabletext"/>
              <w:jc w:val="center"/>
              <w:rPr>
                <w:rFonts w:eastAsia="Calibri"/>
                <w:color w:val="000000" w:themeColor="text1"/>
              </w:rPr>
            </w:pPr>
            <w:r w:rsidRPr="39B351CB">
              <w:rPr>
                <w:rFonts w:eastAsia="Calibri"/>
                <w:color w:val="000000" w:themeColor="text1"/>
              </w:rPr>
              <w:t>31 488</w:t>
            </w:r>
          </w:p>
        </w:tc>
        <w:tc>
          <w:tcPr>
            <w:tcW w:w="1830" w:type="dxa"/>
            <w:tcMar>
              <w:left w:w="105" w:type="dxa"/>
              <w:right w:w="105" w:type="dxa"/>
            </w:tcMar>
            <w:vAlign w:val="bottom"/>
          </w:tcPr>
          <w:p w14:paraId="32DB2DCF" w14:textId="2D2A709C" w:rsidR="39B351CB" w:rsidRDefault="39B351CB" w:rsidP="00863EA5">
            <w:pPr>
              <w:pStyle w:val="Tabletext"/>
              <w:jc w:val="center"/>
              <w:rPr>
                <w:rFonts w:eastAsia="Calibri"/>
                <w:color w:val="000000" w:themeColor="text1"/>
              </w:rPr>
            </w:pPr>
            <w:r w:rsidRPr="39B351CB">
              <w:rPr>
                <w:rFonts w:eastAsia="Calibri"/>
                <w:color w:val="000000" w:themeColor="text1"/>
              </w:rPr>
              <w:t>90 720</w:t>
            </w:r>
          </w:p>
        </w:tc>
      </w:tr>
      <w:tr w:rsidR="39B351CB" w14:paraId="18EFF34B" w14:textId="77777777" w:rsidTr="00473358">
        <w:trPr>
          <w:cantSplit/>
          <w:jc w:val="center"/>
        </w:trPr>
        <w:tc>
          <w:tcPr>
            <w:tcW w:w="990" w:type="dxa"/>
            <w:vMerge/>
            <w:vAlign w:val="center"/>
          </w:tcPr>
          <w:p w14:paraId="6DCAA0F1" w14:textId="77777777" w:rsidR="00553BD4" w:rsidRDefault="00553BD4" w:rsidP="00473358">
            <w:pPr>
              <w:pStyle w:val="Tabletext"/>
            </w:pPr>
          </w:p>
        </w:tc>
        <w:tc>
          <w:tcPr>
            <w:tcW w:w="705" w:type="dxa"/>
            <w:vMerge/>
            <w:vAlign w:val="center"/>
          </w:tcPr>
          <w:p w14:paraId="5FEB0BAC" w14:textId="77777777" w:rsidR="00553BD4" w:rsidRDefault="00553BD4" w:rsidP="00473358">
            <w:pPr>
              <w:pStyle w:val="Tabletext"/>
              <w:jc w:val="center"/>
            </w:pPr>
          </w:p>
        </w:tc>
        <w:tc>
          <w:tcPr>
            <w:tcW w:w="3105" w:type="dxa"/>
            <w:vMerge/>
            <w:vAlign w:val="center"/>
          </w:tcPr>
          <w:p w14:paraId="559DC631" w14:textId="77777777" w:rsidR="00553BD4" w:rsidRDefault="00553BD4" w:rsidP="00473358">
            <w:pPr>
              <w:pStyle w:val="Tabletext"/>
            </w:pPr>
          </w:p>
        </w:tc>
        <w:tc>
          <w:tcPr>
            <w:tcW w:w="1410" w:type="dxa"/>
            <w:tcMar>
              <w:left w:w="105" w:type="dxa"/>
              <w:right w:w="105" w:type="dxa"/>
            </w:tcMar>
            <w:vAlign w:val="bottom"/>
          </w:tcPr>
          <w:p w14:paraId="7851EAB7" w14:textId="0800F040" w:rsidR="39B351CB" w:rsidRDefault="39B351CB" w:rsidP="00473358">
            <w:pPr>
              <w:pStyle w:val="Tabletext"/>
              <w:rPr>
                <w:rFonts w:eastAsia="Calibri"/>
                <w:color w:val="000000" w:themeColor="text1"/>
              </w:rPr>
            </w:pPr>
            <w:r w:rsidRPr="39B351CB">
              <w:rPr>
                <w:rFonts w:eastAsia="Calibri"/>
                <w:color w:val="000000" w:themeColor="text1"/>
              </w:rPr>
              <w:t>Security</w:t>
            </w:r>
          </w:p>
        </w:tc>
        <w:tc>
          <w:tcPr>
            <w:tcW w:w="990" w:type="dxa"/>
            <w:tcMar>
              <w:left w:w="105" w:type="dxa"/>
              <w:right w:w="105" w:type="dxa"/>
            </w:tcMar>
            <w:vAlign w:val="center"/>
          </w:tcPr>
          <w:p w14:paraId="4D1CE120" w14:textId="5BCC8A0F" w:rsidR="39B351CB" w:rsidRDefault="39B351CB" w:rsidP="00863EA5">
            <w:pPr>
              <w:pStyle w:val="Tabletext"/>
              <w:jc w:val="center"/>
              <w:rPr>
                <w:rFonts w:eastAsia="Calibri"/>
                <w:color w:val="000000" w:themeColor="text1"/>
              </w:rPr>
            </w:pPr>
            <w:r w:rsidRPr="39B351CB">
              <w:rPr>
                <w:rFonts w:eastAsia="Calibri"/>
                <w:color w:val="000000" w:themeColor="text1"/>
              </w:rPr>
              <w:t>10 220</w:t>
            </w:r>
          </w:p>
        </w:tc>
        <w:tc>
          <w:tcPr>
            <w:tcW w:w="1125" w:type="dxa"/>
            <w:tcMar>
              <w:left w:w="105" w:type="dxa"/>
              <w:right w:w="105" w:type="dxa"/>
            </w:tcMar>
            <w:vAlign w:val="bottom"/>
          </w:tcPr>
          <w:p w14:paraId="3B750CB4" w14:textId="68E0B3F7" w:rsidR="39B351CB" w:rsidRDefault="002B465E" w:rsidP="00863EA5">
            <w:pPr>
              <w:pStyle w:val="Tabletext"/>
              <w:jc w:val="center"/>
              <w:rPr>
                <w:rFonts w:eastAsia="Calibri"/>
                <w:color w:val="000000" w:themeColor="text1"/>
              </w:rPr>
            </w:pPr>
            <w:r>
              <w:rPr>
                <w:rFonts w:eastAsia="Calibri"/>
                <w:color w:val="000000" w:themeColor="text1"/>
              </w:rPr>
              <w:t>TBD</w:t>
            </w:r>
          </w:p>
        </w:tc>
        <w:tc>
          <w:tcPr>
            <w:tcW w:w="1830" w:type="dxa"/>
            <w:tcMar>
              <w:left w:w="105" w:type="dxa"/>
              <w:right w:w="105" w:type="dxa"/>
            </w:tcMar>
            <w:vAlign w:val="bottom"/>
          </w:tcPr>
          <w:p w14:paraId="112C5CB8" w14:textId="68AC59EF" w:rsidR="39B351CB" w:rsidRDefault="39B351CB" w:rsidP="00863EA5">
            <w:pPr>
              <w:pStyle w:val="Tabletext"/>
              <w:jc w:val="center"/>
              <w:rPr>
                <w:rFonts w:eastAsia="Calibri"/>
                <w:color w:val="000000" w:themeColor="text1"/>
              </w:rPr>
            </w:pPr>
            <w:r w:rsidRPr="39B351CB">
              <w:rPr>
                <w:rFonts w:eastAsia="Calibri"/>
                <w:color w:val="000000" w:themeColor="text1"/>
              </w:rPr>
              <w:t>14 099</w:t>
            </w:r>
          </w:p>
        </w:tc>
      </w:tr>
      <w:tr w:rsidR="39B351CB" w14:paraId="559042F4" w14:textId="77777777" w:rsidTr="00473358">
        <w:trPr>
          <w:cnfStyle w:val="000000100000" w:firstRow="0" w:lastRow="0" w:firstColumn="0" w:lastColumn="0" w:oddVBand="0" w:evenVBand="0" w:oddHBand="1" w:evenHBand="0" w:firstRowFirstColumn="0" w:firstRowLastColumn="0" w:lastRowFirstColumn="0" w:lastRowLastColumn="0"/>
          <w:cantSplit/>
          <w:jc w:val="center"/>
        </w:trPr>
        <w:tc>
          <w:tcPr>
            <w:tcW w:w="990" w:type="dxa"/>
            <w:vMerge/>
            <w:vAlign w:val="center"/>
          </w:tcPr>
          <w:p w14:paraId="53D4A82C" w14:textId="77777777" w:rsidR="00553BD4" w:rsidRDefault="00553BD4" w:rsidP="00473358">
            <w:pPr>
              <w:pStyle w:val="Tabletext"/>
            </w:pPr>
          </w:p>
        </w:tc>
        <w:tc>
          <w:tcPr>
            <w:tcW w:w="705" w:type="dxa"/>
            <w:vMerge/>
            <w:vAlign w:val="center"/>
          </w:tcPr>
          <w:p w14:paraId="24907C59" w14:textId="77777777" w:rsidR="00553BD4" w:rsidRDefault="00553BD4" w:rsidP="00473358">
            <w:pPr>
              <w:pStyle w:val="Tabletext"/>
              <w:jc w:val="center"/>
            </w:pPr>
          </w:p>
        </w:tc>
        <w:tc>
          <w:tcPr>
            <w:tcW w:w="3105" w:type="dxa"/>
            <w:vMerge/>
            <w:vAlign w:val="center"/>
          </w:tcPr>
          <w:p w14:paraId="5EDB9092" w14:textId="77777777" w:rsidR="00553BD4" w:rsidRDefault="00553BD4" w:rsidP="00473358">
            <w:pPr>
              <w:pStyle w:val="Tabletext"/>
            </w:pPr>
          </w:p>
        </w:tc>
        <w:tc>
          <w:tcPr>
            <w:tcW w:w="1410" w:type="dxa"/>
            <w:tcMar>
              <w:left w:w="105" w:type="dxa"/>
              <w:right w:w="105" w:type="dxa"/>
            </w:tcMar>
            <w:vAlign w:val="bottom"/>
          </w:tcPr>
          <w:p w14:paraId="26E34D9E" w14:textId="7B24126D" w:rsidR="39B351CB" w:rsidRDefault="39B351CB" w:rsidP="00473358">
            <w:pPr>
              <w:pStyle w:val="Tabletext"/>
              <w:rPr>
                <w:rFonts w:eastAsia="Calibri"/>
                <w:color w:val="000000" w:themeColor="text1"/>
              </w:rPr>
            </w:pPr>
            <w:r w:rsidRPr="39B351CB">
              <w:rPr>
                <w:rFonts w:eastAsia="Calibri"/>
                <w:color w:val="000000" w:themeColor="text1"/>
              </w:rPr>
              <w:t>Technical</w:t>
            </w:r>
          </w:p>
        </w:tc>
        <w:tc>
          <w:tcPr>
            <w:tcW w:w="990" w:type="dxa"/>
            <w:tcMar>
              <w:left w:w="105" w:type="dxa"/>
              <w:right w:w="105" w:type="dxa"/>
            </w:tcMar>
            <w:vAlign w:val="center"/>
          </w:tcPr>
          <w:p w14:paraId="03F59889" w14:textId="5D9A24F0" w:rsidR="39B351CB" w:rsidRDefault="39B351CB" w:rsidP="00863EA5">
            <w:pPr>
              <w:pStyle w:val="Tabletext"/>
              <w:jc w:val="center"/>
              <w:rPr>
                <w:rFonts w:eastAsia="Calibri"/>
                <w:color w:val="000000" w:themeColor="text1"/>
              </w:rPr>
            </w:pPr>
            <w:r w:rsidRPr="39B351CB">
              <w:rPr>
                <w:rFonts w:eastAsia="Calibri"/>
                <w:color w:val="000000" w:themeColor="text1"/>
              </w:rPr>
              <w:t>75 000</w:t>
            </w:r>
          </w:p>
        </w:tc>
        <w:tc>
          <w:tcPr>
            <w:tcW w:w="1125" w:type="dxa"/>
            <w:tcMar>
              <w:left w:w="105" w:type="dxa"/>
              <w:right w:w="105" w:type="dxa"/>
            </w:tcMar>
            <w:vAlign w:val="bottom"/>
          </w:tcPr>
          <w:p w14:paraId="46752D95" w14:textId="40D9B631" w:rsidR="39B351CB" w:rsidRDefault="39B351CB" w:rsidP="00863EA5">
            <w:pPr>
              <w:pStyle w:val="Tabletext"/>
              <w:jc w:val="center"/>
              <w:rPr>
                <w:rFonts w:eastAsia="Calibri"/>
                <w:color w:val="000000" w:themeColor="text1"/>
              </w:rPr>
            </w:pPr>
            <w:r w:rsidRPr="39B351CB">
              <w:rPr>
                <w:rFonts w:eastAsia="Calibri"/>
                <w:color w:val="000000" w:themeColor="text1"/>
              </w:rPr>
              <w:t>101 600</w:t>
            </w:r>
          </w:p>
        </w:tc>
        <w:tc>
          <w:tcPr>
            <w:tcW w:w="1830" w:type="dxa"/>
            <w:tcMar>
              <w:left w:w="105" w:type="dxa"/>
              <w:right w:w="105" w:type="dxa"/>
            </w:tcMar>
            <w:vAlign w:val="bottom"/>
          </w:tcPr>
          <w:p w14:paraId="54446EED" w14:textId="1BD61B78" w:rsidR="39B351CB" w:rsidRDefault="002B465E" w:rsidP="00863EA5">
            <w:pPr>
              <w:pStyle w:val="Tabletext"/>
              <w:jc w:val="center"/>
              <w:rPr>
                <w:rFonts w:eastAsia="Calibri"/>
                <w:color w:val="000000" w:themeColor="text1"/>
              </w:rPr>
            </w:pPr>
            <w:r>
              <w:rPr>
                <w:rFonts w:eastAsia="Calibri"/>
                <w:color w:val="000000" w:themeColor="text1"/>
              </w:rPr>
              <w:t>TBD</w:t>
            </w:r>
          </w:p>
        </w:tc>
      </w:tr>
      <w:tr w:rsidR="39B351CB" w14:paraId="26FD0DD7" w14:textId="77777777" w:rsidTr="00473358">
        <w:trPr>
          <w:cantSplit/>
          <w:jc w:val="center"/>
        </w:trPr>
        <w:tc>
          <w:tcPr>
            <w:tcW w:w="990" w:type="dxa"/>
            <w:vMerge/>
            <w:vAlign w:val="center"/>
          </w:tcPr>
          <w:p w14:paraId="0E90AA20" w14:textId="77777777" w:rsidR="00553BD4" w:rsidRDefault="00553BD4" w:rsidP="00473358">
            <w:pPr>
              <w:pStyle w:val="Tabletext"/>
            </w:pPr>
          </w:p>
        </w:tc>
        <w:tc>
          <w:tcPr>
            <w:tcW w:w="705" w:type="dxa"/>
            <w:vMerge/>
            <w:vAlign w:val="center"/>
          </w:tcPr>
          <w:p w14:paraId="3B92AB11" w14:textId="77777777" w:rsidR="00553BD4" w:rsidRDefault="00553BD4" w:rsidP="00473358">
            <w:pPr>
              <w:pStyle w:val="Tabletext"/>
              <w:jc w:val="center"/>
            </w:pPr>
          </w:p>
        </w:tc>
        <w:tc>
          <w:tcPr>
            <w:tcW w:w="3105" w:type="dxa"/>
            <w:vMerge/>
            <w:vAlign w:val="center"/>
          </w:tcPr>
          <w:p w14:paraId="64FF3F90" w14:textId="77777777" w:rsidR="00553BD4" w:rsidRDefault="00553BD4" w:rsidP="00473358">
            <w:pPr>
              <w:pStyle w:val="Tabletext"/>
            </w:pPr>
          </w:p>
        </w:tc>
        <w:tc>
          <w:tcPr>
            <w:tcW w:w="1410" w:type="dxa"/>
            <w:tcMar>
              <w:left w:w="105" w:type="dxa"/>
              <w:right w:w="105" w:type="dxa"/>
            </w:tcMar>
            <w:vAlign w:val="bottom"/>
          </w:tcPr>
          <w:p w14:paraId="2CB2537C" w14:textId="6096E2BC" w:rsidR="39B351CB" w:rsidRPr="00863EA5" w:rsidRDefault="39B351CB" w:rsidP="00473358">
            <w:pPr>
              <w:pStyle w:val="Tabletext"/>
              <w:rPr>
                <w:rFonts w:eastAsia="Calibri"/>
                <w:b/>
                <w:bCs/>
                <w:color w:val="000000" w:themeColor="text1"/>
              </w:rPr>
            </w:pPr>
            <w:r w:rsidRPr="00863EA5">
              <w:rPr>
                <w:rFonts w:eastAsia="Calibri"/>
                <w:b/>
                <w:bCs/>
                <w:color w:val="000000" w:themeColor="text1"/>
              </w:rPr>
              <w:t>Total:</w:t>
            </w:r>
          </w:p>
        </w:tc>
        <w:tc>
          <w:tcPr>
            <w:tcW w:w="990" w:type="dxa"/>
            <w:tcMar>
              <w:left w:w="105" w:type="dxa"/>
              <w:right w:w="105" w:type="dxa"/>
            </w:tcMar>
            <w:vAlign w:val="center"/>
          </w:tcPr>
          <w:p w14:paraId="52482435" w14:textId="5B0A2B5B" w:rsidR="39B351CB" w:rsidRPr="00863EA5" w:rsidRDefault="39B351CB" w:rsidP="00863EA5">
            <w:pPr>
              <w:pStyle w:val="Tabletext"/>
              <w:jc w:val="center"/>
              <w:rPr>
                <w:rFonts w:eastAsia="Calibri"/>
                <w:b/>
                <w:bCs/>
                <w:color w:val="000000" w:themeColor="text1"/>
              </w:rPr>
            </w:pPr>
            <w:r w:rsidRPr="00863EA5">
              <w:rPr>
                <w:rFonts w:eastAsia="Calibri"/>
                <w:b/>
                <w:bCs/>
                <w:color w:val="000000" w:themeColor="text1"/>
              </w:rPr>
              <w:t>112 348</w:t>
            </w:r>
          </w:p>
        </w:tc>
        <w:tc>
          <w:tcPr>
            <w:tcW w:w="1125" w:type="dxa"/>
            <w:tcMar>
              <w:left w:w="105" w:type="dxa"/>
              <w:right w:w="105" w:type="dxa"/>
            </w:tcMar>
            <w:vAlign w:val="bottom"/>
          </w:tcPr>
          <w:p w14:paraId="4E13B0C2" w14:textId="64927F71" w:rsidR="39B351CB" w:rsidRPr="00863EA5" w:rsidRDefault="002B465E" w:rsidP="00863EA5">
            <w:pPr>
              <w:pStyle w:val="Tabletext"/>
              <w:jc w:val="center"/>
              <w:rPr>
                <w:rFonts w:eastAsia="Calibri"/>
                <w:b/>
                <w:bCs/>
                <w:color w:val="000000" w:themeColor="text1"/>
              </w:rPr>
            </w:pPr>
            <w:r w:rsidRPr="00863EA5">
              <w:rPr>
                <w:rFonts w:eastAsia="Calibri"/>
                <w:b/>
                <w:bCs/>
                <w:color w:val="000000" w:themeColor="text1"/>
              </w:rPr>
              <w:t>TBD</w:t>
            </w:r>
          </w:p>
        </w:tc>
        <w:tc>
          <w:tcPr>
            <w:tcW w:w="1830" w:type="dxa"/>
            <w:tcMar>
              <w:left w:w="105" w:type="dxa"/>
              <w:right w:w="105" w:type="dxa"/>
            </w:tcMar>
            <w:vAlign w:val="bottom"/>
          </w:tcPr>
          <w:p w14:paraId="39ACF630" w14:textId="5A335381" w:rsidR="39B351CB" w:rsidRPr="00863EA5" w:rsidRDefault="00D21B30" w:rsidP="00863EA5">
            <w:pPr>
              <w:pStyle w:val="Tabletext"/>
              <w:jc w:val="center"/>
              <w:rPr>
                <w:rFonts w:eastAsia="Calibri"/>
                <w:b/>
                <w:bCs/>
                <w:color w:val="000000" w:themeColor="text1"/>
              </w:rPr>
            </w:pPr>
            <w:r w:rsidRPr="00863EA5">
              <w:rPr>
                <w:rFonts w:eastAsia="Calibri"/>
                <w:b/>
                <w:bCs/>
                <w:color w:val="000000" w:themeColor="text1"/>
              </w:rPr>
              <w:t>TBD</w:t>
            </w:r>
          </w:p>
        </w:tc>
      </w:tr>
      <w:tr w:rsidR="39B351CB" w14:paraId="66C1552B" w14:textId="77777777" w:rsidTr="00473358">
        <w:trPr>
          <w:cnfStyle w:val="000000100000" w:firstRow="0" w:lastRow="0" w:firstColumn="0" w:lastColumn="0" w:oddVBand="0" w:evenVBand="0" w:oddHBand="1" w:evenHBand="0" w:firstRowFirstColumn="0" w:firstRowLastColumn="0" w:lastRowFirstColumn="0" w:lastRowLastColumn="0"/>
          <w:cantSplit/>
          <w:jc w:val="center"/>
        </w:trPr>
        <w:tc>
          <w:tcPr>
            <w:tcW w:w="990" w:type="dxa"/>
            <w:vMerge w:val="restart"/>
            <w:tcMar>
              <w:left w:w="105" w:type="dxa"/>
              <w:right w:w="105" w:type="dxa"/>
            </w:tcMar>
            <w:vAlign w:val="center"/>
          </w:tcPr>
          <w:p w14:paraId="3F5B46B5" w14:textId="7589C258" w:rsidR="39B351CB" w:rsidRDefault="39B351CB" w:rsidP="00473358">
            <w:pPr>
              <w:pStyle w:val="Tabletext"/>
              <w:rPr>
                <w:rFonts w:eastAsia="Calibri"/>
              </w:rPr>
            </w:pPr>
            <w:r w:rsidRPr="39B351CB">
              <w:rPr>
                <w:rFonts w:eastAsia="Calibri"/>
              </w:rPr>
              <w:t>TSB</w:t>
            </w:r>
            <w:r w:rsidR="00B2717E">
              <w:rPr>
                <w:rFonts w:eastAsia="Calibri"/>
              </w:rPr>
              <w:t xml:space="preserve"> </w:t>
            </w:r>
            <w:r w:rsidRPr="39B351CB">
              <w:rPr>
                <w:rFonts w:eastAsia="Calibri"/>
              </w:rPr>
              <w:t>SG17</w:t>
            </w:r>
          </w:p>
        </w:tc>
        <w:tc>
          <w:tcPr>
            <w:tcW w:w="705" w:type="dxa"/>
            <w:vMerge w:val="restart"/>
            <w:tcMar>
              <w:left w:w="105" w:type="dxa"/>
              <w:right w:w="105" w:type="dxa"/>
            </w:tcMar>
            <w:vAlign w:val="center"/>
          </w:tcPr>
          <w:p w14:paraId="7B16A677" w14:textId="51594371" w:rsidR="39B351CB" w:rsidRDefault="39B351CB" w:rsidP="00473358">
            <w:pPr>
              <w:pStyle w:val="Tabletext"/>
              <w:jc w:val="center"/>
              <w:rPr>
                <w:rFonts w:eastAsia="Calibri"/>
              </w:rPr>
            </w:pPr>
            <w:r w:rsidRPr="39B351CB">
              <w:rPr>
                <w:rFonts w:eastAsia="Calibri"/>
              </w:rPr>
              <w:t>12</w:t>
            </w:r>
          </w:p>
        </w:tc>
        <w:tc>
          <w:tcPr>
            <w:tcW w:w="3105" w:type="dxa"/>
            <w:vMerge w:val="restart"/>
            <w:tcMar>
              <w:left w:w="105" w:type="dxa"/>
              <w:right w:w="105" w:type="dxa"/>
            </w:tcMar>
            <w:vAlign w:val="center"/>
          </w:tcPr>
          <w:p w14:paraId="16E343F2" w14:textId="5BEE1815" w:rsidR="39B351CB" w:rsidRDefault="006B6CFB" w:rsidP="00473358">
            <w:pPr>
              <w:pStyle w:val="Tabletext"/>
              <w:rPr>
                <w:rFonts w:eastAsia="Calibri"/>
                <w:color w:val="000000" w:themeColor="text1"/>
              </w:rPr>
            </w:pPr>
            <w:r w:rsidRPr="006B6CFB">
              <w:rPr>
                <w:rFonts w:eastAsia="Calibri"/>
                <w:color w:val="000000" w:themeColor="text1"/>
              </w:rPr>
              <w:t>1</w:t>
            </w:r>
            <w:r w:rsidR="00B2717E">
              <w:rPr>
                <w:rFonts w:eastAsia="Calibri" w:cs="Calibri"/>
              </w:rPr>
              <w:t>×</w:t>
            </w:r>
            <w:r w:rsidRPr="006B6CFB">
              <w:rPr>
                <w:rFonts w:eastAsia="Calibri"/>
                <w:color w:val="000000" w:themeColor="text1"/>
              </w:rPr>
              <w:t>200, 2</w:t>
            </w:r>
            <w:r w:rsidR="00B2717E">
              <w:rPr>
                <w:rFonts w:eastAsia="Calibri" w:cs="Calibri"/>
              </w:rPr>
              <w:t>×</w:t>
            </w:r>
            <w:r w:rsidRPr="006B6CFB">
              <w:rPr>
                <w:rFonts w:eastAsia="Calibri"/>
                <w:color w:val="000000" w:themeColor="text1"/>
              </w:rPr>
              <w:t>50, 1</w:t>
            </w:r>
            <w:r w:rsidR="00B2717E">
              <w:rPr>
                <w:rFonts w:eastAsia="Calibri" w:cs="Calibri"/>
              </w:rPr>
              <w:t>×</w:t>
            </w:r>
            <w:r w:rsidRPr="006B6CFB">
              <w:rPr>
                <w:rFonts w:eastAsia="Calibri"/>
                <w:color w:val="000000" w:themeColor="text1"/>
              </w:rPr>
              <w:t>30, 3</w:t>
            </w:r>
            <w:r w:rsidR="00B2717E">
              <w:rPr>
                <w:rFonts w:eastAsia="Calibri" w:cs="Calibri"/>
              </w:rPr>
              <w:t>×</w:t>
            </w:r>
            <w:r w:rsidRPr="006B6CFB">
              <w:rPr>
                <w:rFonts w:eastAsia="Calibri"/>
                <w:color w:val="000000" w:themeColor="text1"/>
              </w:rPr>
              <w:t>20, 3</w:t>
            </w:r>
            <w:r w:rsidR="00B2717E">
              <w:rPr>
                <w:rFonts w:eastAsia="Calibri" w:cs="Calibri"/>
              </w:rPr>
              <w:t>×</w:t>
            </w:r>
            <w:r w:rsidRPr="006B6CFB">
              <w:rPr>
                <w:rFonts w:eastAsia="Calibri"/>
                <w:color w:val="000000" w:themeColor="text1"/>
              </w:rPr>
              <w:t>15</w:t>
            </w:r>
          </w:p>
        </w:tc>
        <w:tc>
          <w:tcPr>
            <w:tcW w:w="1410" w:type="dxa"/>
            <w:tcMar>
              <w:left w:w="105" w:type="dxa"/>
              <w:right w:w="105" w:type="dxa"/>
            </w:tcMar>
            <w:vAlign w:val="center"/>
          </w:tcPr>
          <w:p w14:paraId="11DB37B6" w14:textId="1ADDE3B9" w:rsidR="39B351CB" w:rsidRDefault="39B351CB" w:rsidP="00473358">
            <w:pPr>
              <w:pStyle w:val="Tabletext"/>
              <w:rPr>
                <w:rFonts w:eastAsia="Calibri"/>
              </w:rPr>
            </w:pPr>
            <w:r w:rsidRPr="39B351CB">
              <w:rPr>
                <w:rFonts w:eastAsia="Calibri"/>
              </w:rPr>
              <w:t>Rental</w:t>
            </w:r>
          </w:p>
        </w:tc>
        <w:tc>
          <w:tcPr>
            <w:tcW w:w="990" w:type="dxa"/>
            <w:tcMar>
              <w:left w:w="105" w:type="dxa"/>
              <w:right w:w="105" w:type="dxa"/>
            </w:tcMar>
            <w:vAlign w:val="center"/>
          </w:tcPr>
          <w:p w14:paraId="7BFDBFF4" w14:textId="20342D6A" w:rsidR="39B351CB" w:rsidRDefault="00145125" w:rsidP="00863EA5">
            <w:pPr>
              <w:pStyle w:val="Tabletext"/>
              <w:jc w:val="center"/>
              <w:rPr>
                <w:rFonts w:eastAsia="Calibri"/>
                <w:color w:val="000000" w:themeColor="text1"/>
              </w:rPr>
            </w:pPr>
            <w:r>
              <w:rPr>
                <w:rFonts w:eastAsia="Calibri"/>
                <w:color w:val="000000" w:themeColor="text1"/>
              </w:rPr>
              <w:t>23 720</w:t>
            </w:r>
          </w:p>
        </w:tc>
        <w:tc>
          <w:tcPr>
            <w:tcW w:w="1125" w:type="dxa"/>
            <w:tcMar>
              <w:left w:w="105" w:type="dxa"/>
              <w:right w:w="105" w:type="dxa"/>
            </w:tcMar>
            <w:vAlign w:val="bottom"/>
          </w:tcPr>
          <w:p w14:paraId="3CA6D72F" w14:textId="347531BD" w:rsidR="39B351CB" w:rsidRDefault="0013208F" w:rsidP="00863EA5">
            <w:pPr>
              <w:pStyle w:val="Tabletext"/>
              <w:jc w:val="center"/>
              <w:rPr>
                <w:rFonts w:eastAsia="Calibri"/>
                <w:color w:val="000000" w:themeColor="text1"/>
              </w:rPr>
            </w:pPr>
            <w:r>
              <w:rPr>
                <w:rFonts w:eastAsia="Calibri"/>
                <w:color w:val="000000" w:themeColor="text1"/>
              </w:rPr>
              <w:t>63 360</w:t>
            </w:r>
          </w:p>
        </w:tc>
        <w:tc>
          <w:tcPr>
            <w:tcW w:w="1830" w:type="dxa"/>
            <w:tcMar>
              <w:left w:w="105" w:type="dxa"/>
              <w:right w:w="105" w:type="dxa"/>
            </w:tcMar>
            <w:vAlign w:val="bottom"/>
          </w:tcPr>
          <w:p w14:paraId="30D5AFA3" w14:textId="33FA1385" w:rsidR="39B351CB" w:rsidRDefault="00D05F5E" w:rsidP="00863EA5">
            <w:pPr>
              <w:pStyle w:val="Tabletext"/>
              <w:jc w:val="center"/>
              <w:rPr>
                <w:rFonts w:eastAsia="Calibri"/>
                <w:color w:val="000000" w:themeColor="text1"/>
              </w:rPr>
            </w:pPr>
            <w:r>
              <w:rPr>
                <w:rFonts w:eastAsia="Calibri"/>
                <w:color w:val="000000" w:themeColor="text1"/>
              </w:rPr>
              <w:t>102 240</w:t>
            </w:r>
          </w:p>
        </w:tc>
      </w:tr>
      <w:tr w:rsidR="39B351CB" w14:paraId="2F6235DF" w14:textId="77777777" w:rsidTr="00473358">
        <w:trPr>
          <w:cantSplit/>
          <w:jc w:val="center"/>
        </w:trPr>
        <w:tc>
          <w:tcPr>
            <w:tcW w:w="990" w:type="dxa"/>
            <w:vMerge/>
            <w:vAlign w:val="center"/>
          </w:tcPr>
          <w:p w14:paraId="56E984B0" w14:textId="77777777" w:rsidR="00553BD4" w:rsidRDefault="00553BD4" w:rsidP="00473358">
            <w:pPr>
              <w:pStyle w:val="Tabletext"/>
            </w:pPr>
          </w:p>
        </w:tc>
        <w:tc>
          <w:tcPr>
            <w:tcW w:w="705" w:type="dxa"/>
            <w:vMerge/>
            <w:vAlign w:val="center"/>
          </w:tcPr>
          <w:p w14:paraId="679F5649" w14:textId="77777777" w:rsidR="00553BD4" w:rsidRDefault="00553BD4" w:rsidP="00473358">
            <w:pPr>
              <w:pStyle w:val="Tabletext"/>
              <w:jc w:val="center"/>
            </w:pPr>
          </w:p>
        </w:tc>
        <w:tc>
          <w:tcPr>
            <w:tcW w:w="3105" w:type="dxa"/>
            <w:vMerge/>
            <w:vAlign w:val="center"/>
          </w:tcPr>
          <w:p w14:paraId="0653E30D" w14:textId="77777777" w:rsidR="00553BD4" w:rsidRDefault="00553BD4" w:rsidP="00473358">
            <w:pPr>
              <w:pStyle w:val="Tabletext"/>
            </w:pPr>
          </w:p>
        </w:tc>
        <w:tc>
          <w:tcPr>
            <w:tcW w:w="1410" w:type="dxa"/>
            <w:tcMar>
              <w:left w:w="105" w:type="dxa"/>
              <w:right w:w="105" w:type="dxa"/>
            </w:tcMar>
            <w:vAlign w:val="bottom"/>
          </w:tcPr>
          <w:p w14:paraId="0E7E89AE" w14:textId="32561439" w:rsidR="39B351CB" w:rsidRDefault="39B351CB" w:rsidP="00473358">
            <w:pPr>
              <w:pStyle w:val="Tabletext"/>
              <w:rPr>
                <w:rFonts w:eastAsia="Calibri"/>
                <w:color w:val="000000" w:themeColor="text1"/>
              </w:rPr>
            </w:pPr>
            <w:r w:rsidRPr="39B351CB">
              <w:rPr>
                <w:rFonts w:eastAsia="Calibri"/>
                <w:color w:val="000000" w:themeColor="text1"/>
              </w:rPr>
              <w:t>Security</w:t>
            </w:r>
          </w:p>
        </w:tc>
        <w:tc>
          <w:tcPr>
            <w:tcW w:w="990" w:type="dxa"/>
            <w:tcMar>
              <w:left w:w="105" w:type="dxa"/>
              <w:right w:w="105" w:type="dxa"/>
            </w:tcMar>
            <w:vAlign w:val="center"/>
          </w:tcPr>
          <w:p w14:paraId="4F81325E" w14:textId="04223E52" w:rsidR="39B351CB" w:rsidRDefault="39B351CB" w:rsidP="00863EA5">
            <w:pPr>
              <w:pStyle w:val="Tabletext"/>
              <w:jc w:val="center"/>
              <w:rPr>
                <w:rFonts w:eastAsia="Calibri"/>
                <w:color w:val="000000" w:themeColor="text1"/>
              </w:rPr>
            </w:pPr>
            <w:r w:rsidRPr="39B351CB">
              <w:rPr>
                <w:rFonts w:eastAsia="Calibri"/>
                <w:color w:val="000000" w:themeColor="text1"/>
              </w:rPr>
              <w:t>10 220</w:t>
            </w:r>
          </w:p>
        </w:tc>
        <w:tc>
          <w:tcPr>
            <w:tcW w:w="1125" w:type="dxa"/>
            <w:tcMar>
              <w:left w:w="105" w:type="dxa"/>
              <w:right w:w="105" w:type="dxa"/>
            </w:tcMar>
            <w:vAlign w:val="bottom"/>
          </w:tcPr>
          <w:p w14:paraId="4C709397" w14:textId="3C5974D8" w:rsidR="39B351CB" w:rsidRDefault="002B465E" w:rsidP="00863EA5">
            <w:pPr>
              <w:pStyle w:val="Tabletext"/>
              <w:jc w:val="center"/>
              <w:rPr>
                <w:rFonts w:eastAsia="Calibri"/>
                <w:color w:val="000000" w:themeColor="text1"/>
              </w:rPr>
            </w:pPr>
            <w:r>
              <w:rPr>
                <w:rFonts w:eastAsia="Calibri"/>
                <w:color w:val="000000" w:themeColor="text1"/>
              </w:rPr>
              <w:t>TBD</w:t>
            </w:r>
          </w:p>
        </w:tc>
        <w:tc>
          <w:tcPr>
            <w:tcW w:w="1830" w:type="dxa"/>
            <w:tcMar>
              <w:left w:w="105" w:type="dxa"/>
              <w:right w:w="105" w:type="dxa"/>
            </w:tcMar>
            <w:vAlign w:val="bottom"/>
          </w:tcPr>
          <w:p w14:paraId="0A131B2D" w14:textId="6D1B54C6" w:rsidR="39B351CB" w:rsidRDefault="39B351CB" w:rsidP="00863EA5">
            <w:pPr>
              <w:pStyle w:val="Tabletext"/>
              <w:jc w:val="center"/>
              <w:rPr>
                <w:rFonts w:eastAsia="Calibri"/>
                <w:color w:val="000000" w:themeColor="text1"/>
              </w:rPr>
            </w:pPr>
            <w:r w:rsidRPr="39B351CB">
              <w:rPr>
                <w:rFonts w:eastAsia="Calibri"/>
                <w:color w:val="000000" w:themeColor="text1"/>
              </w:rPr>
              <w:t>14 099</w:t>
            </w:r>
          </w:p>
        </w:tc>
      </w:tr>
      <w:tr w:rsidR="39B351CB" w14:paraId="396347E2" w14:textId="77777777" w:rsidTr="00473358">
        <w:trPr>
          <w:cnfStyle w:val="000000100000" w:firstRow="0" w:lastRow="0" w:firstColumn="0" w:lastColumn="0" w:oddVBand="0" w:evenVBand="0" w:oddHBand="1" w:evenHBand="0" w:firstRowFirstColumn="0" w:firstRowLastColumn="0" w:lastRowFirstColumn="0" w:lastRowLastColumn="0"/>
          <w:cantSplit/>
          <w:jc w:val="center"/>
        </w:trPr>
        <w:tc>
          <w:tcPr>
            <w:tcW w:w="990" w:type="dxa"/>
            <w:vMerge/>
            <w:vAlign w:val="center"/>
          </w:tcPr>
          <w:p w14:paraId="54F3468E" w14:textId="77777777" w:rsidR="00553BD4" w:rsidRDefault="00553BD4" w:rsidP="00473358">
            <w:pPr>
              <w:pStyle w:val="Tabletext"/>
            </w:pPr>
          </w:p>
        </w:tc>
        <w:tc>
          <w:tcPr>
            <w:tcW w:w="705" w:type="dxa"/>
            <w:vMerge/>
            <w:vAlign w:val="center"/>
          </w:tcPr>
          <w:p w14:paraId="73F09FC9" w14:textId="77777777" w:rsidR="00553BD4" w:rsidRDefault="00553BD4" w:rsidP="00473358">
            <w:pPr>
              <w:pStyle w:val="Tabletext"/>
              <w:jc w:val="center"/>
            </w:pPr>
          </w:p>
        </w:tc>
        <w:tc>
          <w:tcPr>
            <w:tcW w:w="3105" w:type="dxa"/>
            <w:vMerge/>
            <w:vAlign w:val="center"/>
          </w:tcPr>
          <w:p w14:paraId="0C63F6C2" w14:textId="77777777" w:rsidR="00553BD4" w:rsidRDefault="00553BD4" w:rsidP="00473358">
            <w:pPr>
              <w:pStyle w:val="Tabletext"/>
            </w:pPr>
          </w:p>
        </w:tc>
        <w:tc>
          <w:tcPr>
            <w:tcW w:w="1410" w:type="dxa"/>
            <w:tcMar>
              <w:left w:w="105" w:type="dxa"/>
              <w:right w:w="105" w:type="dxa"/>
            </w:tcMar>
            <w:vAlign w:val="bottom"/>
          </w:tcPr>
          <w:p w14:paraId="6F666B3F" w14:textId="7A629F37" w:rsidR="39B351CB" w:rsidRDefault="39B351CB" w:rsidP="00473358">
            <w:pPr>
              <w:pStyle w:val="Tabletext"/>
              <w:rPr>
                <w:rFonts w:eastAsia="Calibri"/>
                <w:color w:val="000000" w:themeColor="text1"/>
              </w:rPr>
            </w:pPr>
            <w:r w:rsidRPr="39B351CB">
              <w:rPr>
                <w:rFonts w:eastAsia="Calibri"/>
                <w:color w:val="000000" w:themeColor="text1"/>
              </w:rPr>
              <w:t>Technical</w:t>
            </w:r>
          </w:p>
        </w:tc>
        <w:tc>
          <w:tcPr>
            <w:tcW w:w="990" w:type="dxa"/>
            <w:tcMar>
              <w:left w:w="105" w:type="dxa"/>
              <w:right w:w="105" w:type="dxa"/>
            </w:tcMar>
            <w:vAlign w:val="center"/>
          </w:tcPr>
          <w:p w14:paraId="6903EAB0" w14:textId="1907904B" w:rsidR="39B351CB" w:rsidRDefault="39B351CB" w:rsidP="00863EA5">
            <w:pPr>
              <w:pStyle w:val="Tabletext"/>
              <w:jc w:val="center"/>
              <w:rPr>
                <w:rFonts w:eastAsia="Calibri"/>
                <w:color w:val="000000" w:themeColor="text1"/>
              </w:rPr>
            </w:pPr>
            <w:r w:rsidRPr="39B351CB">
              <w:rPr>
                <w:rFonts w:eastAsia="Calibri"/>
                <w:color w:val="000000" w:themeColor="text1"/>
              </w:rPr>
              <w:t>120 000</w:t>
            </w:r>
          </w:p>
        </w:tc>
        <w:tc>
          <w:tcPr>
            <w:tcW w:w="1125" w:type="dxa"/>
            <w:tcMar>
              <w:left w:w="105" w:type="dxa"/>
              <w:right w:w="105" w:type="dxa"/>
            </w:tcMar>
            <w:vAlign w:val="bottom"/>
          </w:tcPr>
          <w:p w14:paraId="0581B21E" w14:textId="48BF9699" w:rsidR="39B351CB" w:rsidRDefault="39B351CB" w:rsidP="00863EA5">
            <w:pPr>
              <w:pStyle w:val="Tabletext"/>
              <w:jc w:val="center"/>
              <w:rPr>
                <w:rFonts w:eastAsia="Calibri"/>
                <w:color w:val="000000" w:themeColor="text1"/>
              </w:rPr>
            </w:pPr>
            <w:r w:rsidRPr="39B351CB">
              <w:rPr>
                <w:rFonts w:eastAsia="Calibri"/>
                <w:color w:val="000000" w:themeColor="text1"/>
              </w:rPr>
              <w:t>178 400</w:t>
            </w:r>
          </w:p>
        </w:tc>
        <w:tc>
          <w:tcPr>
            <w:tcW w:w="1830" w:type="dxa"/>
            <w:tcMar>
              <w:left w:w="105" w:type="dxa"/>
              <w:right w:w="105" w:type="dxa"/>
            </w:tcMar>
            <w:vAlign w:val="bottom"/>
          </w:tcPr>
          <w:p w14:paraId="1FABB6DB" w14:textId="4B2F8468" w:rsidR="39B351CB" w:rsidRDefault="002B465E" w:rsidP="00863EA5">
            <w:pPr>
              <w:pStyle w:val="Tabletext"/>
              <w:jc w:val="center"/>
              <w:rPr>
                <w:rFonts w:eastAsia="Calibri"/>
                <w:color w:val="000000" w:themeColor="text1"/>
              </w:rPr>
            </w:pPr>
            <w:r>
              <w:rPr>
                <w:rFonts w:eastAsia="Calibri"/>
                <w:color w:val="000000" w:themeColor="text1"/>
              </w:rPr>
              <w:t>TBD</w:t>
            </w:r>
          </w:p>
        </w:tc>
      </w:tr>
      <w:tr w:rsidR="39B351CB" w14:paraId="3E565351" w14:textId="77777777" w:rsidTr="00473358">
        <w:trPr>
          <w:cantSplit/>
          <w:jc w:val="center"/>
        </w:trPr>
        <w:tc>
          <w:tcPr>
            <w:tcW w:w="990" w:type="dxa"/>
            <w:vMerge/>
            <w:vAlign w:val="center"/>
          </w:tcPr>
          <w:p w14:paraId="5EF08657" w14:textId="77777777" w:rsidR="00553BD4" w:rsidRDefault="00553BD4" w:rsidP="00473358">
            <w:pPr>
              <w:pStyle w:val="Tabletext"/>
            </w:pPr>
          </w:p>
        </w:tc>
        <w:tc>
          <w:tcPr>
            <w:tcW w:w="705" w:type="dxa"/>
            <w:vMerge/>
            <w:vAlign w:val="center"/>
          </w:tcPr>
          <w:p w14:paraId="043EABAC" w14:textId="77777777" w:rsidR="00553BD4" w:rsidRDefault="00553BD4" w:rsidP="00473358">
            <w:pPr>
              <w:pStyle w:val="Tabletext"/>
              <w:jc w:val="center"/>
            </w:pPr>
          </w:p>
        </w:tc>
        <w:tc>
          <w:tcPr>
            <w:tcW w:w="3105" w:type="dxa"/>
            <w:vMerge/>
            <w:vAlign w:val="center"/>
          </w:tcPr>
          <w:p w14:paraId="4BE15A9F" w14:textId="77777777" w:rsidR="00553BD4" w:rsidRDefault="00553BD4" w:rsidP="00473358">
            <w:pPr>
              <w:pStyle w:val="Tabletext"/>
            </w:pPr>
          </w:p>
        </w:tc>
        <w:tc>
          <w:tcPr>
            <w:tcW w:w="1410" w:type="dxa"/>
            <w:tcMar>
              <w:left w:w="105" w:type="dxa"/>
              <w:right w:w="105" w:type="dxa"/>
            </w:tcMar>
            <w:vAlign w:val="bottom"/>
          </w:tcPr>
          <w:p w14:paraId="58CE5B1A" w14:textId="0FB3E23F" w:rsidR="39B351CB" w:rsidRPr="00863EA5" w:rsidRDefault="39B351CB" w:rsidP="00473358">
            <w:pPr>
              <w:pStyle w:val="Tabletext"/>
              <w:rPr>
                <w:rFonts w:eastAsia="Calibri"/>
                <w:b/>
                <w:bCs/>
                <w:color w:val="000000" w:themeColor="text1"/>
              </w:rPr>
            </w:pPr>
            <w:r w:rsidRPr="00863EA5">
              <w:rPr>
                <w:rFonts w:eastAsia="Calibri"/>
                <w:b/>
                <w:bCs/>
                <w:color w:val="000000" w:themeColor="text1"/>
              </w:rPr>
              <w:t>Total:</w:t>
            </w:r>
          </w:p>
        </w:tc>
        <w:tc>
          <w:tcPr>
            <w:tcW w:w="990" w:type="dxa"/>
            <w:tcMar>
              <w:left w:w="105" w:type="dxa"/>
              <w:right w:w="105" w:type="dxa"/>
            </w:tcMar>
            <w:vAlign w:val="center"/>
          </w:tcPr>
          <w:p w14:paraId="193A1C0B" w14:textId="0CBF04A4" w:rsidR="39B351CB" w:rsidRPr="00863EA5" w:rsidRDefault="00E75750" w:rsidP="00863EA5">
            <w:pPr>
              <w:pStyle w:val="Tabletext"/>
              <w:jc w:val="center"/>
              <w:rPr>
                <w:rFonts w:eastAsia="Calibri"/>
                <w:b/>
                <w:bCs/>
                <w:color w:val="000000" w:themeColor="text1"/>
              </w:rPr>
            </w:pPr>
            <w:r w:rsidRPr="00863EA5">
              <w:rPr>
                <w:rFonts w:eastAsia="Calibri"/>
                <w:b/>
                <w:bCs/>
                <w:color w:val="000000" w:themeColor="text1"/>
              </w:rPr>
              <w:t>1</w:t>
            </w:r>
            <w:r w:rsidR="0095520A" w:rsidRPr="00863EA5">
              <w:rPr>
                <w:rFonts w:eastAsia="Calibri"/>
                <w:b/>
                <w:bCs/>
                <w:color w:val="000000" w:themeColor="text1"/>
              </w:rPr>
              <w:t>5</w:t>
            </w:r>
            <w:r w:rsidR="00254750" w:rsidRPr="00863EA5">
              <w:rPr>
                <w:rFonts w:eastAsia="Calibri"/>
                <w:b/>
                <w:bCs/>
                <w:color w:val="000000" w:themeColor="text1"/>
              </w:rPr>
              <w:t xml:space="preserve">3 </w:t>
            </w:r>
            <w:r w:rsidR="006D264B" w:rsidRPr="00863EA5">
              <w:rPr>
                <w:rFonts w:eastAsia="Calibri"/>
                <w:b/>
                <w:bCs/>
                <w:color w:val="000000" w:themeColor="text1"/>
              </w:rPr>
              <w:t>940</w:t>
            </w:r>
          </w:p>
        </w:tc>
        <w:tc>
          <w:tcPr>
            <w:tcW w:w="1125" w:type="dxa"/>
            <w:tcMar>
              <w:left w:w="105" w:type="dxa"/>
              <w:right w:w="105" w:type="dxa"/>
            </w:tcMar>
            <w:vAlign w:val="bottom"/>
          </w:tcPr>
          <w:p w14:paraId="089B57DA" w14:textId="799E55E6" w:rsidR="39B351CB" w:rsidRPr="00863EA5" w:rsidRDefault="002B465E" w:rsidP="00863EA5">
            <w:pPr>
              <w:pStyle w:val="Tabletext"/>
              <w:jc w:val="center"/>
              <w:rPr>
                <w:rFonts w:eastAsia="Calibri"/>
                <w:b/>
                <w:bCs/>
                <w:color w:val="000000" w:themeColor="text1"/>
              </w:rPr>
            </w:pPr>
            <w:r w:rsidRPr="00863EA5">
              <w:rPr>
                <w:rFonts w:eastAsia="Calibri"/>
                <w:b/>
                <w:bCs/>
                <w:color w:val="000000" w:themeColor="text1"/>
              </w:rPr>
              <w:t>TBD</w:t>
            </w:r>
          </w:p>
        </w:tc>
        <w:tc>
          <w:tcPr>
            <w:tcW w:w="1830" w:type="dxa"/>
            <w:tcMar>
              <w:left w:w="105" w:type="dxa"/>
              <w:right w:w="105" w:type="dxa"/>
            </w:tcMar>
            <w:vAlign w:val="bottom"/>
          </w:tcPr>
          <w:p w14:paraId="2CEB89AD" w14:textId="6F170E31" w:rsidR="39B351CB" w:rsidRPr="00863EA5" w:rsidRDefault="0002046E" w:rsidP="00863EA5">
            <w:pPr>
              <w:pStyle w:val="Tabletext"/>
              <w:jc w:val="center"/>
              <w:rPr>
                <w:rFonts w:eastAsia="Calibri"/>
                <w:b/>
                <w:bCs/>
                <w:color w:val="000000" w:themeColor="text1"/>
              </w:rPr>
            </w:pPr>
            <w:r w:rsidRPr="00863EA5">
              <w:rPr>
                <w:rFonts w:eastAsia="Calibri"/>
                <w:b/>
                <w:bCs/>
                <w:color w:val="000000" w:themeColor="text1"/>
              </w:rPr>
              <w:t>TBD</w:t>
            </w:r>
          </w:p>
        </w:tc>
      </w:tr>
      <w:tr w:rsidR="39B351CB" w14:paraId="71991DED" w14:textId="77777777" w:rsidTr="00473358">
        <w:trPr>
          <w:cnfStyle w:val="000000100000" w:firstRow="0" w:lastRow="0" w:firstColumn="0" w:lastColumn="0" w:oddVBand="0" w:evenVBand="0" w:oddHBand="1" w:evenHBand="0" w:firstRowFirstColumn="0" w:firstRowLastColumn="0" w:lastRowFirstColumn="0" w:lastRowLastColumn="0"/>
          <w:cantSplit/>
          <w:jc w:val="center"/>
        </w:trPr>
        <w:tc>
          <w:tcPr>
            <w:tcW w:w="990" w:type="dxa"/>
            <w:vMerge w:val="restart"/>
            <w:tcMar>
              <w:left w:w="105" w:type="dxa"/>
              <w:right w:w="105" w:type="dxa"/>
            </w:tcMar>
            <w:vAlign w:val="center"/>
          </w:tcPr>
          <w:p w14:paraId="3ADB3BCE" w14:textId="1F86D195" w:rsidR="39B351CB" w:rsidRDefault="39B351CB" w:rsidP="00473358">
            <w:pPr>
              <w:pStyle w:val="Tabletext"/>
              <w:rPr>
                <w:rFonts w:eastAsia="Calibri"/>
              </w:rPr>
            </w:pPr>
            <w:r w:rsidRPr="39B351CB">
              <w:rPr>
                <w:rFonts w:eastAsia="Calibri"/>
              </w:rPr>
              <w:lastRenderedPageBreak/>
              <w:t>BDT</w:t>
            </w:r>
            <w:r w:rsidR="00B2717E">
              <w:rPr>
                <w:rFonts w:eastAsia="Calibri"/>
              </w:rPr>
              <w:t xml:space="preserve"> </w:t>
            </w:r>
            <w:r w:rsidRPr="39B351CB">
              <w:rPr>
                <w:rFonts w:eastAsia="Calibri"/>
              </w:rPr>
              <w:t>SG</w:t>
            </w:r>
            <w:r w:rsidR="00B2717E">
              <w:rPr>
                <w:rFonts w:eastAsia="Calibri"/>
              </w:rPr>
              <w:t>s</w:t>
            </w:r>
            <w:r w:rsidRPr="39B351CB">
              <w:rPr>
                <w:rFonts w:eastAsia="Calibri"/>
              </w:rPr>
              <w:t>1&amp;2</w:t>
            </w:r>
          </w:p>
        </w:tc>
        <w:tc>
          <w:tcPr>
            <w:tcW w:w="705" w:type="dxa"/>
            <w:vMerge w:val="restart"/>
            <w:tcMar>
              <w:left w:w="105" w:type="dxa"/>
              <w:right w:w="105" w:type="dxa"/>
            </w:tcMar>
            <w:vAlign w:val="center"/>
          </w:tcPr>
          <w:p w14:paraId="642565B6" w14:textId="622736EF" w:rsidR="39B351CB" w:rsidRDefault="39B351CB" w:rsidP="00473358">
            <w:pPr>
              <w:pStyle w:val="Tabletext"/>
              <w:jc w:val="center"/>
              <w:rPr>
                <w:rFonts w:eastAsia="Calibri"/>
              </w:rPr>
            </w:pPr>
            <w:r w:rsidRPr="39B351CB">
              <w:rPr>
                <w:rFonts w:eastAsia="Calibri"/>
              </w:rPr>
              <w:t>12</w:t>
            </w:r>
          </w:p>
        </w:tc>
        <w:tc>
          <w:tcPr>
            <w:tcW w:w="3105" w:type="dxa"/>
            <w:vMerge w:val="restart"/>
            <w:tcMar>
              <w:left w:w="105" w:type="dxa"/>
              <w:right w:w="105" w:type="dxa"/>
            </w:tcMar>
            <w:vAlign w:val="center"/>
          </w:tcPr>
          <w:p w14:paraId="233C99CC" w14:textId="0A8DE15C" w:rsidR="39B351CB" w:rsidRDefault="39B351CB" w:rsidP="00473358">
            <w:pPr>
              <w:pStyle w:val="Tabletext"/>
              <w:rPr>
                <w:rFonts w:eastAsia="Calibri"/>
                <w:color w:val="000000" w:themeColor="text1"/>
              </w:rPr>
            </w:pPr>
            <w:r w:rsidRPr="39B351CB">
              <w:rPr>
                <w:rFonts w:eastAsia="Calibri"/>
                <w:color w:val="000000" w:themeColor="text1"/>
              </w:rPr>
              <w:t>1</w:t>
            </w:r>
            <w:r w:rsidR="00B2717E">
              <w:rPr>
                <w:rFonts w:eastAsia="Calibri" w:cs="Calibri"/>
              </w:rPr>
              <w:t>×</w:t>
            </w:r>
            <w:r w:rsidRPr="39B351CB">
              <w:rPr>
                <w:rFonts w:eastAsia="Calibri"/>
                <w:color w:val="000000" w:themeColor="text1"/>
              </w:rPr>
              <w:t>250, 1</w:t>
            </w:r>
            <w:r w:rsidR="00B2717E">
              <w:rPr>
                <w:rFonts w:eastAsia="Calibri" w:cs="Calibri"/>
              </w:rPr>
              <w:t>×</w:t>
            </w:r>
            <w:r w:rsidRPr="39B351CB">
              <w:rPr>
                <w:rFonts w:eastAsia="Calibri"/>
                <w:color w:val="000000" w:themeColor="text1"/>
              </w:rPr>
              <w:t>30</w:t>
            </w:r>
          </w:p>
        </w:tc>
        <w:tc>
          <w:tcPr>
            <w:tcW w:w="1410" w:type="dxa"/>
            <w:tcMar>
              <w:left w:w="105" w:type="dxa"/>
              <w:right w:w="105" w:type="dxa"/>
            </w:tcMar>
            <w:vAlign w:val="center"/>
          </w:tcPr>
          <w:p w14:paraId="257B211A" w14:textId="36C98AF0" w:rsidR="39B351CB" w:rsidRDefault="39B351CB" w:rsidP="00473358">
            <w:pPr>
              <w:pStyle w:val="Tabletext"/>
              <w:rPr>
                <w:rFonts w:eastAsia="Calibri"/>
              </w:rPr>
            </w:pPr>
            <w:r w:rsidRPr="39B351CB">
              <w:rPr>
                <w:rFonts w:eastAsia="Calibri"/>
              </w:rPr>
              <w:t>Rental</w:t>
            </w:r>
          </w:p>
        </w:tc>
        <w:tc>
          <w:tcPr>
            <w:tcW w:w="990" w:type="dxa"/>
            <w:tcMar>
              <w:left w:w="105" w:type="dxa"/>
              <w:right w:w="105" w:type="dxa"/>
            </w:tcMar>
            <w:vAlign w:val="center"/>
          </w:tcPr>
          <w:p w14:paraId="45AAB64A" w14:textId="694740A4" w:rsidR="39B351CB" w:rsidRDefault="007D227B" w:rsidP="00863EA5">
            <w:pPr>
              <w:pStyle w:val="Tabletext"/>
              <w:jc w:val="center"/>
              <w:rPr>
                <w:rFonts w:eastAsia="Calibri"/>
                <w:color w:val="000000" w:themeColor="text1"/>
              </w:rPr>
            </w:pPr>
            <w:r>
              <w:rPr>
                <w:rFonts w:eastAsia="Calibri"/>
                <w:color w:val="000000" w:themeColor="text1"/>
              </w:rPr>
              <w:t>20 120</w:t>
            </w:r>
          </w:p>
        </w:tc>
        <w:tc>
          <w:tcPr>
            <w:tcW w:w="1125" w:type="dxa"/>
            <w:tcMar>
              <w:left w:w="105" w:type="dxa"/>
              <w:right w:w="105" w:type="dxa"/>
            </w:tcMar>
            <w:vAlign w:val="bottom"/>
          </w:tcPr>
          <w:p w14:paraId="122195BE" w14:textId="67202145" w:rsidR="39B351CB" w:rsidRDefault="39B351CB" w:rsidP="00863EA5">
            <w:pPr>
              <w:pStyle w:val="Tabletext"/>
              <w:jc w:val="center"/>
              <w:rPr>
                <w:rFonts w:eastAsia="Calibri"/>
                <w:color w:val="000000" w:themeColor="text1"/>
              </w:rPr>
            </w:pPr>
            <w:r w:rsidRPr="58304311">
              <w:rPr>
                <w:rFonts w:eastAsia="Calibri"/>
                <w:color w:val="000000" w:themeColor="text1"/>
              </w:rPr>
              <w:t>14</w:t>
            </w:r>
            <w:r w:rsidRPr="7ED8C522">
              <w:rPr>
                <w:rFonts w:eastAsia="Calibri"/>
                <w:color w:val="000000" w:themeColor="text1"/>
              </w:rPr>
              <w:t xml:space="preserve"> 400</w:t>
            </w:r>
          </w:p>
        </w:tc>
        <w:tc>
          <w:tcPr>
            <w:tcW w:w="1830" w:type="dxa"/>
            <w:tcMar>
              <w:left w:w="105" w:type="dxa"/>
              <w:right w:w="105" w:type="dxa"/>
            </w:tcMar>
            <w:vAlign w:val="bottom"/>
          </w:tcPr>
          <w:p w14:paraId="3CE918AC" w14:textId="59A64889" w:rsidR="39B351CB" w:rsidRDefault="39B351CB" w:rsidP="00863EA5">
            <w:pPr>
              <w:pStyle w:val="Tabletext"/>
              <w:jc w:val="center"/>
              <w:rPr>
                <w:rFonts w:eastAsia="Calibri"/>
                <w:color w:val="000000" w:themeColor="text1"/>
              </w:rPr>
            </w:pPr>
            <w:r w:rsidRPr="39B351CB">
              <w:rPr>
                <w:rFonts w:eastAsia="Calibri"/>
                <w:color w:val="000000" w:themeColor="text1"/>
              </w:rPr>
              <w:t>39 600</w:t>
            </w:r>
          </w:p>
        </w:tc>
      </w:tr>
      <w:tr w:rsidR="39B351CB" w14:paraId="22937BDB" w14:textId="77777777" w:rsidTr="00473358">
        <w:trPr>
          <w:cantSplit/>
          <w:jc w:val="center"/>
        </w:trPr>
        <w:tc>
          <w:tcPr>
            <w:tcW w:w="990" w:type="dxa"/>
            <w:vMerge/>
            <w:vAlign w:val="center"/>
          </w:tcPr>
          <w:p w14:paraId="1BA0F2B8" w14:textId="77777777" w:rsidR="00553BD4" w:rsidRDefault="00553BD4" w:rsidP="00473358">
            <w:pPr>
              <w:pStyle w:val="Tabletext"/>
            </w:pPr>
          </w:p>
        </w:tc>
        <w:tc>
          <w:tcPr>
            <w:tcW w:w="705" w:type="dxa"/>
            <w:vMerge/>
            <w:vAlign w:val="center"/>
          </w:tcPr>
          <w:p w14:paraId="58E5CC7F" w14:textId="77777777" w:rsidR="00553BD4" w:rsidRDefault="00553BD4" w:rsidP="00473358">
            <w:pPr>
              <w:pStyle w:val="Tabletext"/>
              <w:jc w:val="center"/>
            </w:pPr>
          </w:p>
        </w:tc>
        <w:tc>
          <w:tcPr>
            <w:tcW w:w="3105" w:type="dxa"/>
            <w:vMerge/>
            <w:vAlign w:val="center"/>
          </w:tcPr>
          <w:p w14:paraId="445E8F1F" w14:textId="77777777" w:rsidR="00553BD4" w:rsidRDefault="00553BD4" w:rsidP="00473358">
            <w:pPr>
              <w:pStyle w:val="Tabletext"/>
            </w:pPr>
          </w:p>
        </w:tc>
        <w:tc>
          <w:tcPr>
            <w:tcW w:w="1410" w:type="dxa"/>
            <w:tcMar>
              <w:left w:w="105" w:type="dxa"/>
              <w:right w:w="105" w:type="dxa"/>
            </w:tcMar>
            <w:vAlign w:val="bottom"/>
          </w:tcPr>
          <w:p w14:paraId="04867583" w14:textId="21D3DB78" w:rsidR="39B351CB" w:rsidRDefault="39B351CB" w:rsidP="00473358">
            <w:pPr>
              <w:pStyle w:val="Tabletext"/>
              <w:rPr>
                <w:rFonts w:eastAsia="Calibri"/>
                <w:color w:val="000000" w:themeColor="text1"/>
              </w:rPr>
            </w:pPr>
            <w:r w:rsidRPr="39B351CB">
              <w:rPr>
                <w:rFonts w:eastAsia="Calibri"/>
                <w:color w:val="000000" w:themeColor="text1"/>
              </w:rPr>
              <w:t>Security</w:t>
            </w:r>
          </w:p>
        </w:tc>
        <w:tc>
          <w:tcPr>
            <w:tcW w:w="990" w:type="dxa"/>
            <w:tcMar>
              <w:left w:w="105" w:type="dxa"/>
              <w:right w:w="105" w:type="dxa"/>
            </w:tcMar>
            <w:vAlign w:val="center"/>
          </w:tcPr>
          <w:p w14:paraId="6A99A03B" w14:textId="42E92030" w:rsidR="39B351CB" w:rsidRDefault="39B351CB" w:rsidP="00863EA5">
            <w:pPr>
              <w:pStyle w:val="Tabletext"/>
              <w:jc w:val="center"/>
              <w:rPr>
                <w:rFonts w:eastAsia="Calibri"/>
                <w:color w:val="000000" w:themeColor="text1"/>
              </w:rPr>
            </w:pPr>
            <w:r w:rsidRPr="39B351CB">
              <w:rPr>
                <w:rFonts w:eastAsia="Calibri"/>
                <w:color w:val="000000" w:themeColor="text1"/>
              </w:rPr>
              <w:t>10 220</w:t>
            </w:r>
          </w:p>
        </w:tc>
        <w:tc>
          <w:tcPr>
            <w:tcW w:w="1125" w:type="dxa"/>
            <w:tcMar>
              <w:left w:w="105" w:type="dxa"/>
              <w:right w:w="105" w:type="dxa"/>
            </w:tcMar>
            <w:vAlign w:val="bottom"/>
          </w:tcPr>
          <w:p w14:paraId="5DAAA7DB" w14:textId="00DE8AB7" w:rsidR="39B351CB" w:rsidRDefault="002B465E" w:rsidP="00863EA5">
            <w:pPr>
              <w:pStyle w:val="Tabletext"/>
              <w:jc w:val="center"/>
              <w:rPr>
                <w:rFonts w:eastAsia="Calibri"/>
                <w:color w:val="000000" w:themeColor="text1"/>
              </w:rPr>
            </w:pPr>
            <w:r>
              <w:rPr>
                <w:rFonts w:eastAsia="Calibri"/>
                <w:color w:val="000000" w:themeColor="text1"/>
              </w:rPr>
              <w:t>TBD</w:t>
            </w:r>
          </w:p>
        </w:tc>
        <w:tc>
          <w:tcPr>
            <w:tcW w:w="1830" w:type="dxa"/>
            <w:tcMar>
              <w:left w:w="105" w:type="dxa"/>
              <w:right w:w="105" w:type="dxa"/>
            </w:tcMar>
            <w:vAlign w:val="bottom"/>
          </w:tcPr>
          <w:p w14:paraId="2B99CA3F" w14:textId="36B8B272" w:rsidR="39B351CB" w:rsidRDefault="39B351CB" w:rsidP="00863EA5">
            <w:pPr>
              <w:pStyle w:val="Tabletext"/>
              <w:jc w:val="center"/>
              <w:rPr>
                <w:rFonts w:eastAsia="Calibri"/>
                <w:color w:val="000000" w:themeColor="text1"/>
              </w:rPr>
            </w:pPr>
            <w:r w:rsidRPr="39B351CB">
              <w:rPr>
                <w:rFonts w:eastAsia="Calibri"/>
                <w:color w:val="000000" w:themeColor="text1"/>
              </w:rPr>
              <w:t>14 099</w:t>
            </w:r>
          </w:p>
        </w:tc>
      </w:tr>
      <w:tr w:rsidR="39B351CB" w14:paraId="550C560C" w14:textId="77777777" w:rsidTr="00473358">
        <w:trPr>
          <w:cnfStyle w:val="000000100000" w:firstRow="0" w:lastRow="0" w:firstColumn="0" w:lastColumn="0" w:oddVBand="0" w:evenVBand="0" w:oddHBand="1" w:evenHBand="0" w:firstRowFirstColumn="0" w:firstRowLastColumn="0" w:lastRowFirstColumn="0" w:lastRowLastColumn="0"/>
          <w:cantSplit/>
          <w:jc w:val="center"/>
        </w:trPr>
        <w:tc>
          <w:tcPr>
            <w:tcW w:w="990" w:type="dxa"/>
            <w:vMerge/>
            <w:vAlign w:val="center"/>
          </w:tcPr>
          <w:p w14:paraId="37430DED" w14:textId="77777777" w:rsidR="00553BD4" w:rsidRDefault="00553BD4" w:rsidP="00473358">
            <w:pPr>
              <w:pStyle w:val="Tabletext"/>
            </w:pPr>
          </w:p>
        </w:tc>
        <w:tc>
          <w:tcPr>
            <w:tcW w:w="705" w:type="dxa"/>
            <w:vMerge/>
            <w:vAlign w:val="center"/>
          </w:tcPr>
          <w:p w14:paraId="4FB360EA" w14:textId="77777777" w:rsidR="00553BD4" w:rsidRDefault="00553BD4" w:rsidP="00473358">
            <w:pPr>
              <w:pStyle w:val="Tabletext"/>
              <w:jc w:val="center"/>
            </w:pPr>
          </w:p>
        </w:tc>
        <w:tc>
          <w:tcPr>
            <w:tcW w:w="3105" w:type="dxa"/>
            <w:vMerge/>
            <w:vAlign w:val="center"/>
          </w:tcPr>
          <w:p w14:paraId="3A014343" w14:textId="77777777" w:rsidR="00553BD4" w:rsidRDefault="00553BD4" w:rsidP="00473358">
            <w:pPr>
              <w:pStyle w:val="Tabletext"/>
            </w:pPr>
          </w:p>
        </w:tc>
        <w:tc>
          <w:tcPr>
            <w:tcW w:w="1410" w:type="dxa"/>
            <w:tcMar>
              <w:left w:w="105" w:type="dxa"/>
              <w:right w:w="105" w:type="dxa"/>
            </w:tcMar>
            <w:vAlign w:val="bottom"/>
          </w:tcPr>
          <w:p w14:paraId="46B9F0C9" w14:textId="34A81BE2" w:rsidR="39B351CB" w:rsidRDefault="39B351CB" w:rsidP="00473358">
            <w:pPr>
              <w:pStyle w:val="Tabletext"/>
              <w:rPr>
                <w:rFonts w:eastAsia="Calibri"/>
                <w:color w:val="000000" w:themeColor="text1"/>
              </w:rPr>
            </w:pPr>
            <w:r w:rsidRPr="39B351CB">
              <w:rPr>
                <w:rFonts w:eastAsia="Calibri"/>
                <w:color w:val="000000" w:themeColor="text1"/>
              </w:rPr>
              <w:t>Technical</w:t>
            </w:r>
          </w:p>
        </w:tc>
        <w:tc>
          <w:tcPr>
            <w:tcW w:w="990" w:type="dxa"/>
            <w:tcMar>
              <w:left w:w="105" w:type="dxa"/>
              <w:right w:w="105" w:type="dxa"/>
            </w:tcMar>
            <w:vAlign w:val="center"/>
          </w:tcPr>
          <w:p w14:paraId="78D86CDC" w14:textId="1738CB22" w:rsidR="39B351CB" w:rsidRDefault="39B351CB" w:rsidP="00863EA5">
            <w:pPr>
              <w:pStyle w:val="Tabletext"/>
              <w:jc w:val="center"/>
              <w:rPr>
                <w:rFonts w:eastAsia="Calibri"/>
                <w:color w:val="000000" w:themeColor="text1"/>
              </w:rPr>
            </w:pPr>
            <w:r w:rsidRPr="39B351CB">
              <w:rPr>
                <w:rFonts w:eastAsia="Calibri"/>
                <w:color w:val="000000" w:themeColor="text1"/>
              </w:rPr>
              <w:t>30 000</w:t>
            </w:r>
          </w:p>
        </w:tc>
        <w:tc>
          <w:tcPr>
            <w:tcW w:w="1125" w:type="dxa"/>
            <w:tcMar>
              <w:left w:w="105" w:type="dxa"/>
              <w:right w:w="105" w:type="dxa"/>
            </w:tcMar>
            <w:vAlign w:val="bottom"/>
          </w:tcPr>
          <w:p w14:paraId="29434883" w14:textId="1EFD4BF9" w:rsidR="39B351CB" w:rsidRDefault="39B351CB" w:rsidP="00863EA5">
            <w:pPr>
              <w:pStyle w:val="Tabletext"/>
              <w:jc w:val="center"/>
              <w:rPr>
                <w:rFonts w:eastAsia="Calibri"/>
                <w:color w:val="000000" w:themeColor="text1"/>
              </w:rPr>
            </w:pPr>
            <w:r w:rsidRPr="39B351CB">
              <w:rPr>
                <w:rFonts w:eastAsia="Calibri"/>
                <w:color w:val="000000" w:themeColor="text1"/>
              </w:rPr>
              <w:t>44 000</w:t>
            </w:r>
          </w:p>
        </w:tc>
        <w:tc>
          <w:tcPr>
            <w:tcW w:w="1830" w:type="dxa"/>
            <w:tcMar>
              <w:left w:w="105" w:type="dxa"/>
              <w:right w:w="105" w:type="dxa"/>
            </w:tcMar>
            <w:vAlign w:val="bottom"/>
          </w:tcPr>
          <w:p w14:paraId="3B13E795" w14:textId="65F08C3B" w:rsidR="39B351CB" w:rsidRDefault="002B465E" w:rsidP="00863EA5">
            <w:pPr>
              <w:pStyle w:val="Tabletext"/>
              <w:jc w:val="center"/>
              <w:rPr>
                <w:rFonts w:eastAsia="Calibri"/>
                <w:color w:val="000000" w:themeColor="text1"/>
              </w:rPr>
            </w:pPr>
            <w:r>
              <w:rPr>
                <w:rFonts w:eastAsia="Calibri"/>
                <w:color w:val="000000" w:themeColor="text1"/>
              </w:rPr>
              <w:t>TBD</w:t>
            </w:r>
          </w:p>
        </w:tc>
      </w:tr>
      <w:tr w:rsidR="39B351CB" w14:paraId="0B98B4F8" w14:textId="77777777" w:rsidTr="00473358">
        <w:trPr>
          <w:cantSplit/>
          <w:jc w:val="center"/>
        </w:trPr>
        <w:tc>
          <w:tcPr>
            <w:tcW w:w="990" w:type="dxa"/>
            <w:vMerge/>
            <w:vAlign w:val="center"/>
          </w:tcPr>
          <w:p w14:paraId="279121F4" w14:textId="77777777" w:rsidR="00553BD4" w:rsidRDefault="00553BD4" w:rsidP="00473358">
            <w:pPr>
              <w:pStyle w:val="Tabletext"/>
            </w:pPr>
          </w:p>
        </w:tc>
        <w:tc>
          <w:tcPr>
            <w:tcW w:w="705" w:type="dxa"/>
            <w:vMerge/>
            <w:vAlign w:val="center"/>
          </w:tcPr>
          <w:p w14:paraId="3132A5B9" w14:textId="77777777" w:rsidR="00553BD4" w:rsidRDefault="00553BD4" w:rsidP="00473358">
            <w:pPr>
              <w:pStyle w:val="Tabletext"/>
              <w:jc w:val="center"/>
            </w:pPr>
          </w:p>
        </w:tc>
        <w:tc>
          <w:tcPr>
            <w:tcW w:w="3105" w:type="dxa"/>
            <w:vMerge/>
            <w:vAlign w:val="center"/>
          </w:tcPr>
          <w:p w14:paraId="0D597666" w14:textId="77777777" w:rsidR="00553BD4" w:rsidRDefault="00553BD4" w:rsidP="00473358">
            <w:pPr>
              <w:pStyle w:val="Tabletext"/>
            </w:pPr>
          </w:p>
        </w:tc>
        <w:tc>
          <w:tcPr>
            <w:tcW w:w="1410" w:type="dxa"/>
            <w:tcMar>
              <w:left w:w="105" w:type="dxa"/>
              <w:right w:w="105" w:type="dxa"/>
            </w:tcMar>
            <w:vAlign w:val="bottom"/>
          </w:tcPr>
          <w:p w14:paraId="7C161721" w14:textId="5CFB6B8C" w:rsidR="39B351CB" w:rsidRPr="00863EA5" w:rsidRDefault="39B351CB" w:rsidP="00473358">
            <w:pPr>
              <w:pStyle w:val="Tabletext"/>
              <w:rPr>
                <w:rFonts w:eastAsia="Calibri"/>
                <w:b/>
                <w:bCs/>
                <w:color w:val="000000" w:themeColor="text1"/>
              </w:rPr>
            </w:pPr>
            <w:r w:rsidRPr="00863EA5">
              <w:rPr>
                <w:rFonts w:eastAsia="Calibri"/>
                <w:b/>
                <w:bCs/>
                <w:color w:val="000000" w:themeColor="text1"/>
              </w:rPr>
              <w:t>Total:</w:t>
            </w:r>
          </w:p>
        </w:tc>
        <w:tc>
          <w:tcPr>
            <w:tcW w:w="990" w:type="dxa"/>
            <w:tcMar>
              <w:left w:w="105" w:type="dxa"/>
              <w:right w:w="105" w:type="dxa"/>
            </w:tcMar>
            <w:vAlign w:val="center"/>
          </w:tcPr>
          <w:p w14:paraId="0366FBCD" w14:textId="5B3580F4" w:rsidR="39B351CB" w:rsidRPr="00863EA5" w:rsidRDefault="008325FF" w:rsidP="00863EA5">
            <w:pPr>
              <w:pStyle w:val="Tabletext"/>
              <w:jc w:val="center"/>
              <w:rPr>
                <w:rFonts w:eastAsia="Calibri"/>
                <w:b/>
                <w:bCs/>
                <w:color w:val="000000" w:themeColor="text1"/>
              </w:rPr>
            </w:pPr>
            <w:r w:rsidRPr="00863EA5">
              <w:rPr>
                <w:rFonts w:eastAsia="Calibri"/>
                <w:b/>
                <w:bCs/>
                <w:color w:val="000000" w:themeColor="text1"/>
              </w:rPr>
              <w:t>60 340</w:t>
            </w:r>
          </w:p>
        </w:tc>
        <w:tc>
          <w:tcPr>
            <w:tcW w:w="1125" w:type="dxa"/>
            <w:tcMar>
              <w:left w:w="105" w:type="dxa"/>
              <w:right w:w="105" w:type="dxa"/>
            </w:tcMar>
            <w:vAlign w:val="bottom"/>
          </w:tcPr>
          <w:p w14:paraId="77A80630" w14:textId="7C82FB8C" w:rsidR="39B351CB" w:rsidRPr="00863EA5" w:rsidRDefault="002B465E" w:rsidP="00863EA5">
            <w:pPr>
              <w:pStyle w:val="Tabletext"/>
              <w:jc w:val="center"/>
              <w:rPr>
                <w:rFonts w:eastAsia="Calibri"/>
                <w:b/>
                <w:bCs/>
                <w:color w:val="000000" w:themeColor="text1"/>
              </w:rPr>
            </w:pPr>
            <w:r w:rsidRPr="00863EA5">
              <w:rPr>
                <w:rFonts w:eastAsia="Calibri"/>
                <w:b/>
                <w:bCs/>
                <w:color w:val="000000" w:themeColor="text1"/>
              </w:rPr>
              <w:t>TBD</w:t>
            </w:r>
          </w:p>
        </w:tc>
        <w:tc>
          <w:tcPr>
            <w:tcW w:w="1830" w:type="dxa"/>
            <w:tcMar>
              <w:left w:w="105" w:type="dxa"/>
              <w:right w:w="105" w:type="dxa"/>
            </w:tcMar>
            <w:vAlign w:val="bottom"/>
          </w:tcPr>
          <w:p w14:paraId="51E05364" w14:textId="3BF5E116" w:rsidR="39B351CB" w:rsidRPr="00863EA5" w:rsidRDefault="00854448" w:rsidP="00863EA5">
            <w:pPr>
              <w:pStyle w:val="Tabletext"/>
              <w:jc w:val="center"/>
              <w:rPr>
                <w:rFonts w:eastAsia="Calibri"/>
                <w:b/>
                <w:bCs/>
                <w:color w:val="000000" w:themeColor="text1"/>
              </w:rPr>
            </w:pPr>
            <w:r w:rsidRPr="00863EA5">
              <w:rPr>
                <w:rFonts w:eastAsia="Calibri"/>
                <w:b/>
                <w:bCs/>
                <w:color w:val="000000" w:themeColor="text1"/>
              </w:rPr>
              <w:t>TBD</w:t>
            </w:r>
          </w:p>
        </w:tc>
      </w:tr>
    </w:tbl>
    <w:p w14:paraId="74FE53FE" w14:textId="0A0355D6" w:rsidR="00F44371" w:rsidRPr="00F44371" w:rsidRDefault="26095E5E" w:rsidP="00863EA5">
      <w:pPr>
        <w:pStyle w:val="Tablelegend"/>
        <w:ind w:left="284" w:hanging="284"/>
        <w:jc w:val="both"/>
        <w:rPr>
          <w:rFonts w:eastAsia="Calibri"/>
        </w:rPr>
      </w:pPr>
      <w:r w:rsidRPr="39B351CB">
        <w:rPr>
          <w:rFonts w:eastAsia="Calibri"/>
        </w:rPr>
        <w:t>Notes</w:t>
      </w:r>
    </w:p>
    <w:p w14:paraId="0FC22BC9" w14:textId="6A2244F2" w:rsidR="00F44371" w:rsidRPr="00863EA5" w:rsidRDefault="00863EA5" w:rsidP="00863EA5">
      <w:pPr>
        <w:pStyle w:val="Tablelegend"/>
        <w:ind w:left="284" w:hanging="284"/>
        <w:jc w:val="both"/>
        <w:rPr>
          <w:rFonts w:eastAsia="Calibri"/>
        </w:rPr>
      </w:pPr>
      <w:r w:rsidRPr="00F44371">
        <w:rPr>
          <w:rFonts w:eastAsia="Calibri"/>
        </w:rPr>
        <w:t>(1)</w:t>
      </w:r>
      <w:r w:rsidRPr="00F44371">
        <w:rPr>
          <w:rFonts w:eastAsia="Calibri"/>
        </w:rPr>
        <w:tab/>
      </w:r>
      <w:r w:rsidR="26095E5E" w:rsidRPr="00863EA5">
        <w:rPr>
          <w:rFonts w:eastAsia="Calibri"/>
        </w:rPr>
        <w:t>Weekends are included in the price where applicable</w:t>
      </w:r>
    </w:p>
    <w:p w14:paraId="16BB77FB" w14:textId="4A4AB682" w:rsidR="00F44371" w:rsidRPr="00863EA5" w:rsidRDefault="00863EA5" w:rsidP="00863EA5">
      <w:pPr>
        <w:pStyle w:val="Tablelegend"/>
        <w:ind w:left="284" w:hanging="284"/>
        <w:jc w:val="both"/>
        <w:rPr>
          <w:rFonts w:eastAsia="Calibri"/>
        </w:rPr>
      </w:pPr>
      <w:r w:rsidRPr="00F44371">
        <w:rPr>
          <w:rFonts w:eastAsia="Calibri"/>
        </w:rPr>
        <w:t>(2)</w:t>
      </w:r>
      <w:r w:rsidRPr="00F44371">
        <w:rPr>
          <w:rFonts w:eastAsia="Calibri"/>
        </w:rPr>
        <w:tab/>
      </w:r>
      <w:r w:rsidR="26095E5E" w:rsidRPr="00863EA5">
        <w:rPr>
          <w:rFonts w:eastAsia="Calibri"/>
        </w:rPr>
        <w:t>Security includes cost of unarmed security contractors and cost of badging assistants</w:t>
      </w:r>
    </w:p>
    <w:p w14:paraId="780643DC" w14:textId="02D30DAA" w:rsidR="00F44371" w:rsidRPr="00863EA5" w:rsidRDefault="00863EA5" w:rsidP="00863EA5">
      <w:pPr>
        <w:pStyle w:val="Tablelegend"/>
        <w:ind w:left="284" w:hanging="284"/>
        <w:jc w:val="both"/>
        <w:rPr>
          <w:rFonts w:eastAsia="Calibri"/>
        </w:rPr>
      </w:pPr>
      <w:r w:rsidRPr="00F44371">
        <w:rPr>
          <w:rFonts w:eastAsia="Calibri"/>
        </w:rPr>
        <w:t>(3)</w:t>
      </w:r>
      <w:r w:rsidRPr="00F44371">
        <w:rPr>
          <w:rFonts w:eastAsia="Calibri"/>
        </w:rPr>
        <w:tab/>
      </w:r>
      <w:r w:rsidR="26095E5E" w:rsidRPr="00863EA5">
        <w:rPr>
          <w:rFonts w:eastAsia="Calibri"/>
        </w:rPr>
        <w:t>UNOG rental and technical available in USD, converted here to CHF for purpose of comparison only at rate of 1 USD = 0.8 CHF. This cost may increase subject to exchange rates; UNOG rooms available for reservation at last minute</w:t>
      </w:r>
    </w:p>
    <w:p w14:paraId="2E8A1031" w14:textId="1BBF698A" w:rsidR="00F44371" w:rsidRPr="00863EA5" w:rsidRDefault="00863EA5" w:rsidP="00863EA5">
      <w:pPr>
        <w:pStyle w:val="Tablelegend"/>
        <w:ind w:left="284" w:hanging="284"/>
        <w:jc w:val="both"/>
        <w:rPr>
          <w:rFonts w:eastAsia="Calibri"/>
        </w:rPr>
      </w:pPr>
      <w:r w:rsidRPr="00F44371">
        <w:rPr>
          <w:rFonts w:eastAsia="Calibri"/>
        </w:rPr>
        <w:t>(4)</w:t>
      </w:r>
      <w:r w:rsidRPr="00F44371">
        <w:rPr>
          <w:rFonts w:eastAsia="Calibri"/>
        </w:rPr>
        <w:tab/>
      </w:r>
      <w:r w:rsidR="26095E5E" w:rsidRPr="00863EA5">
        <w:rPr>
          <w:rFonts w:eastAsia="Calibri"/>
        </w:rPr>
        <w:t>Palexpo prices for Council and CWGs are estimated at 40</w:t>
      </w:r>
      <w:r w:rsidR="00B2717E">
        <w:rPr>
          <w:rFonts w:eastAsia="Calibri"/>
        </w:rPr>
        <w:t xml:space="preserve"> per cent</w:t>
      </w:r>
      <w:r w:rsidR="26095E5E" w:rsidRPr="00863EA5">
        <w:rPr>
          <w:rFonts w:eastAsia="Calibri"/>
        </w:rPr>
        <w:t xml:space="preserve"> discount from catalogue price</w:t>
      </w:r>
    </w:p>
    <w:p w14:paraId="4A6B3EF5" w14:textId="6B7E0200" w:rsidR="00F44371" w:rsidRPr="00863EA5" w:rsidRDefault="00863EA5" w:rsidP="00863EA5">
      <w:pPr>
        <w:pStyle w:val="Tablelegend"/>
        <w:ind w:left="284" w:hanging="284"/>
        <w:jc w:val="both"/>
        <w:rPr>
          <w:rFonts w:eastAsia="Calibri"/>
        </w:rPr>
      </w:pPr>
      <w:r w:rsidRPr="00F44371">
        <w:rPr>
          <w:rFonts w:eastAsia="Calibri"/>
        </w:rPr>
        <w:t>(5)</w:t>
      </w:r>
      <w:r w:rsidRPr="00F44371">
        <w:rPr>
          <w:rFonts w:eastAsia="Calibri"/>
        </w:rPr>
        <w:tab/>
      </w:r>
      <w:r w:rsidR="26095E5E" w:rsidRPr="00863EA5">
        <w:rPr>
          <w:rFonts w:eastAsia="Calibri"/>
        </w:rPr>
        <w:t xml:space="preserve">WHO costings were not available at the time of submission of this report; an oral update will be provided </w:t>
      </w:r>
      <w:r w:rsidR="278E964B" w:rsidRPr="00863EA5">
        <w:rPr>
          <w:rFonts w:eastAsia="Calibri"/>
        </w:rPr>
        <w:t xml:space="preserve">if </w:t>
      </w:r>
      <w:r w:rsidR="26095E5E" w:rsidRPr="00863EA5">
        <w:rPr>
          <w:rFonts w:eastAsia="Calibri"/>
        </w:rPr>
        <w:t>possible.</w:t>
      </w:r>
    </w:p>
    <w:p w14:paraId="40F9E5D3" w14:textId="6102460C" w:rsidR="00F44371" w:rsidRPr="00F44371" w:rsidRDefault="00F44371" w:rsidP="00B2717E">
      <w:pPr>
        <w:pStyle w:val="Tablefin"/>
      </w:pPr>
    </w:p>
    <w:p w14:paraId="27F56C2B" w14:textId="7AF43E0B" w:rsidR="00F44371" w:rsidRPr="00F44371" w:rsidRDefault="26095E5E" w:rsidP="00B36A20">
      <w:pPr>
        <w:pStyle w:val="Headingb"/>
        <w:rPr>
          <w:rFonts w:eastAsia="Calibri"/>
        </w:rPr>
      </w:pPr>
      <w:r w:rsidRPr="39B351CB">
        <w:rPr>
          <w:rFonts w:eastAsia="Calibri"/>
        </w:rPr>
        <w:t>ITU Meetings Hub</w:t>
      </w:r>
    </w:p>
    <w:p w14:paraId="4F29A686" w14:textId="5ED5B1C7" w:rsidR="00F44371" w:rsidRPr="00F44371" w:rsidRDefault="26095E5E" w:rsidP="00703483">
      <w:pPr>
        <w:jc w:val="both"/>
        <w:rPr>
          <w:rFonts w:eastAsia="Calibri" w:cs="Calibri"/>
          <w:color w:val="000000" w:themeColor="text1"/>
        </w:rPr>
      </w:pPr>
      <w:r w:rsidRPr="67B748BD">
        <w:rPr>
          <w:rFonts w:eastAsia="Calibri" w:cs="Calibri"/>
          <w:color w:val="000000" w:themeColor="text1"/>
        </w:rPr>
        <w:t xml:space="preserve">The concept of the ITU Meetings Hub provides for a Host Country to cover the cost of venue, facilities, technical services and management of all ITU technical meetings </w:t>
      </w:r>
      <w:r w:rsidR="188AAF99" w:rsidRPr="67B748BD">
        <w:rPr>
          <w:rFonts w:eastAsia="Calibri" w:cs="Calibri"/>
          <w:color w:val="000000" w:themeColor="text1"/>
        </w:rPr>
        <w:t xml:space="preserve">for the entire </w:t>
      </w:r>
      <w:r w:rsidR="259624C5" w:rsidRPr="67B748BD">
        <w:rPr>
          <w:rFonts w:eastAsia="Calibri" w:cs="Calibri"/>
          <w:color w:val="000000" w:themeColor="text1"/>
        </w:rPr>
        <w:t>period when the facility is required (or a year)</w:t>
      </w:r>
      <w:r w:rsidRPr="67B748BD">
        <w:rPr>
          <w:rFonts w:eastAsia="Calibri" w:cs="Calibri"/>
          <w:color w:val="000000" w:themeColor="text1"/>
        </w:rPr>
        <w:t>, in addition to ITU staff costs onsite, in line with Resolution 5 of the Plenipotentiary Conference and respective Sector resolutions.</w:t>
      </w:r>
    </w:p>
    <w:p w14:paraId="2E7503C1" w14:textId="5101C6F7" w:rsidR="00F44371" w:rsidRPr="00F44371" w:rsidRDefault="26095E5E" w:rsidP="00703483">
      <w:pPr>
        <w:jc w:val="both"/>
        <w:rPr>
          <w:rFonts w:eastAsia="Calibri" w:cs="Calibri"/>
          <w:color w:val="000000" w:themeColor="text1"/>
          <w:szCs w:val="24"/>
        </w:rPr>
      </w:pPr>
      <w:r w:rsidRPr="39B351CB">
        <w:rPr>
          <w:rFonts w:eastAsia="Calibri" w:cs="Calibri"/>
          <w:color w:val="000000" w:themeColor="text1"/>
          <w:szCs w:val="24"/>
        </w:rPr>
        <w:t xml:space="preserve">Subsequent to an initial call for expressions of interest sent to all Member States in October and </w:t>
      </w:r>
      <w:r w:rsidRPr="00703483">
        <w:rPr>
          <w:rFonts w:eastAsia="Calibri"/>
        </w:rPr>
        <w:t>November</w:t>
      </w:r>
      <w:r w:rsidRPr="39B351CB">
        <w:rPr>
          <w:rFonts w:eastAsia="Calibri" w:cs="Calibri"/>
          <w:color w:val="000000" w:themeColor="text1"/>
          <w:szCs w:val="24"/>
        </w:rPr>
        <w:t xml:space="preserve"> 2021 (Circular Letters </w:t>
      </w:r>
      <w:hyperlink r:id="rId19">
        <w:r w:rsidRPr="39B351CB">
          <w:rPr>
            <w:rStyle w:val="Hyperlink"/>
            <w:rFonts w:eastAsia="Calibri" w:cs="Calibri"/>
            <w:szCs w:val="24"/>
          </w:rPr>
          <w:t>CL-21/47 and CL-21/47-Addendum</w:t>
        </w:r>
      </w:hyperlink>
      <w:r w:rsidRPr="39B351CB">
        <w:rPr>
          <w:rFonts w:eastAsia="Calibri" w:cs="Calibri"/>
          <w:color w:val="000000" w:themeColor="text1"/>
          <w:szCs w:val="24"/>
        </w:rPr>
        <w:t>) and information sessions at Council in July 2023 and at CWG-FHR in February 2025, (</w:t>
      </w:r>
      <w:hyperlink r:id="rId20">
        <w:r w:rsidRPr="39B351CB">
          <w:rPr>
            <w:rStyle w:val="Hyperlink"/>
            <w:rFonts w:eastAsia="Calibri" w:cs="Calibri"/>
            <w:szCs w:val="24"/>
          </w:rPr>
          <w:t>https://council.itu.int/2025/en/hosting-itu-meetings/</w:t>
        </w:r>
      </w:hyperlink>
      <w:r w:rsidRPr="39B351CB">
        <w:rPr>
          <w:rFonts w:eastAsia="Calibri" w:cs="Calibri"/>
          <w:color w:val="000000" w:themeColor="text1"/>
          <w:szCs w:val="24"/>
        </w:rPr>
        <w:t xml:space="preserve">), several Member States requested more comprehensive, tailored proposals with indicative costings. </w:t>
      </w:r>
    </w:p>
    <w:p w14:paraId="2F444A23" w14:textId="651C4308" w:rsidR="00F44371" w:rsidRPr="00F44371" w:rsidRDefault="26095E5E" w:rsidP="00703483">
      <w:pPr>
        <w:jc w:val="both"/>
        <w:rPr>
          <w:rFonts w:eastAsia="Calibri" w:cs="Calibri"/>
          <w:color w:val="000000" w:themeColor="text1"/>
        </w:rPr>
      </w:pPr>
      <w:r w:rsidRPr="558108A7">
        <w:rPr>
          <w:rFonts w:eastAsia="Calibri" w:cs="Calibri"/>
          <w:color w:val="000000" w:themeColor="text1"/>
        </w:rPr>
        <w:t xml:space="preserve">Following the stated interest of several Member States at Council 2025 in further exploring this </w:t>
      </w:r>
      <w:r w:rsidRPr="00703483">
        <w:rPr>
          <w:rFonts w:eastAsia="Calibri"/>
        </w:rPr>
        <w:t>option</w:t>
      </w:r>
      <w:r w:rsidRPr="558108A7">
        <w:rPr>
          <w:rFonts w:eastAsia="Calibri" w:cs="Calibri"/>
          <w:color w:val="000000" w:themeColor="text1"/>
        </w:rPr>
        <w:t xml:space="preserve">, the secretariat </w:t>
      </w:r>
      <w:r w:rsidR="002805D7">
        <w:rPr>
          <w:rFonts w:eastAsia="Calibri" w:cs="Calibri"/>
          <w:color w:val="000000" w:themeColor="text1"/>
        </w:rPr>
        <w:t xml:space="preserve">will issue a </w:t>
      </w:r>
      <w:r w:rsidR="006161DE">
        <w:rPr>
          <w:rFonts w:eastAsia="Calibri" w:cs="Calibri"/>
          <w:color w:val="000000" w:themeColor="text1"/>
        </w:rPr>
        <w:t>circular letter</w:t>
      </w:r>
      <w:r w:rsidR="008A015A">
        <w:rPr>
          <w:rFonts w:eastAsia="Calibri" w:cs="Calibri"/>
          <w:color w:val="000000" w:themeColor="text1"/>
        </w:rPr>
        <w:t xml:space="preserve"> </w:t>
      </w:r>
      <w:r w:rsidR="00503B98">
        <w:rPr>
          <w:rFonts w:eastAsia="Calibri" w:cs="Calibri"/>
          <w:color w:val="000000" w:themeColor="text1"/>
        </w:rPr>
        <w:t xml:space="preserve">by end of August 2025 </w:t>
      </w:r>
      <w:r w:rsidR="006161DE">
        <w:rPr>
          <w:rFonts w:eastAsia="Calibri" w:cs="Calibri"/>
          <w:color w:val="000000" w:themeColor="text1"/>
        </w:rPr>
        <w:t xml:space="preserve">for </w:t>
      </w:r>
      <w:r w:rsidRPr="558108A7">
        <w:rPr>
          <w:rFonts w:eastAsia="Calibri" w:cs="Calibri"/>
          <w:color w:val="000000" w:themeColor="text1"/>
        </w:rPr>
        <w:t xml:space="preserve"> a Call for Proposals including full details of all requirements, with a deadline for replies </w:t>
      </w:r>
      <w:r w:rsidR="00EA080B">
        <w:rPr>
          <w:rFonts w:eastAsia="Calibri" w:cs="Calibri"/>
          <w:color w:val="000000" w:themeColor="text1"/>
        </w:rPr>
        <w:t>by</w:t>
      </w:r>
      <w:r w:rsidRPr="558108A7">
        <w:rPr>
          <w:rFonts w:eastAsia="Calibri" w:cs="Calibri"/>
          <w:color w:val="000000" w:themeColor="text1"/>
        </w:rPr>
        <w:t xml:space="preserve"> end of October 2025. Assessment of suitability for an ITU Meeting Hub is based on accessibility of location, the readiness of venues and facilities, proven experience with international events of this nature, visa facilitation and costs. The results of the Call for Proposals will be presented to</w:t>
      </w:r>
      <w:r w:rsidR="001F5AE8" w:rsidRPr="558108A7">
        <w:rPr>
          <w:rFonts w:eastAsia="Calibri" w:cs="Calibri"/>
          <w:color w:val="000000" w:themeColor="text1"/>
        </w:rPr>
        <w:t xml:space="preserve"> the</w:t>
      </w:r>
      <w:r w:rsidR="00442DFE" w:rsidRPr="558108A7">
        <w:rPr>
          <w:rFonts w:eastAsia="Calibri" w:cs="Calibri"/>
          <w:color w:val="000000" w:themeColor="text1"/>
        </w:rPr>
        <w:t xml:space="preserve"> next session of</w:t>
      </w:r>
      <w:r w:rsidRPr="558108A7">
        <w:rPr>
          <w:rFonts w:eastAsia="Calibri" w:cs="Calibri"/>
          <w:color w:val="000000" w:themeColor="text1"/>
        </w:rPr>
        <w:t xml:space="preserve"> </w:t>
      </w:r>
      <w:r w:rsidR="001F5AE8" w:rsidRPr="558108A7">
        <w:rPr>
          <w:rFonts w:eastAsia="Calibri" w:cs="Calibri"/>
          <w:color w:val="000000" w:themeColor="text1"/>
        </w:rPr>
        <w:t>CWG-FHR</w:t>
      </w:r>
      <w:r w:rsidRPr="558108A7">
        <w:rPr>
          <w:rFonts w:eastAsia="Calibri" w:cs="Calibri"/>
          <w:color w:val="000000" w:themeColor="text1"/>
        </w:rPr>
        <w:t xml:space="preserve"> for its consideration.</w:t>
      </w:r>
    </w:p>
    <w:p w14:paraId="00181D78" w14:textId="1AAF5AFD" w:rsidR="00F44371" w:rsidRPr="00F44371" w:rsidRDefault="26095E5E" w:rsidP="00B2717E">
      <w:pPr>
        <w:pStyle w:val="Headingb"/>
        <w:rPr>
          <w:rFonts w:eastAsia="Calibri"/>
        </w:rPr>
      </w:pPr>
      <w:r w:rsidRPr="39B351CB">
        <w:rPr>
          <w:rFonts w:eastAsia="Calibri"/>
        </w:rPr>
        <w:t>Virtual meetings</w:t>
      </w:r>
    </w:p>
    <w:p w14:paraId="01E1F829" w14:textId="734DE600" w:rsidR="00F44371" w:rsidRPr="00F44371" w:rsidRDefault="26095E5E" w:rsidP="00703483">
      <w:pPr>
        <w:jc w:val="both"/>
        <w:rPr>
          <w:rFonts w:eastAsia="Calibri" w:cs="Calibri"/>
          <w:color w:val="000000" w:themeColor="text1"/>
          <w:szCs w:val="24"/>
        </w:rPr>
      </w:pPr>
      <w:r w:rsidRPr="39B351CB">
        <w:rPr>
          <w:rFonts w:eastAsia="Calibri" w:cs="Calibri"/>
          <w:color w:val="000000" w:themeColor="text1"/>
          <w:szCs w:val="24"/>
        </w:rPr>
        <w:t>Given the availability of platforms open to all and the familiarity of Member State delegates, ITU staff and technical support with online meetings following the COVID-19 pandemic, it is technically feasible to hold fully virtual technical meetings.</w:t>
      </w:r>
      <w:r w:rsidR="007D5A01">
        <w:rPr>
          <w:rFonts w:eastAsia="Calibri" w:cs="Calibri"/>
          <w:color w:val="000000" w:themeColor="text1"/>
          <w:szCs w:val="24"/>
        </w:rPr>
        <w:t xml:space="preserve"> </w:t>
      </w:r>
      <w:r w:rsidRPr="39B351CB">
        <w:rPr>
          <w:rFonts w:eastAsia="Calibri" w:cs="Calibri"/>
          <w:color w:val="000000" w:themeColor="text1"/>
          <w:szCs w:val="24"/>
        </w:rPr>
        <w:t>However, current practice allows for fully virtual meetings to be held for up to 3 hours per day around 1200 p.m. Geneva time. This would impact upon the flexibility and length of technical meetings, which are typically held over 5 to 8 days. The difficulty of holding such meetings with participants in differing time zones was raised in discussions on this topic in Council 2025.</w:t>
      </w:r>
    </w:p>
    <w:p w14:paraId="08CB2539" w14:textId="2DD6B7C8" w:rsidR="00F44371" w:rsidRPr="00F44371" w:rsidRDefault="26095E5E" w:rsidP="007D5A01">
      <w:pPr>
        <w:pStyle w:val="Heading1"/>
        <w:rPr>
          <w:rFonts w:eastAsia="Calibri"/>
        </w:rPr>
      </w:pPr>
      <w:r w:rsidRPr="39B351CB">
        <w:rPr>
          <w:rFonts w:eastAsia="Calibri"/>
        </w:rPr>
        <w:lastRenderedPageBreak/>
        <w:t>3</w:t>
      </w:r>
      <w:r w:rsidR="00F44371">
        <w:tab/>
      </w:r>
      <w:r w:rsidRPr="39B351CB">
        <w:rPr>
          <w:rFonts w:eastAsia="Calibri"/>
        </w:rPr>
        <w:t>Conclusion</w:t>
      </w:r>
    </w:p>
    <w:p w14:paraId="29130195" w14:textId="599A59FC" w:rsidR="00F44371" w:rsidRPr="00F44371" w:rsidRDefault="26095E5E" w:rsidP="00703483">
      <w:pPr>
        <w:jc w:val="both"/>
        <w:rPr>
          <w:rFonts w:eastAsia="Calibri" w:cs="Calibri"/>
          <w:color w:val="000000" w:themeColor="text1"/>
        </w:rPr>
      </w:pPr>
      <w:r w:rsidRPr="67B748BD">
        <w:rPr>
          <w:rFonts w:eastAsia="Calibri" w:cs="Calibri"/>
          <w:color w:val="000000" w:themeColor="text1"/>
        </w:rPr>
        <w:t xml:space="preserve">Given the lack of additional funds available within the financial plan or from extrabudgetary sources, as well as the deadline of 31 December 2025 for the contract to be signed at the preferential rates set out here, the option of holding the majority of ITU meetings in Palexpo is not </w:t>
      </w:r>
      <w:r w:rsidR="166CB377" w:rsidRPr="67B748BD">
        <w:rPr>
          <w:rFonts w:eastAsia="Calibri" w:cs="Calibri"/>
          <w:color w:val="000000" w:themeColor="text1"/>
        </w:rPr>
        <w:t xml:space="preserve">considered </w:t>
      </w:r>
      <w:r w:rsidRPr="67B748BD">
        <w:rPr>
          <w:rFonts w:eastAsia="Calibri" w:cs="Calibri"/>
          <w:color w:val="000000" w:themeColor="text1"/>
        </w:rPr>
        <w:t>viable</w:t>
      </w:r>
      <w:r w:rsidR="2B136146" w:rsidRPr="67B748BD">
        <w:rPr>
          <w:rFonts w:eastAsia="Calibri" w:cs="Calibri"/>
          <w:color w:val="000000" w:themeColor="text1"/>
        </w:rPr>
        <w:t xml:space="preserve"> at this stage</w:t>
      </w:r>
      <w:r w:rsidRPr="67B748BD">
        <w:rPr>
          <w:rFonts w:eastAsia="Calibri" w:cs="Calibri"/>
          <w:color w:val="000000" w:themeColor="text1"/>
        </w:rPr>
        <w:t>. </w:t>
      </w:r>
    </w:p>
    <w:p w14:paraId="2FF1B377" w14:textId="2A991CA2" w:rsidR="00F44371" w:rsidRPr="00F44371" w:rsidRDefault="26095E5E" w:rsidP="00703483">
      <w:pPr>
        <w:jc w:val="both"/>
        <w:rPr>
          <w:rFonts w:eastAsia="Calibri" w:cs="Calibri"/>
          <w:color w:val="000000" w:themeColor="text1"/>
          <w:szCs w:val="24"/>
        </w:rPr>
      </w:pPr>
      <w:r w:rsidRPr="39B351CB">
        <w:rPr>
          <w:rFonts w:eastAsia="Calibri" w:cs="Calibri"/>
          <w:color w:val="000000" w:themeColor="text1"/>
          <w:szCs w:val="24"/>
        </w:rPr>
        <w:t xml:space="preserve">A combination of meeting spaces in Palexpo, UNOG and other UN agencies in Geneva may be considered. However, the cost estimates provided by other organizations establish that renting meeting rooms on an ad hoc basis will lead to higher costs and less scope for efficiency in use of financial and human resources. Additionally, as availability cannot be guaranteed earlier than six months in advance, Union activities and delegate planning would be subject to uncertainty. Holding meetings on an ad hoc basis in Geneva therefore represents considerable financial, logistical and organizational challenges.  </w:t>
      </w:r>
    </w:p>
    <w:p w14:paraId="2F75BA0F" w14:textId="29BEC4A9" w:rsidR="00F44371" w:rsidRPr="00F44371" w:rsidRDefault="26095E5E" w:rsidP="00703483">
      <w:pPr>
        <w:jc w:val="both"/>
        <w:rPr>
          <w:rFonts w:eastAsia="Calibri" w:cs="Calibri"/>
          <w:color w:val="000000" w:themeColor="text1"/>
          <w:szCs w:val="24"/>
        </w:rPr>
      </w:pPr>
      <w:r w:rsidRPr="39B351CB">
        <w:rPr>
          <w:rFonts w:eastAsia="Calibri" w:cs="Calibri"/>
          <w:color w:val="000000" w:themeColor="text1"/>
          <w:szCs w:val="24"/>
        </w:rPr>
        <w:t>An ITU Meetings Hub (or Hubs) hosted by a Member State or a number of Member States may be considered as a viable option for hosting ITU meetings. The outcome of the call for proposals issued in August 2025 will be presented to CWG FHR in its January 2026 meeting for further consideration. As noted previously, hosting all ITU meetings fully virtually remains a fallback option but may require further guidance from Member States.</w:t>
      </w:r>
    </w:p>
    <w:p w14:paraId="6CF0BF3E" w14:textId="14EB398A" w:rsidR="00F44371" w:rsidRPr="00F44371" w:rsidRDefault="26095E5E" w:rsidP="00703483">
      <w:pPr>
        <w:jc w:val="both"/>
        <w:rPr>
          <w:rFonts w:eastAsia="Calibri" w:cs="Calibri"/>
          <w:color w:val="000000" w:themeColor="text1"/>
        </w:rPr>
      </w:pPr>
      <w:r w:rsidRPr="558108A7">
        <w:rPr>
          <w:rFonts w:eastAsia="Calibri" w:cs="Calibri"/>
          <w:color w:val="000000" w:themeColor="text1"/>
        </w:rPr>
        <w:t xml:space="preserve">As the building project progresses, it will be possible to better understand the extent to which </w:t>
      </w:r>
      <w:r w:rsidR="2353C613" w:rsidRPr="558108A7">
        <w:rPr>
          <w:rFonts w:eastAsia="Calibri" w:cs="Calibri"/>
          <w:color w:val="000000" w:themeColor="text1"/>
        </w:rPr>
        <w:t xml:space="preserve">(and subject to which conditions) </w:t>
      </w:r>
      <w:r w:rsidRPr="558108A7">
        <w:rPr>
          <w:rFonts w:eastAsia="Calibri" w:cs="Calibri"/>
          <w:color w:val="000000" w:themeColor="text1"/>
        </w:rPr>
        <w:t>ITU headquarters premises may be used for meetings during the period of 2028-2029, dependent on levels of disturbance and more exact schedules for construction work. </w:t>
      </w:r>
    </w:p>
    <w:p w14:paraId="42822766" w14:textId="62F7A454" w:rsidR="00F44371" w:rsidRPr="00F44371" w:rsidRDefault="26095E5E" w:rsidP="39B351CB">
      <w:pPr>
        <w:pStyle w:val="Reasons"/>
        <w:rPr>
          <w:rFonts w:eastAsia="Calibri" w:cs="Calibri"/>
          <w:color w:val="000000" w:themeColor="text1"/>
          <w:szCs w:val="24"/>
        </w:rPr>
      </w:pPr>
      <w:r w:rsidRPr="39B351CB">
        <w:rPr>
          <w:rFonts w:eastAsia="Calibri" w:cs="Calibri"/>
          <w:color w:val="000000" w:themeColor="text1"/>
          <w:szCs w:val="24"/>
        </w:rPr>
        <w:t xml:space="preserve"> </w:t>
      </w:r>
    </w:p>
    <w:p w14:paraId="5AFBEE08" w14:textId="3E29386F" w:rsidR="00F44371" w:rsidRPr="00F44371" w:rsidRDefault="26095E5E" w:rsidP="39B351CB">
      <w:pPr>
        <w:pStyle w:val="Reasons"/>
        <w:jc w:val="center"/>
        <w:rPr>
          <w:rFonts w:eastAsia="Calibri" w:cs="Calibri"/>
          <w:color w:val="000000" w:themeColor="text1"/>
          <w:szCs w:val="24"/>
        </w:rPr>
      </w:pPr>
      <w:r w:rsidRPr="39B351CB">
        <w:rPr>
          <w:rFonts w:eastAsia="Calibri" w:cs="Calibri"/>
          <w:color w:val="000000" w:themeColor="text1"/>
          <w:szCs w:val="24"/>
        </w:rPr>
        <w:t>___</w:t>
      </w:r>
      <w:r w:rsidR="00F44371">
        <w:t>______________</w:t>
      </w:r>
    </w:p>
    <w:sectPr w:rsidR="00F44371" w:rsidRPr="00F44371" w:rsidSect="00AD3606">
      <w:headerReference w:type="even" r:id="rId21"/>
      <w:headerReference w:type="default" r:id="rId22"/>
      <w:footerReference w:type="even" r:id="rId23"/>
      <w:footerReference w:type="default" r:id="rId24"/>
      <w:headerReference w:type="first" r:id="rId25"/>
      <w:footerReference w:type="first" r:id="rId2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83847" w14:textId="77777777" w:rsidR="0061312F" w:rsidRDefault="0061312F">
      <w:r>
        <w:separator/>
      </w:r>
    </w:p>
  </w:endnote>
  <w:endnote w:type="continuationSeparator" w:id="0">
    <w:p w14:paraId="48FF5037" w14:textId="77777777" w:rsidR="0061312F" w:rsidRDefault="00613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23AB3" w14:textId="77777777" w:rsidR="00536D65" w:rsidRDefault="00536D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B248BC" w14:paraId="7DF8D60D" w14:textId="77777777" w:rsidTr="008D5401">
      <w:trPr>
        <w:jc w:val="center"/>
      </w:trPr>
      <w:tc>
        <w:tcPr>
          <w:tcW w:w="1803" w:type="dxa"/>
          <w:vAlign w:val="center"/>
        </w:tcPr>
        <w:p w14:paraId="42F3407A" w14:textId="77777777" w:rsidR="00EE49E8" w:rsidRDefault="00EE49E8" w:rsidP="00EE49E8">
          <w:pPr>
            <w:pStyle w:val="Header"/>
            <w:jc w:val="left"/>
            <w:rPr>
              <w:noProof/>
            </w:rPr>
          </w:pPr>
        </w:p>
      </w:tc>
      <w:tc>
        <w:tcPr>
          <w:tcW w:w="8261" w:type="dxa"/>
        </w:tcPr>
        <w:p w14:paraId="08FD7186" w14:textId="52ED8089" w:rsidR="00EE49E8" w:rsidRPr="00BA3A51" w:rsidRDefault="00EE49E8" w:rsidP="000F6AB8">
          <w:pPr>
            <w:pStyle w:val="Header"/>
            <w:tabs>
              <w:tab w:val="left" w:pos="6309"/>
              <w:tab w:val="right" w:pos="8505"/>
              <w:tab w:val="right" w:pos="9639"/>
            </w:tabs>
            <w:jc w:val="left"/>
            <w:rPr>
              <w:rFonts w:ascii="Arial" w:hAnsi="Arial" w:cs="Arial"/>
              <w:b/>
              <w:bCs/>
              <w:szCs w:val="18"/>
              <w:lang w:val="fr-CH"/>
            </w:rPr>
          </w:pPr>
          <w:r w:rsidRPr="005C13D4">
            <w:rPr>
              <w:bCs/>
              <w:lang w:val="fr-CH"/>
            </w:rPr>
            <w:tab/>
          </w:r>
          <w:r w:rsidR="00A52C84" w:rsidRPr="00BA3A51">
            <w:rPr>
              <w:bCs/>
              <w:lang w:val="fr-CH"/>
            </w:rPr>
            <w:t>CWG-</w:t>
          </w:r>
          <w:r w:rsidR="000F6AB8">
            <w:rPr>
              <w:bCs/>
              <w:lang w:val="fr-CH"/>
            </w:rPr>
            <w:t>FHR</w:t>
          </w:r>
          <w:r w:rsidR="00A52C84" w:rsidRPr="00BA3A51">
            <w:rPr>
              <w:bCs/>
              <w:lang w:val="fr-CH"/>
            </w:rPr>
            <w:t>-</w:t>
          </w:r>
          <w:r w:rsidR="00AC61DD">
            <w:rPr>
              <w:bCs/>
              <w:lang w:val="fr-CH"/>
            </w:rPr>
            <w:t>21</w:t>
          </w:r>
          <w:r w:rsidR="000F6AB8">
            <w:rPr>
              <w:bCs/>
              <w:lang w:val="fr-CH"/>
            </w:rPr>
            <w:t>/</w:t>
          </w:r>
          <w:r w:rsidR="00536D65">
            <w:rPr>
              <w:bCs/>
              <w:lang w:val="fr-CH"/>
            </w:rPr>
            <w:t>10</w:t>
          </w:r>
          <w:r w:rsidR="00A52C84" w:rsidRPr="00BA3A51">
            <w:rPr>
              <w:bCs/>
              <w:lang w:val="fr-CH"/>
            </w:rPr>
            <w:t>-E</w:t>
          </w:r>
          <w:r w:rsidRPr="00BA3A51">
            <w:rPr>
              <w:bCs/>
              <w:lang w:val="fr-CH"/>
            </w:rPr>
            <w:tab/>
          </w:r>
          <w:r>
            <w:fldChar w:fldCharType="begin"/>
          </w:r>
          <w:r w:rsidRPr="00BA3A51">
            <w:rPr>
              <w:lang w:val="fr-CH"/>
            </w:rPr>
            <w:instrText>PAGE</w:instrText>
          </w:r>
          <w:r>
            <w:fldChar w:fldCharType="separate"/>
          </w:r>
          <w:r w:rsidRPr="00BA3A51">
            <w:rPr>
              <w:lang w:val="fr-CH"/>
            </w:rPr>
            <w:t>1</w:t>
          </w:r>
          <w:r>
            <w:rPr>
              <w:noProof/>
            </w:rPr>
            <w:fldChar w:fldCharType="end"/>
          </w:r>
        </w:p>
      </w:tc>
    </w:tr>
  </w:tbl>
  <w:p w14:paraId="4E38AFA7" w14:textId="77777777" w:rsidR="00EE49E8" w:rsidRPr="00BA3A51" w:rsidRDefault="00EE49E8" w:rsidP="00EE49E8">
    <w:pPr>
      <w:pStyle w:val="Header"/>
      <w:tabs>
        <w:tab w:val="left" w:pos="8080"/>
        <w:tab w:val="right" w:pos="9072"/>
      </w:tabs>
      <w:jc w:val="left"/>
      <w:rPr>
        <w:bCs/>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F6AB8" w14:paraId="3EF303D2" w14:textId="77777777" w:rsidTr="00A52C84">
      <w:trPr>
        <w:jc w:val="center"/>
      </w:trPr>
      <w:tc>
        <w:tcPr>
          <w:tcW w:w="3107" w:type="dxa"/>
          <w:vAlign w:val="center"/>
        </w:tcPr>
        <w:p w14:paraId="5F132838" w14:textId="7B18413E" w:rsidR="00EE49E8" w:rsidRPr="00F56F10" w:rsidRDefault="0025570E" w:rsidP="00EE49E8">
          <w:pPr>
            <w:pStyle w:val="Header"/>
            <w:jc w:val="left"/>
            <w:rPr>
              <w:noProof/>
            </w:rPr>
          </w:pPr>
          <w:hyperlink r:id="rId1" w:history="1">
            <w:r w:rsidRPr="00F56F10">
              <w:rPr>
                <w:rStyle w:val="Hyperlink"/>
                <w:u w:val="none"/>
              </w:rPr>
              <w:t>council.itu.int/working-groups</w:t>
            </w:r>
          </w:hyperlink>
        </w:p>
      </w:tc>
      <w:tc>
        <w:tcPr>
          <w:tcW w:w="6957" w:type="dxa"/>
        </w:tcPr>
        <w:p w14:paraId="7CFADCBC" w14:textId="7331B015" w:rsidR="00EE49E8" w:rsidRPr="000F6AB8" w:rsidRDefault="00EE49E8" w:rsidP="000F6AB8">
          <w:pPr>
            <w:pStyle w:val="Header"/>
            <w:tabs>
              <w:tab w:val="left" w:pos="5008"/>
              <w:tab w:val="right" w:pos="8505"/>
              <w:tab w:val="right" w:pos="9639"/>
            </w:tabs>
            <w:jc w:val="left"/>
            <w:rPr>
              <w:rFonts w:ascii="Arial" w:hAnsi="Arial" w:cs="Arial"/>
              <w:b/>
              <w:bCs/>
              <w:szCs w:val="18"/>
              <w:lang w:val="es-ES"/>
            </w:rPr>
          </w:pPr>
          <w:r>
            <w:rPr>
              <w:bCs/>
            </w:rPr>
            <w:tab/>
          </w:r>
          <w:r w:rsidRPr="000F6AB8">
            <w:rPr>
              <w:bCs/>
              <w:lang w:val="es-ES"/>
            </w:rPr>
            <w:t>C</w:t>
          </w:r>
          <w:r w:rsidR="00A52C84" w:rsidRPr="000F6AB8">
            <w:rPr>
              <w:bCs/>
              <w:lang w:val="es-ES"/>
            </w:rPr>
            <w:t>WG-</w:t>
          </w:r>
          <w:r w:rsidR="000F6AB8" w:rsidRPr="000F6AB8">
            <w:rPr>
              <w:bCs/>
              <w:lang w:val="es-ES"/>
            </w:rPr>
            <w:t>FHR</w:t>
          </w:r>
          <w:r w:rsidR="00A52C84" w:rsidRPr="000F6AB8">
            <w:rPr>
              <w:bCs/>
              <w:lang w:val="es-ES"/>
            </w:rPr>
            <w:t>-</w:t>
          </w:r>
          <w:r w:rsidR="00AC61DD">
            <w:rPr>
              <w:bCs/>
              <w:lang w:val="es-ES"/>
            </w:rPr>
            <w:t>21</w:t>
          </w:r>
          <w:r w:rsidRPr="000F6AB8">
            <w:rPr>
              <w:bCs/>
              <w:lang w:val="es-ES"/>
            </w:rPr>
            <w:t>/</w:t>
          </w:r>
          <w:r w:rsidR="00536D65">
            <w:rPr>
              <w:bCs/>
              <w:lang w:val="es-ES"/>
            </w:rPr>
            <w:t>10</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0BE65BF2"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34EE9" w14:textId="77777777" w:rsidR="0061312F" w:rsidRDefault="0061312F">
      <w:r>
        <w:t>____________________</w:t>
      </w:r>
    </w:p>
  </w:footnote>
  <w:footnote w:type="continuationSeparator" w:id="0">
    <w:p w14:paraId="56FC7211" w14:textId="77777777" w:rsidR="0061312F" w:rsidRDefault="00613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28976" w14:textId="77777777" w:rsidR="00536D65" w:rsidRDefault="00536D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643D5" w14:textId="77777777" w:rsidR="00536D65" w:rsidRDefault="00536D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114242FC" w14:textId="77777777" w:rsidTr="00F74694">
      <w:trPr>
        <w:trHeight w:val="1304"/>
        <w:jc w:val="center"/>
      </w:trPr>
      <w:tc>
        <w:tcPr>
          <w:tcW w:w="6546" w:type="dxa"/>
        </w:tcPr>
        <w:bookmarkStart w:id="11" w:name="_Hlk133422111"/>
        <w:p w14:paraId="6A22278E" w14:textId="77777777" w:rsidR="00AD3606" w:rsidRPr="009621F8" w:rsidRDefault="00F56F10" w:rsidP="00130599">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018AED90" wp14:editId="34251946">
                    <wp:simplePos x="0" y="0"/>
                    <wp:positionH relativeFrom="column">
                      <wp:posOffset>1433251</wp:posOffset>
                    </wp:positionH>
                    <wp:positionV relativeFrom="paragraph">
                      <wp:posOffset>5080</wp:posOffset>
                    </wp:positionV>
                    <wp:extent cx="4399153" cy="471170"/>
                    <wp:effectExtent l="0" t="0" r="1905"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9153" cy="471170"/>
                            </a:xfrm>
                            <a:prstGeom prst="rect">
                              <a:avLst/>
                            </a:prstGeom>
                            <a:solidFill>
                              <a:schemeClr val="bg1"/>
                            </a:solidFill>
                            <a:ln w="9525">
                              <a:noFill/>
                              <a:miter lim="800000"/>
                              <a:headEnd/>
                              <a:tailEnd/>
                            </a:ln>
                          </wps:spPr>
                          <wps:txbx>
                            <w:txbxContent>
                              <w:p w14:paraId="53B59D24" w14:textId="7DC4509F" w:rsidR="00130599" w:rsidRDefault="00A43C03" w:rsidP="00EE60D0">
                                <w:pPr>
                                  <w:spacing w:before="0"/>
                                </w:pPr>
                                <w:r w:rsidRPr="00F74694">
                                  <w:rPr>
                                    <w:b/>
                                    <w:bCs/>
                                    <w:szCs w:val="24"/>
                                  </w:rPr>
                                  <w:t xml:space="preserve">Council Working Group </w:t>
                                </w:r>
                                <w:r w:rsidRPr="00F74694">
                                  <w:rPr>
                                    <w:b/>
                                    <w:bCs/>
                                    <w:szCs w:val="24"/>
                                  </w:rPr>
                                  <w:br/>
                                  <w:t xml:space="preserve">on </w:t>
                                </w:r>
                                <w:r>
                                  <w:rPr>
                                    <w:b/>
                                    <w:bCs/>
                                    <w:szCs w:val="24"/>
                                  </w:rPr>
                                  <w:t>financial and human resources</w:t>
                                </w:r>
                                <w:r>
                                  <w:br/>
                                </w:r>
                                <w:r w:rsidR="00CB24AA">
                                  <w:rPr>
                                    <w:sz w:val="20"/>
                                  </w:rPr>
                                  <w:t>Twent</w:t>
                                </w:r>
                                <w:r w:rsidR="00AC61DD">
                                  <w:rPr>
                                    <w:sz w:val="20"/>
                                  </w:rPr>
                                  <w:t>y-first</w:t>
                                </w:r>
                                <w:r w:rsidRPr="00130599">
                                  <w:rPr>
                                    <w:sz w:val="20"/>
                                  </w:rPr>
                                  <w:t xml:space="preserve"> </w:t>
                                </w:r>
                                <w:r w:rsidRPr="00EE60D0">
                                  <w:rPr>
                                    <w:sz w:val="20"/>
                                  </w:rPr>
                                  <w:t xml:space="preserve">meeting – </w:t>
                                </w:r>
                                <w:r w:rsidR="00EE60D0" w:rsidRPr="00EE60D0">
                                  <w:rPr>
                                    <w:sz w:val="20"/>
                                  </w:rPr>
                                  <w:t>From 10</w:t>
                                </w:r>
                                <w:r w:rsidR="00F426EB">
                                  <w:rPr>
                                    <w:sz w:val="20"/>
                                  </w:rPr>
                                  <w:t xml:space="preserve"> (p.m.)</w:t>
                                </w:r>
                                <w:r w:rsidR="00EE60D0" w:rsidRPr="00EE60D0">
                                  <w:rPr>
                                    <w:sz w:val="20"/>
                                  </w:rPr>
                                  <w:t xml:space="preserve"> to 12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18AED90" id="_x0000_t202" coordsize="21600,21600" o:spt="202" path="m,l,21600r21600,l21600,xe">
                    <v:stroke joinstyle="miter"/>
                    <v:path gradientshapeok="t" o:connecttype="rect"/>
                  </v:shapetype>
                  <v:shape id="Text Box 2" o:spid="_x0000_s1026" type="#_x0000_t202" style="position:absolute;margin-left:112.85pt;margin-top:.4pt;width:346.4pt;height:37.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uKuEQ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" fillcolor="white [3212]" stroked="f">
                    <v:textbox style="mso-fit-shape-to-text:t" inset="1mm">
                      <w:txbxContent>
                        <w:p w14:paraId="53B59D24" w14:textId="7DC4509F" w:rsidR="00130599" w:rsidRDefault="00A43C03" w:rsidP="00EE60D0">
                          <w:pPr>
                            <w:spacing w:before="0"/>
                          </w:pPr>
                          <w:r w:rsidRPr="00F74694">
                            <w:rPr>
                              <w:b/>
                              <w:bCs/>
                              <w:szCs w:val="24"/>
                            </w:rPr>
                            <w:t xml:space="preserve">Council Working Group </w:t>
                          </w:r>
                          <w:r w:rsidRPr="00F74694">
                            <w:rPr>
                              <w:b/>
                              <w:bCs/>
                              <w:szCs w:val="24"/>
                            </w:rPr>
                            <w:br/>
                            <w:t xml:space="preserve">on </w:t>
                          </w:r>
                          <w:r>
                            <w:rPr>
                              <w:b/>
                              <w:bCs/>
                              <w:szCs w:val="24"/>
                            </w:rPr>
                            <w:t>financial and human resources</w:t>
                          </w:r>
                          <w:r>
                            <w:br/>
                          </w:r>
                          <w:r w:rsidR="00CB24AA">
                            <w:rPr>
                              <w:sz w:val="20"/>
                            </w:rPr>
                            <w:t>Twent</w:t>
                          </w:r>
                          <w:r w:rsidR="00AC61DD">
                            <w:rPr>
                              <w:sz w:val="20"/>
                            </w:rPr>
                            <w:t>y-first</w:t>
                          </w:r>
                          <w:r w:rsidRPr="00130599">
                            <w:rPr>
                              <w:sz w:val="20"/>
                            </w:rPr>
                            <w:t xml:space="preserve"> </w:t>
                          </w:r>
                          <w:r w:rsidRPr="00EE60D0">
                            <w:rPr>
                              <w:sz w:val="20"/>
                            </w:rPr>
                            <w:t xml:space="preserve">meeting – </w:t>
                          </w:r>
                          <w:r w:rsidR="00EE60D0" w:rsidRPr="00EE60D0">
                            <w:rPr>
                              <w:sz w:val="20"/>
                            </w:rPr>
                            <w:t>From 10</w:t>
                          </w:r>
                          <w:r w:rsidR="00F426EB">
                            <w:rPr>
                              <w:sz w:val="20"/>
                            </w:rPr>
                            <w:t xml:space="preserve"> (p.m.)</w:t>
                          </w:r>
                          <w:r w:rsidR="00EE60D0" w:rsidRPr="00EE60D0">
                            <w:rPr>
                              <w:sz w:val="20"/>
                            </w:rPr>
                            <w:t xml:space="preserve"> to 12 September 2025</w:t>
                          </w:r>
                        </w:p>
                      </w:txbxContent>
                    </v:textbox>
                  </v:shape>
                </w:pict>
              </mc:Fallback>
            </mc:AlternateContent>
          </w:r>
          <w:r>
            <w:rPr>
              <w:rFonts w:ascii="Arial" w:hAnsi="Arial" w:cs="Arial"/>
              <w:b/>
              <w:bCs/>
              <w:noProof/>
              <w:color w:val="009CD6"/>
              <w:sz w:val="36"/>
              <w:szCs w:val="36"/>
            </w:rPr>
            <w:drawing>
              <wp:inline distT="0" distB="0" distL="0" distR="0" wp14:anchorId="25FF8506" wp14:editId="569F0CBF">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3B5458B7" w14:textId="77777777" w:rsidR="00AD3606" w:rsidRDefault="00AD3606" w:rsidP="00AD3606">
          <w:pPr>
            <w:pStyle w:val="Header"/>
            <w:jc w:val="right"/>
            <w:rPr>
              <w:rFonts w:ascii="Arial" w:hAnsi="Arial" w:cs="Arial"/>
              <w:b/>
              <w:bCs/>
              <w:color w:val="009CD6"/>
              <w:szCs w:val="18"/>
            </w:rPr>
          </w:pPr>
        </w:p>
        <w:p w14:paraId="2DDC2E10" w14:textId="77777777" w:rsidR="00AD3606" w:rsidRDefault="00AD3606" w:rsidP="00AD3606">
          <w:pPr>
            <w:pStyle w:val="Header"/>
            <w:jc w:val="right"/>
            <w:rPr>
              <w:rFonts w:ascii="Arial" w:hAnsi="Arial" w:cs="Arial"/>
              <w:b/>
              <w:bCs/>
              <w:color w:val="009CD6"/>
              <w:szCs w:val="18"/>
            </w:rPr>
          </w:pPr>
        </w:p>
        <w:p w14:paraId="72DFDD86"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36108734"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2EB8E5DC" wp14:editId="06570709">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5"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spid="_x0000_s1026" fillcolor="#009cd5" stroked="f" w14:anchorId="3FB0F8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3CB1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AE85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4A9B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5239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554F2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20EA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281A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80DF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EEED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C25B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31DEC"/>
    <w:multiLevelType w:val="hybridMultilevel"/>
    <w:tmpl w:val="3DEE1F0C"/>
    <w:lvl w:ilvl="0" w:tplc="8A6A7046">
      <w:start w:val="1"/>
      <w:numFmt w:val="decimal"/>
      <w:lvlText w:val="(%1)"/>
      <w:lvlJc w:val="left"/>
      <w:pPr>
        <w:ind w:left="720" w:hanging="360"/>
      </w:pPr>
    </w:lvl>
    <w:lvl w:ilvl="1" w:tplc="B1DA7096">
      <w:start w:val="1"/>
      <w:numFmt w:val="lowerLetter"/>
      <w:lvlText w:val="%2."/>
      <w:lvlJc w:val="left"/>
      <w:pPr>
        <w:ind w:left="1440" w:hanging="360"/>
      </w:pPr>
    </w:lvl>
    <w:lvl w:ilvl="2" w:tplc="AEBAB7D4">
      <w:start w:val="1"/>
      <w:numFmt w:val="lowerRoman"/>
      <w:lvlText w:val="%3."/>
      <w:lvlJc w:val="right"/>
      <w:pPr>
        <w:ind w:left="2160" w:hanging="180"/>
      </w:pPr>
    </w:lvl>
    <w:lvl w:ilvl="3" w:tplc="D60E6572">
      <w:start w:val="1"/>
      <w:numFmt w:val="decimal"/>
      <w:lvlText w:val="%4."/>
      <w:lvlJc w:val="left"/>
      <w:pPr>
        <w:ind w:left="2880" w:hanging="360"/>
      </w:pPr>
    </w:lvl>
    <w:lvl w:ilvl="4" w:tplc="41F0F8E6">
      <w:start w:val="1"/>
      <w:numFmt w:val="lowerLetter"/>
      <w:lvlText w:val="%5."/>
      <w:lvlJc w:val="left"/>
      <w:pPr>
        <w:ind w:left="3600" w:hanging="360"/>
      </w:pPr>
    </w:lvl>
    <w:lvl w:ilvl="5" w:tplc="2EC0DEC6">
      <w:start w:val="1"/>
      <w:numFmt w:val="lowerRoman"/>
      <w:lvlText w:val="%6."/>
      <w:lvlJc w:val="right"/>
      <w:pPr>
        <w:ind w:left="4320" w:hanging="180"/>
      </w:pPr>
    </w:lvl>
    <w:lvl w:ilvl="6" w:tplc="E8F6B83C">
      <w:start w:val="1"/>
      <w:numFmt w:val="decimal"/>
      <w:lvlText w:val="%7."/>
      <w:lvlJc w:val="left"/>
      <w:pPr>
        <w:ind w:left="5040" w:hanging="360"/>
      </w:pPr>
    </w:lvl>
    <w:lvl w:ilvl="7" w:tplc="56DC8F30">
      <w:start w:val="1"/>
      <w:numFmt w:val="lowerLetter"/>
      <w:lvlText w:val="%8."/>
      <w:lvlJc w:val="left"/>
      <w:pPr>
        <w:ind w:left="5760" w:hanging="360"/>
      </w:pPr>
    </w:lvl>
    <w:lvl w:ilvl="8" w:tplc="C5AE56CC">
      <w:start w:val="1"/>
      <w:numFmt w:val="lowerRoman"/>
      <w:lvlText w:val="%9."/>
      <w:lvlJc w:val="right"/>
      <w:pPr>
        <w:ind w:left="6480" w:hanging="180"/>
      </w:pPr>
    </w:lvl>
  </w:abstractNum>
  <w:num w:numId="1" w16cid:durableId="1343512852">
    <w:abstractNumId w:val="10"/>
  </w:num>
  <w:num w:numId="2" w16cid:durableId="1374816267">
    <w:abstractNumId w:val="9"/>
  </w:num>
  <w:num w:numId="3" w16cid:durableId="1865902391">
    <w:abstractNumId w:val="7"/>
  </w:num>
  <w:num w:numId="4" w16cid:durableId="559444507">
    <w:abstractNumId w:val="6"/>
  </w:num>
  <w:num w:numId="5" w16cid:durableId="1808742026">
    <w:abstractNumId w:val="5"/>
  </w:num>
  <w:num w:numId="6" w16cid:durableId="1592086726">
    <w:abstractNumId w:val="4"/>
  </w:num>
  <w:num w:numId="7" w16cid:durableId="1683579996">
    <w:abstractNumId w:val="8"/>
  </w:num>
  <w:num w:numId="8" w16cid:durableId="140275429">
    <w:abstractNumId w:val="3"/>
  </w:num>
  <w:num w:numId="9" w16cid:durableId="2105761152">
    <w:abstractNumId w:val="2"/>
  </w:num>
  <w:num w:numId="10" w16cid:durableId="463238892">
    <w:abstractNumId w:val="1"/>
  </w:num>
  <w:num w:numId="11" w16cid:durableId="2051613411">
    <w:abstractNumId w:val="0"/>
  </w:num>
  <w:num w:numId="12" w16cid:durableId="1744912177">
    <w:abstractNumId w:val="8"/>
  </w:num>
  <w:num w:numId="13" w16cid:durableId="1121804825">
    <w:abstractNumId w:val="3"/>
  </w:num>
  <w:num w:numId="14" w16cid:durableId="196285695">
    <w:abstractNumId w:val="2"/>
  </w:num>
  <w:num w:numId="15" w16cid:durableId="1944993330">
    <w:abstractNumId w:val="1"/>
  </w:num>
  <w:num w:numId="16" w16cid:durableId="1833257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9C5"/>
    <w:rsid w:val="000120E4"/>
    <w:rsid w:val="00016CBB"/>
    <w:rsid w:val="0002046E"/>
    <w:rsid w:val="000210D4"/>
    <w:rsid w:val="000323F6"/>
    <w:rsid w:val="00046146"/>
    <w:rsid w:val="00063016"/>
    <w:rsid w:val="00066795"/>
    <w:rsid w:val="00067312"/>
    <w:rsid w:val="00076AF6"/>
    <w:rsid w:val="00085CF2"/>
    <w:rsid w:val="000B1705"/>
    <w:rsid w:val="000B63FE"/>
    <w:rsid w:val="000D75B2"/>
    <w:rsid w:val="000F6AB8"/>
    <w:rsid w:val="001121F5"/>
    <w:rsid w:val="00116C7B"/>
    <w:rsid w:val="00130599"/>
    <w:rsid w:val="0013208F"/>
    <w:rsid w:val="00134AC1"/>
    <w:rsid w:val="001400DC"/>
    <w:rsid w:val="00140CE1"/>
    <w:rsid w:val="00145125"/>
    <w:rsid w:val="00147C54"/>
    <w:rsid w:val="00152498"/>
    <w:rsid w:val="00165C45"/>
    <w:rsid w:val="00173231"/>
    <w:rsid w:val="0017539C"/>
    <w:rsid w:val="00175AC2"/>
    <w:rsid w:val="0017609F"/>
    <w:rsid w:val="001837AF"/>
    <w:rsid w:val="00190377"/>
    <w:rsid w:val="001A7D1D"/>
    <w:rsid w:val="001B45B5"/>
    <w:rsid w:val="001B51DD"/>
    <w:rsid w:val="001C3D95"/>
    <w:rsid w:val="001C628E"/>
    <w:rsid w:val="001E0F7B"/>
    <w:rsid w:val="001E0FBE"/>
    <w:rsid w:val="001E5FE7"/>
    <w:rsid w:val="001F5AE8"/>
    <w:rsid w:val="002051C1"/>
    <w:rsid w:val="00207F21"/>
    <w:rsid w:val="002119FD"/>
    <w:rsid w:val="002130E0"/>
    <w:rsid w:val="00244F7F"/>
    <w:rsid w:val="0025197E"/>
    <w:rsid w:val="00254750"/>
    <w:rsid w:val="0025570E"/>
    <w:rsid w:val="00264425"/>
    <w:rsid w:val="00265875"/>
    <w:rsid w:val="0027303B"/>
    <w:rsid w:val="002805D7"/>
    <w:rsid w:val="0028109B"/>
    <w:rsid w:val="00286F2C"/>
    <w:rsid w:val="002A2188"/>
    <w:rsid w:val="002B1F58"/>
    <w:rsid w:val="002B465E"/>
    <w:rsid w:val="002C1C7A"/>
    <w:rsid w:val="002C51C4"/>
    <w:rsid w:val="002C54E2"/>
    <w:rsid w:val="002E0AC3"/>
    <w:rsid w:val="0030160F"/>
    <w:rsid w:val="00301AEE"/>
    <w:rsid w:val="00304742"/>
    <w:rsid w:val="003145DF"/>
    <w:rsid w:val="00320223"/>
    <w:rsid w:val="00322D0D"/>
    <w:rsid w:val="00350A3A"/>
    <w:rsid w:val="00354B03"/>
    <w:rsid w:val="00361465"/>
    <w:rsid w:val="003771AE"/>
    <w:rsid w:val="003877F5"/>
    <w:rsid w:val="003942D4"/>
    <w:rsid w:val="00394E9A"/>
    <w:rsid w:val="0039514F"/>
    <w:rsid w:val="003958A8"/>
    <w:rsid w:val="003971CE"/>
    <w:rsid w:val="003B29C2"/>
    <w:rsid w:val="003B44EF"/>
    <w:rsid w:val="003C20CA"/>
    <w:rsid w:val="003C2533"/>
    <w:rsid w:val="003C7496"/>
    <w:rsid w:val="003D36FB"/>
    <w:rsid w:val="003D5A7F"/>
    <w:rsid w:val="003D635C"/>
    <w:rsid w:val="004016E2"/>
    <w:rsid w:val="0040435A"/>
    <w:rsid w:val="00416A24"/>
    <w:rsid w:val="0042059E"/>
    <w:rsid w:val="00431D9E"/>
    <w:rsid w:val="00433CE8"/>
    <w:rsid w:val="00434A5C"/>
    <w:rsid w:val="00442DFE"/>
    <w:rsid w:val="00447A2D"/>
    <w:rsid w:val="004544D9"/>
    <w:rsid w:val="00472BAD"/>
    <w:rsid w:val="00473358"/>
    <w:rsid w:val="00484009"/>
    <w:rsid w:val="00490E72"/>
    <w:rsid w:val="00491157"/>
    <w:rsid w:val="004921C8"/>
    <w:rsid w:val="00495B0B"/>
    <w:rsid w:val="004A1B8B"/>
    <w:rsid w:val="004A424D"/>
    <w:rsid w:val="004C7582"/>
    <w:rsid w:val="004D1637"/>
    <w:rsid w:val="004D1851"/>
    <w:rsid w:val="004D3B0A"/>
    <w:rsid w:val="004D599D"/>
    <w:rsid w:val="004E2EA5"/>
    <w:rsid w:val="004E3AEB"/>
    <w:rsid w:val="0050223C"/>
    <w:rsid w:val="005039C5"/>
    <w:rsid w:val="00503B98"/>
    <w:rsid w:val="00507750"/>
    <w:rsid w:val="00510C8C"/>
    <w:rsid w:val="005243FF"/>
    <w:rsid w:val="00527DC6"/>
    <w:rsid w:val="005311D6"/>
    <w:rsid w:val="00536422"/>
    <w:rsid w:val="00536D65"/>
    <w:rsid w:val="00552A46"/>
    <w:rsid w:val="00553BD4"/>
    <w:rsid w:val="00557F9D"/>
    <w:rsid w:val="00564FBC"/>
    <w:rsid w:val="005800BC"/>
    <w:rsid w:val="00582442"/>
    <w:rsid w:val="005A335D"/>
    <w:rsid w:val="005C13D4"/>
    <w:rsid w:val="005C35DE"/>
    <w:rsid w:val="005C6F1C"/>
    <w:rsid w:val="005C77C0"/>
    <w:rsid w:val="005E2BD5"/>
    <w:rsid w:val="005F3269"/>
    <w:rsid w:val="00606D60"/>
    <w:rsid w:val="0061312F"/>
    <w:rsid w:val="00615961"/>
    <w:rsid w:val="006161DE"/>
    <w:rsid w:val="00623775"/>
    <w:rsid w:val="00623AE3"/>
    <w:rsid w:val="006261F4"/>
    <w:rsid w:val="0064737F"/>
    <w:rsid w:val="006535F1"/>
    <w:rsid w:val="0065557D"/>
    <w:rsid w:val="00657F8D"/>
    <w:rsid w:val="00660D50"/>
    <w:rsid w:val="00662984"/>
    <w:rsid w:val="006716BB"/>
    <w:rsid w:val="00682415"/>
    <w:rsid w:val="0069774E"/>
    <w:rsid w:val="006B1859"/>
    <w:rsid w:val="006B391D"/>
    <w:rsid w:val="006B6680"/>
    <w:rsid w:val="006B6CFB"/>
    <w:rsid w:val="006B6DCC"/>
    <w:rsid w:val="006C599A"/>
    <w:rsid w:val="006D1E9C"/>
    <w:rsid w:val="006D264B"/>
    <w:rsid w:val="006E0D55"/>
    <w:rsid w:val="006E652D"/>
    <w:rsid w:val="00702DEF"/>
    <w:rsid w:val="00703483"/>
    <w:rsid w:val="00706861"/>
    <w:rsid w:val="00721375"/>
    <w:rsid w:val="00726B8C"/>
    <w:rsid w:val="007447FD"/>
    <w:rsid w:val="0075051B"/>
    <w:rsid w:val="00772B0C"/>
    <w:rsid w:val="00775655"/>
    <w:rsid w:val="00793188"/>
    <w:rsid w:val="00794D34"/>
    <w:rsid w:val="007D227B"/>
    <w:rsid w:val="007D5A01"/>
    <w:rsid w:val="007F0CFE"/>
    <w:rsid w:val="00806E3C"/>
    <w:rsid w:val="00813E5E"/>
    <w:rsid w:val="00816C2C"/>
    <w:rsid w:val="008325FF"/>
    <w:rsid w:val="0083533D"/>
    <w:rsid w:val="0083581B"/>
    <w:rsid w:val="00854448"/>
    <w:rsid w:val="00860EED"/>
    <w:rsid w:val="00863874"/>
    <w:rsid w:val="00863EA5"/>
    <w:rsid w:val="00864AFF"/>
    <w:rsid w:val="00865925"/>
    <w:rsid w:val="0086681F"/>
    <w:rsid w:val="00890019"/>
    <w:rsid w:val="00891503"/>
    <w:rsid w:val="008A015A"/>
    <w:rsid w:val="008A45B1"/>
    <w:rsid w:val="008B4A6A"/>
    <w:rsid w:val="008C303D"/>
    <w:rsid w:val="008C7E27"/>
    <w:rsid w:val="008D5401"/>
    <w:rsid w:val="008F3822"/>
    <w:rsid w:val="008F7448"/>
    <w:rsid w:val="0090147A"/>
    <w:rsid w:val="0090389B"/>
    <w:rsid w:val="009173EF"/>
    <w:rsid w:val="00932906"/>
    <w:rsid w:val="009411A3"/>
    <w:rsid w:val="0095520A"/>
    <w:rsid w:val="00961860"/>
    <w:rsid w:val="00961B0B"/>
    <w:rsid w:val="00962D33"/>
    <w:rsid w:val="00987E6F"/>
    <w:rsid w:val="009973AA"/>
    <w:rsid w:val="009B38C3"/>
    <w:rsid w:val="009E09F2"/>
    <w:rsid w:val="009E17BD"/>
    <w:rsid w:val="009E485A"/>
    <w:rsid w:val="009F5612"/>
    <w:rsid w:val="00A04CEC"/>
    <w:rsid w:val="00A27F92"/>
    <w:rsid w:val="00A32257"/>
    <w:rsid w:val="00A36D20"/>
    <w:rsid w:val="00A43C03"/>
    <w:rsid w:val="00A46CD0"/>
    <w:rsid w:val="00A514A4"/>
    <w:rsid w:val="00A52C84"/>
    <w:rsid w:val="00A55622"/>
    <w:rsid w:val="00A66887"/>
    <w:rsid w:val="00A83502"/>
    <w:rsid w:val="00A920FA"/>
    <w:rsid w:val="00AC2821"/>
    <w:rsid w:val="00AC61DD"/>
    <w:rsid w:val="00AD15B3"/>
    <w:rsid w:val="00AD3606"/>
    <w:rsid w:val="00AD4A3D"/>
    <w:rsid w:val="00AD7546"/>
    <w:rsid w:val="00AF3F34"/>
    <w:rsid w:val="00AF6E49"/>
    <w:rsid w:val="00B04A67"/>
    <w:rsid w:val="00B0583C"/>
    <w:rsid w:val="00B14AEE"/>
    <w:rsid w:val="00B248BC"/>
    <w:rsid w:val="00B2717E"/>
    <w:rsid w:val="00B358B2"/>
    <w:rsid w:val="00B36A20"/>
    <w:rsid w:val="00B40A81"/>
    <w:rsid w:val="00B44910"/>
    <w:rsid w:val="00B70F98"/>
    <w:rsid w:val="00B72267"/>
    <w:rsid w:val="00B73DD1"/>
    <w:rsid w:val="00B76EB6"/>
    <w:rsid w:val="00B7737B"/>
    <w:rsid w:val="00B824C8"/>
    <w:rsid w:val="00B849D3"/>
    <w:rsid w:val="00B84B9D"/>
    <w:rsid w:val="00B975F9"/>
    <w:rsid w:val="00B9774C"/>
    <w:rsid w:val="00BA3A51"/>
    <w:rsid w:val="00BB69AD"/>
    <w:rsid w:val="00BC251A"/>
    <w:rsid w:val="00BD032B"/>
    <w:rsid w:val="00BD0614"/>
    <w:rsid w:val="00BD094B"/>
    <w:rsid w:val="00BE2640"/>
    <w:rsid w:val="00BE7834"/>
    <w:rsid w:val="00C01189"/>
    <w:rsid w:val="00C05C12"/>
    <w:rsid w:val="00C0614E"/>
    <w:rsid w:val="00C34CE0"/>
    <w:rsid w:val="00C3564D"/>
    <w:rsid w:val="00C374DE"/>
    <w:rsid w:val="00C3796A"/>
    <w:rsid w:val="00C47AD4"/>
    <w:rsid w:val="00C52D81"/>
    <w:rsid w:val="00C55198"/>
    <w:rsid w:val="00C725C6"/>
    <w:rsid w:val="00C922C7"/>
    <w:rsid w:val="00C93A6C"/>
    <w:rsid w:val="00CA6393"/>
    <w:rsid w:val="00CB06E1"/>
    <w:rsid w:val="00CB18FF"/>
    <w:rsid w:val="00CB24AA"/>
    <w:rsid w:val="00CD0C08"/>
    <w:rsid w:val="00CD3C91"/>
    <w:rsid w:val="00CE03FB"/>
    <w:rsid w:val="00CE38C1"/>
    <w:rsid w:val="00CE433C"/>
    <w:rsid w:val="00CF0161"/>
    <w:rsid w:val="00CF33F3"/>
    <w:rsid w:val="00D05F5E"/>
    <w:rsid w:val="00D06183"/>
    <w:rsid w:val="00D21B30"/>
    <w:rsid w:val="00D22C42"/>
    <w:rsid w:val="00D45669"/>
    <w:rsid w:val="00D464CC"/>
    <w:rsid w:val="00D522F6"/>
    <w:rsid w:val="00D5266F"/>
    <w:rsid w:val="00D65041"/>
    <w:rsid w:val="00D70DAF"/>
    <w:rsid w:val="00D73A7A"/>
    <w:rsid w:val="00D804CF"/>
    <w:rsid w:val="00D9257A"/>
    <w:rsid w:val="00DB00D5"/>
    <w:rsid w:val="00DB1936"/>
    <w:rsid w:val="00DB384B"/>
    <w:rsid w:val="00DC4AAC"/>
    <w:rsid w:val="00DD4E42"/>
    <w:rsid w:val="00DE4E51"/>
    <w:rsid w:val="00DE4F94"/>
    <w:rsid w:val="00DF0189"/>
    <w:rsid w:val="00E06FD5"/>
    <w:rsid w:val="00E10E80"/>
    <w:rsid w:val="00E11171"/>
    <w:rsid w:val="00E124F0"/>
    <w:rsid w:val="00E227F3"/>
    <w:rsid w:val="00E27E8A"/>
    <w:rsid w:val="00E450C3"/>
    <w:rsid w:val="00E4728B"/>
    <w:rsid w:val="00E545C6"/>
    <w:rsid w:val="00E60F04"/>
    <w:rsid w:val="00E65B24"/>
    <w:rsid w:val="00E6690C"/>
    <w:rsid w:val="00E75750"/>
    <w:rsid w:val="00E83FAA"/>
    <w:rsid w:val="00E854E4"/>
    <w:rsid w:val="00E86DBF"/>
    <w:rsid w:val="00E86F9E"/>
    <w:rsid w:val="00E93AD3"/>
    <w:rsid w:val="00E948CE"/>
    <w:rsid w:val="00EA080B"/>
    <w:rsid w:val="00EB0D6F"/>
    <w:rsid w:val="00EB2232"/>
    <w:rsid w:val="00EC45CD"/>
    <w:rsid w:val="00EC5337"/>
    <w:rsid w:val="00EE49E8"/>
    <w:rsid w:val="00EE60D0"/>
    <w:rsid w:val="00F10B59"/>
    <w:rsid w:val="00F16BAB"/>
    <w:rsid w:val="00F2150A"/>
    <w:rsid w:val="00F231D8"/>
    <w:rsid w:val="00F426EB"/>
    <w:rsid w:val="00F44371"/>
    <w:rsid w:val="00F44C00"/>
    <w:rsid w:val="00F45D2C"/>
    <w:rsid w:val="00F46C5F"/>
    <w:rsid w:val="00F5667D"/>
    <w:rsid w:val="00F56F10"/>
    <w:rsid w:val="00F632C0"/>
    <w:rsid w:val="00F727EE"/>
    <w:rsid w:val="00F74694"/>
    <w:rsid w:val="00F86596"/>
    <w:rsid w:val="00F93FD4"/>
    <w:rsid w:val="00F94A63"/>
    <w:rsid w:val="00FA1C28"/>
    <w:rsid w:val="00FA3991"/>
    <w:rsid w:val="00FA471C"/>
    <w:rsid w:val="00FB0A34"/>
    <w:rsid w:val="00FB1279"/>
    <w:rsid w:val="00FB561C"/>
    <w:rsid w:val="00FB6B76"/>
    <w:rsid w:val="00FB7596"/>
    <w:rsid w:val="00FE23DC"/>
    <w:rsid w:val="00FE4077"/>
    <w:rsid w:val="00FE500D"/>
    <w:rsid w:val="00FE77D2"/>
    <w:rsid w:val="024C9746"/>
    <w:rsid w:val="0710F4DD"/>
    <w:rsid w:val="075DC587"/>
    <w:rsid w:val="166CB377"/>
    <w:rsid w:val="188AAF99"/>
    <w:rsid w:val="2353C613"/>
    <w:rsid w:val="259624C5"/>
    <w:rsid w:val="26095E5E"/>
    <w:rsid w:val="278E964B"/>
    <w:rsid w:val="28CC002E"/>
    <w:rsid w:val="2B136146"/>
    <w:rsid w:val="2BBE95E7"/>
    <w:rsid w:val="2C49421C"/>
    <w:rsid w:val="31DB853E"/>
    <w:rsid w:val="3417C4D8"/>
    <w:rsid w:val="342BE7CB"/>
    <w:rsid w:val="35716CF9"/>
    <w:rsid w:val="36925C9A"/>
    <w:rsid w:val="36BE7350"/>
    <w:rsid w:val="39B351CB"/>
    <w:rsid w:val="39C83549"/>
    <w:rsid w:val="3FC32C96"/>
    <w:rsid w:val="431103E4"/>
    <w:rsid w:val="446E9CB5"/>
    <w:rsid w:val="4F993628"/>
    <w:rsid w:val="4FB92744"/>
    <w:rsid w:val="50253038"/>
    <w:rsid w:val="558108A7"/>
    <w:rsid w:val="5829728C"/>
    <w:rsid w:val="58304311"/>
    <w:rsid w:val="5949843C"/>
    <w:rsid w:val="599FDD7D"/>
    <w:rsid w:val="5A74D630"/>
    <w:rsid w:val="5CEC7B73"/>
    <w:rsid w:val="5D41DE06"/>
    <w:rsid w:val="5DB58931"/>
    <w:rsid w:val="5DBD7556"/>
    <w:rsid w:val="5EEC3B87"/>
    <w:rsid w:val="616C603C"/>
    <w:rsid w:val="621D83D1"/>
    <w:rsid w:val="62759D70"/>
    <w:rsid w:val="6331DD54"/>
    <w:rsid w:val="64ECB845"/>
    <w:rsid w:val="65CA7EBE"/>
    <w:rsid w:val="67B748BD"/>
    <w:rsid w:val="6B8CFF5A"/>
    <w:rsid w:val="6DDA0651"/>
    <w:rsid w:val="70F7E980"/>
    <w:rsid w:val="71C568D8"/>
    <w:rsid w:val="745F821B"/>
    <w:rsid w:val="75DE1320"/>
    <w:rsid w:val="79A999B4"/>
    <w:rsid w:val="7D97226D"/>
    <w:rsid w:val="7E6E8563"/>
    <w:rsid w:val="7ED8C5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27D12"/>
  <w15:docId w15:val="{8BE1A8CA-33C7-4F7C-8DEB-B2514650E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5C6F1C"/>
    <w:rPr>
      <w:color w:val="666666"/>
    </w:rPr>
  </w:style>
  <w:style w:type="paragraph" w:customStyle="1" w:styleId="Reasons">
    <w:name w:val="Reasons"/>
    <w:basedOn w:val="Normal"/>
    <w:qFormat/>
    <w:rsid w:val="00F44371"/>
  </w:style>
  <w:style w:type="paragraph" w:styleId="ListParagraph">
    <w:name w:val="List Paragraph"/>
    <w:basedOn w:val="Normal"/>
    <w:uiPriority w:val="34"/>
    <w:qFormat/>
    <w:rsid w:val="39B351CB"/>
    <w:pPr>
      <w:ind w:left="720"/>
      <w:contextualSpacing/>
    </w:pPr>
  </w:style>
  <w:style w:type="table" w:styleId="PlainTable1">
    <w:name w:val="Plain Table 1"/>
    <w:basedOn w:val="TableNormal"/>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semiHidden/>
    <w:unhideWhenUsed/>
    <w:rsid w:val="002B465E"/>
    <w:rPr>
      <w:sz w:val="16"/>
      <w:szCs w:val="16"/>
    </w:rPr>
  </w:style>
  <w:style w:type="paragraph" w:styleId="CommentText">
    <w:name w:val="annotation text"/>
    <w:basedOn w:val="Normal"/>
    <w:link w:val="CommentTextChar"/>
    <w:unhideWhenUsed/>
    <w:rsid w:val="002B465E"/>
    <w:rPr>
      <w:sz w:val="20"/>
    </w:rPr>
  </w:style>
  <w:style w:type="character" w:customStyle="1" w:styleId="CommentTextChar">
    <w:name w:val="Comment Text Char"/>
    <w:basedOn w:val="DefaultParagraphFont"/>
    <w:link w:val="CommentText"/>
    <w:rsid w:val="002B465E"/>
    <w:rPr>
      <w:rFonts w:ascii="Calibri" w:hAnsi="Calibri"/>
      <w:lang w:val="en-GB" w:eastAsia="en-US"/>
    </w:rPr>
  </w:style>
  <w:style w:type="paragraph" w:styleId="CommentSubject">
    <w:name w:val="annotation subject"/>
    <w:basedOn w:val="CommentText"/>
    <w:next w:val="CommentText"/>
    <w:link w:val="CommentSubjectChar"/>
    <w:semiHidden/>
    <w:unhideWhenUsed/>
    <w:rsid w:val="002B465E"/>
    <w:rPr>
      <w:b/>
      <w:bCs/>
    </w:rPr>
  </w:style>
  <w:style w:type="character" w:customStyle="1" w:styleId="CommentSubjectChar">
    <w:name w:val="Comment Subject Char"/>
    <w:basedOn w:val="CommentTextChar"/>
    <w:link w:val="CommentSubject"/>
    <w:semiHidden/>
    <w:rsid w:val="002B465E"/>
    <w:rPr>
      <w:rFonts w:ascii="Calibri" w:hAnsi="Calibri"/>
      <w:b/>
      <w:bCs/>
      <w:lang w:val="en-GB" w:eastAsia="en-US"/>
    </w:rPr>
  </w:style>
  <w:style w:type="paragraph" w:styleId="Revision">
    <w:name w:val="Revision"/>
    <w:hidden/>
    <w:uiPriority w:val="99"/>
    <w:semiHidden/>
    <w:rsid w:val="001F5AE8"/>
    <w:rPr>
      <w:rFonts w:ascii="Calibri" w:hAnsi="Calibri"/>
      <w:sz w:val="24"/>
      <w:lang w:val="en-GB" w:eastAsia="en-US"/>
    </w:rPr>
  </w:style>
  <w:style w:type="character" w:styleId="Mention">
    <w:name w:val="Mention"/>
    <w:basedOn w:val="DefaultParagraphFont"/>
    <w:uiPriority w:val="99"/>
    <w:unhideWhenUsed/>
    <w:rsid w:val="00190377"/>
    <w:rPr>
      <w:color w:val="2B579A"/>
      <w:shd w:val="clear" w:color="auto" w:fill="E1DFDD"/>
    </w:rPr>
  </w:style>
  <w:style w:type="paragraph" w:customStyle="1" w:styleId="Tablefin">
    <w:name w:val="Table_fin"/>
    <w:basedOn w:val="Tabletext"/>
    <w:rsid w:val="00B2717E"/>
    <w:pPr>
      <w:tabs>
        <w:tab w:val="clear" w:pos="284"/>
        <w:tab w:val="clear" w:pos="567"/>
        <w:tab w:val="clear" w:pos="851"/>
      </w:tabs>
      <w:spacing w:before="0" w:after="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5-CL-C-0095/en" TargetMode="External"/><Relationship Id="rId18" Type="http://schemas.openxmlformats.org/officeDocument/2006/relationships/hyperlink" Target="https://www.itu.int/md/S25-CL-C-0060/en"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itu.int/en/council/cwg-fhr/Pages/default.aspx" TargetMode="External"/><Relationship Id="rId17" Type="http://schemas.openxmlformats.org/officeDocument/2006/relationships/hyperlink" Target="https://council.itu.int/2025/en/hosting-itu-meeting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itu.int/md/S25-CL-C-0105/en" TargetMode="External"/><Relationship Id="rId20" Type="http://schemas.openxmlformats.org/officeDocument/2006/relationships/hyperlink" Target="https://council.itu.int/2025/en/hosting-itu-meeting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5-CL-C-0060/en"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itu.int/md/S25-CL-C-0060/e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tu.int/md/S21-SG-CIR-0047/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L-C-0105/en"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6B2CC4DF5F10149B2E37F08EDC3AC3A" ma:contentTypeVersion="12" ma:contentTypeDescription="Crear nuevo documento." ma:contentTypeScope="" ma:versionID="ef6a786f601f099a933374c36fe1a955">
  <xsd:schema xmlns:xsd="http://www.w3.org/2001/XMLSchema" xmlns:xs="http://www.w3.org/2001/XMLSchema" xmlns:p="http://schemas.microsoft.com/office/2006/metadata/properties" xmlns:ns2="a1cf676c-2816-4389-ad5d-0f2e7c7e67c4" targetNamespace="http://schemas.microsoft.com/office/2006/metadata/properties" ma:root="true" ma:fieldsID="f846d8c12b833df1453f09cb14926907"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cf676c-2816-4389-ad5d-0f2e7c7e67c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BBA9D-7CAC-45D7-A6D0-AC3DC432A38B}">
  <ds:schemaRefs>
    <ds:schemaRef ds:uri="http://schemas.microsoft.com/sharepoint/v3/contenttype/forms"/>
  </ds:schemaRefs>
</ds:datastoreItem>
</file>

<file path=customXml/itemProps2.xml><?xml version="1.0" encoding="utf-8"?>
<ds:datastoreItem xmlns:ds="http://schemas.openxmlformats.org/officeDocument/2006/customXml" ds:itemID="{F71858BA-D2E2-4596-A66D-B8A38F82A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C08A5D-24C1-456E-8794-093D285FFA95}">
  <ds:schemaRefs>
    <ds:schemaRef ds:uri="http://www.w3.org/XML/1998/namespace"/>
    <ds:schemaRef ds:uri="http://schemas.microsoft.com/office/2006/metadata/propertie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a1cf676c-2816-4389-ad5d-0f2e7c7e67c4"/>
    <ds:schemaRef ds:uri="http://purl.org/dc/terms/"/>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1654</Words>
  <Characters>8461</Characters>
  <Application>Microsoft Office Word</Application>
  <DocSecurity>0</DocSecurity>
  <Lines>318</Lines>
  <Paragraphs>170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on business continuity modalities for ITU meetings 2028-2029</dc:title>
  <dc:subject>ITU Council Working Group on financial and human resources</dc:subject>
  <cp:keywords>CWG-FHR</cp:keywords>
  <dc:description/>
  <dcterms:created xsi:type="dcterms:W3CDTF">2025-08-08T13:18:00Z</dcterms:created>
  <dcterms:modified xsi:type="dcterms:W3CDTF">2025-08-08T13:19:00Z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380f48d8275ac0b4c619f5905225f6dc65f1f8fd06a88d3bbad1033ac6bb9d89</vt:lpwstr>
  </property>
  <property fmtid="{D5CDD505-2E9C-101B-9397-08002B2CF9AE}" pid="3" name="ContentTypeId">
    <vt:lpwstr>0x01010096B2CC4DF5F10149B2E37F08EDC3AC3A</vt:lpwstr>
  </property>
  <property fmtid="{D5CDD505-2E9C-101B-9397-08002B2CF9AE}" pid="4" name="MediaServiceImageTags">
    <vt:lpwstr/>
  </property>
</Properties>
</file>