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06988536" w14:textId="77777777" w:rsidTr="00AD3606">
        <w:trPr>
          <w:cantSplit/>
          <w:trHeight w:val="23"/>
        </w:trPr>
        <w:tc>
          <w:tcPr>
            <w:tcW w:w="3969" w:type="dxa"/>
            <w:vMerge w:val="restart"/>
            <w:tcMar>
              <w:left w:w="0" w:type="dxa"/>
            </w:tcMar>
          </w:tcPr>
          <w:p w14:paraId="09139E8F" w14:textId="38621A17" w:rsidR="00AD3606" w:rsidRPr="00147C54" w:rsidRDefault="00AD3606" w:rsidP="00462E08">
            <w:pPr>
              <w:pStyle w:val="Heading1"/>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0B68EFE" w14:textId="40929AD0"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Pr="00301AEE">
              <w:rPr>
                <w:b/>
                <w:lang w:val="fr-FR"/>
              </w:rPr>
              <w:t>C</w:t>
            </w:r>
            <w:r w:rsidR="00A52C84" w:rsidRPr="00301AEE">
              <w:rPr>
                <w:b/>
                <w:lang w:val="fr-FR"/>
              </w:rPr>
              <w:t>WG</w:t>
            </w:r>
            <w:proofErr w:type="spellEnd"/>
            <w:r w:rsidR="00A52C84" w:rsidRPr="00301AEE">
              <w:rPr>
                <w:b/>
                <w:lang w:val="fr-FR"/>
              </w:rPr>
              <w:t>-</w:t>
            </w:r>
            <w:proofErr w:type="spellStart"/>
            <w:r w:rsidR="000F6AB8">
              <w:rPr>
                <w:b/>
                <w:lang w:val="fr-FR"/>
              </w:rPr>
              <w:t>FHR</w:t>
            </w:r>
            <w:proofErr w:type="spellEnd"/>
            <w:r w:rsidR="00A52C84" w:rsidRPr="00301AEE">
              <w:rPr>
                <w:b/>
                <w:lang w:val="fr-FR"/>
              </w:rPr>
              <w:t>-</w:t>
            </w:r>
            <w:r w:rsidR="00AC61DD">
              <w:rPr>
                <w:b/>
                <w:lang w:val="fr-FR"/>
              </w:rPr>
              <w:t>21</w:t>
            </w:r>
            <w:r w:rsidR="00301AEE" w:rsidRPr="00301AEE">
              <w:rPr>
                <w:b/>
                <w:lang w:val="fr-FR"/>
              </w:rPr>
              <w:t>/</w:t>
            </w:r>
            <w:r w:rsidR="008206FE">
              <w:rPr>
                <w:b/>
                <w:lang w:val="fr-FR"/>
              </w:rPr>
              <w:t>8</w:t>
            </w:r>
          </w:p>
        </w:tc>
      </w:tr>
      <w:tr w:rsidR="00AD3606" w:rsidRPr="00147C54" w14:paraId="6F6AB1F4" w14:textId="77777777" w:rsidTr="00AD3606">
        <w:trPr>
          <w:cantSplit/>
        </w:trPr>
        <w:tc>
          <w:tcPr>
            <w:tcW w:w="3969" w:type="dxa"/>
            <w:vMerge/>
          </w:tcPr>
          <w:p w14:paraId="243B216A"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B7DAD36" w14:textId="2CAA9CD8" w:rsidR="00AD3606" w:rsidRPr="00147C54" w:rsidRDefault="005D7230" w:rsidP="00AD3606">
            <w:pPr>
              <w:tabs>
                <w:tab w:val="left" w:pos="851"/>
              </w:tabs>
              <w:spacing w:before="0"/>
              <w:jc w:val="right"/>
              <w:rPr>
                <w:b/>
              </w:rPr>
            </w:pPr>
            <w:r>
              <w:rPr>
                <w:b/>
              </w:rPr>
              <w:t xml:space="preserve">8 </w:t>
            </w:r>
            <w:r w:rsidR="008206FE">
              <w:rPr>
                <w:b/>
              </w:rPr>
              <w:t>August 2025</w:t>
            </w:r>
          </w:p>
        </w:tc>
      </w:tr>
      <w:tr w:rsidR="00AD3606" w:rsidRPr="00147C54" w14:paraId="15660587" w14:textId="77777777" w:rsidTr="00AD3606">
        <w:trPr>
          <w:cantSplit/>
          <w:trHeight w:val="23"/>
        </w:trPr>
        <w:tc>
          <w:tcPr>
            <w:tcW w:w="3969" w:type="dxa"/>
            <w:vMerge/>
          </w:tcPr>
          <w:p w14:paraId="6B39C677"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227FA1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EF492BD" w14:textId="77777777" w:rsidTr="00AD3606">
        <w:trPr>
          <w:cantSplit/>
          <w:trHeight w:val="23"/>
        </w:trPr>
        <w:tc>
          <w:tcPr>
            <w:tcW w:w="3969" w:type="dxa"/>
          </w:tcPr>
          <w:p w14:paraId="05EEDB52" w14:textId="77777777" w:rsidR="00472BAD" w:rsidRPr="00147C54" w:rsidRDefault="00472BAD" w:rsidP="00AD3606">
            <w:pPr>
              <w:tabs>
                <w:tab w:val="left" w:pos="851"/>
              </w:tabs>
              <w:spacing w:line="240" w:lineRule="atLeast"/>
              <w:rPr>
                <w:b/>
              </w:rPr>
            </w:pPr>
          </w:p>
        </w:tc>
        <w:tc>
          <w:tcPr>
            <w:tcW w:w="5245" w:type="dxa"/>
          </w:tcPr>
          <w:p w14:paraId="37609302" w14:textId="77777777" w:rsidR="00472BAD" w:rsidRPr="00147C54" w:rsidRDefault="00472BAD" w:rsidP="00AD3606">
            <w:pPr>
              <w:tabs>
                <w:tab w:val="left" w:pos="851"/>
              </w:tabs>
              <w:spacing w:before="0" w:line="240" w:lineRule="atLeast"/>
              <w:jc w:val="right"/>
              <w:rPr>
                <w:b/>
              </w:rPr>
            </w:pPr>
          </w:p>
        </w:tc>
      </w:tr>
      <w:tr w:rsidR="00AD3606" w:rsidRPr="00147C54" w14:paraId="4D854B2D" w14:textId="77777777" w:rsidTr="00AD3606">
        <w:trPr>
          <w:cantSplit/>
        </w:trPr>
        <w:tc>
          <w:tcPr>
            <w:tcW w:w="9214" w:type="dxa"/>
            <w:gridSpan w:val="2"/>
            <w:tcMar>
              <w:left w:w="0" w:type="dxa"/>
            </w:tcMar>
          </w:tcPr>
          <w:p w14:paraId="57AE1C6C" w14:textId="5CE57145" w:rsidR="00AD3606" w:rsidRPr="00147C54" w:rsidRDefault="000F6AB8" w:rsidP="00E4728B">
            <w:pPr>
              <w:pStyle w:val="Source"/>
              <w:framePr w:hSpace="0" w:wrap="auto" w:vAnchor="margin" w:hAnchor="text" w:xAlign="left" w:yAlign="inline"/>
            </w:pPr>
            <w:bookmarkStart w:id="8" w:name="dsource" w:colFirst="0" w:colLast="0"/>
            <w:bookmarkEnd w:id="7"/>
            <w:r>
              <w:t>Report</w:t>
            </w:r>
            <w:r w:rsidRPr="00676C7D">
              <w:t xml:space="preserve"> by the </w:t>
            </w:r>
            <w:r w:rsidR="004D3B0A">
              <w:t>Secretary-General</w:t>
            </w:r>
          </w:p>
        </w:tc>
      </w:tr>
      <w:tr w:rsidR="00AD3606" w:rsidRPr="00147C54" w14:paraId="16EB458A" w14:textId="77777777" w:rsidTr="00AD3606">
        <w:trPr>
          <w:cantSplit/>
        </w:trPr>
        <w:tc>
          <w:tcPr>
            <w:tcW w:w="9214" w:type="dxa"/>
            <w:gridSpan w:val="2"/>
            <w:tcMar>
              <w:left w:w="0" w:type="dxa"/>
            </w:tcMar>
          </w:tcPr>
          <w:p w14:paraId="0DA1E56D" w14:textId="36454A78" w:rsidR="00AD3606" w:rsidRPr="00147C54" w:rsidRDefault="00693695" w:rsidP="00E4728B">
            <w:pPr>
              <w:pStyle w:val="Subtitle"/>
              <w:framePr w:hSpace="0" w:wrap="auto" w:xAlign="left" w:yAlign="inline"/>
            </w:pPr>
            <w:bookmarkStart w:id="9" w:name="dtitle1" w:colFirst="0" w:colLast="0"/>
            <w:bookmarkEnd w:id="8"/>
            <w:r>
              <w:t>REDUCING FINANCIAL BURDENS ON HOST COUNTRIES OF ITU CONFERENCES, MEETINGS AND ACTIVITIES</w:t>
            </w:r>
          </w:p>
        </w:tc>
      </w:tr>
      <w:tr w:rsidR="00AD3606" w:rsidRPr="00837F46" w14:paraId="5E1AA971" w14:textId="77777777" w:rsidTr="00AD3606">
        <w:trPr>
          <w:cantSplit/>
        </w:trPr>
        <w:tc>
          <w:tcPr>
            <w:tcW w:w="9214" w:type="dxa"/>
            <w:gridSpan w:val="2"/>
            <w:tcBorders>
              <w:top w:val="single" w:sz="4" w:space="0" w:color="auto"/>
              <w:bottom w:val="single" w:sz="4" w:space="0" w:color="auto"/>
            </w:tcBorders>
            <w:tcMar>
              <w:left w:w="0" w:type="dxa"/>
            </w:tcMar>
          </w:tcPr>
          <w:p w14:paraId="5AD788C9" w14:textId="77777777" w:rsidR="00AD3606" w:rsidRPr="00147C54" w:rsidRDefault="00F16BAB" w:rsidP="00F16BAB">
            <w:pPr>
              <w:spacing w:before="160"/>
              <w:rPr>
                <w:b/>
                <w:bCs/>
                <w:sz w:val="26"/>
                <w:szCs w:val="26"/>
              </w:rPr>
            </w:pPr>
            <w:r w:rsidRPr="00147C54">
              <w:rPr>
                <w:b/>
                <w:bCs/>
                <w:sz w:val="26"/>
                <w:szCs w:val="26"/>
              </w:rPr>
              <w:t>Purpose</w:t>
            </w:r>
          </w:p>
          <w:p w14:paraId="3A0573C2" w14:textId="51BF215C" w:rsidR="00077045" w:rsidRPr="00E713A8" w:rsidRDefault="00753DD5" w:rsidP="001C3A6A">
            <w:pPr>
              <w:jc w:val="both"/>
            </w:pPr>
            <w:r>
              <w:rPr>
                <w:lang w:val="en-US"/>
              </w:rPr>
              <w:t xml:space="preserve">This document provides an assessment of </w:t>
            </w:r>
            <w:r w:rsidR="00E85FE1">
              <w:rPr>
                <w:lang w:val="en-US"/>
              </w:rPr>
              <w:t xml:space="preserve">the </w:t>
            </w:r>
            <w:r>
              <w:rPr>
                <w:lang w:val="en-US"/>
              </w:rPr>
              <w:t xml:space="preserve">proposals </w:t>
            </w:r>
            <w:r w:rsidR="000931C0">
              <w:rPr>
                <w:lang w:val="en-US"/>
              </w:rPr>
              <w:t xml:space="preserve">on reducing financial burdens on host countries </w:t>
            </w:r>
            <w:r w:rsidR="000931C0" w:rsidRPr="00AA2F3A">
              <w:t>of ITU conferences, meetings and activities</w:t>
            </w:r>
            <w:r w:rsidR="000931C0">
              <w:t xml:space="preserve"> presented to Council 2025 </w:t>
            </w:r>
            <w:r w:rsidR="00B26B9F">
              <w:t>within</w:t>
            </w:r>
            <w:r w:rsidR="00E85FE1">
              <w:t xml:space="preserve"> </w:t>
            </w:r>
            <w:r w:rsidR="008B5ED9">
              <w:t xml:space="preserve">the </w:t>
            </w:r>
            <w:r w:rsidR="00E85FE1">
              <w:t>multi-country contribution in</w:t>
            </w:r>
            <w:r w:rsidR="000931C0">
              <w:t xml:space="preserve"> Document </w:t>
            </w:r>
            <w:hyperlink r:id="rId11" w:history="1">
              <w:proofErr w:type="spellStart"/>
              <w:r w:rsidR="000931C0" w:rsidRPr="00AA2F3A">
                <w:rPr>
                  <w:rStyle w:val="Hyperlink"/>
                  <w:lang w:val="en-US"/>
                </w:rPr>
                <w:t>C25</w:t>
              </w:r>
              <w:proofErr w:type="spellEnd"/>
              <w:r w:rsidR="000931C0" w:rsidRPr="00AA2F3A">
                <w:rPr>
                  <w:rStyle w:val="Hyperlink"/>
                  <w:lang w:val="en-US"/>
                </w:rPr>
                <w:t>/95</w:t>
              </w:r>
            </w:hyperlink>
            <w:r w:rsidR="00077045" w:rsidRPr="00077045">
              <w:t xml:space="preserve">. </w:t>
            </w:r>
          </w:p>
          <w:p w14:paraId="486924FF" w14:textId="77777777" w:rsidR="00AD3606" w:rsidRPr="00147C54" w:rsidRDefault="00AD3606" w:rsidP="00F16BAB">
            <w:pPr>
              <w:spacing w:before="160"/>
              <w:rPr>
                <w:b/>
                <w:bCs/>
                <w:sz w:val="26"/>
                <w:szCs w:val="26"/>
              </w:rPr>
            </w:pPr>
            <w:r w:rsidRPr="00147C54">
              <w:rPr>
                <w:b/>
                <w:bCs/>
                <w:sz w:val="26"/>
                <w:szCs w:val="26"/>
              </w:rPr>
              <w:t>Action required</w:t>
            </w:r>
          </w:p>
          <w:p w14:paraId="04BD14AB" w14:textId="6B360D9E" w:rsidR="0025570E" w:rsidRPr="005D7230" w:rsidRDefault="000F6AB8" w:rsidP="001C3A6A">
            <w:pPr>
              <w:spacing w:before="160"/>
              <w:jc w:val="both"/>
            </w:pPr>
            <w:r w:rsidRPr="00FD7016">
              <w:t xml:space="preserve">The </w:t>
            </w:r>
            <w:r>
              <w:t>Council Working Group on financial and human resources</w:t>
            </w:r>
            <w:r w:rsidRPr="00FD7016">
              <w:t xml:space="preserve"> is invited to</w:t>
            </w:r>
            <w:r>
              <w:t xml:space="preserve"> </w:t>
            </w:r>
            <w:r w:rsidR="0094786C" w:rsidRPr="0094786C">
              <w:rPr>
                <w:b/>
                <w:bCs/>
              </w:rPr>
              <w:t xml:space="preserve">consider </w:t>
            </w:r>
            <w:r w:rsidR="00EC514F" w:rsidRPr="005D7230">
              <w:t>this document</w:t>
            </w:r>
            <w:r w:rsidR="008B5ED9" w:rsidRPr="005D7230">
              <w:t>.</w:t>
            </w:r>
          </w:p>
          <w:p w14:paraId="64CEA947" w14:textId="77777777" w:rsidR="00AD3606" w:rsidRPr="00CD3C91" w:rsidRDefault="00CD3C91" w:rsidP="00CD3C91">
            <w:r>
              <w:t>_______________</w:t>
            </w:r>
          </w:p>
          <w:p w14:paraId="6740FBBB"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43062733" w14:textId="38B68FCE" w:rsidR="00AD3606" w:rsidRPr="00837F46" w:rsidRDefault="000F6AB8" w:rsidP="00837F46">
            <w:pPr>
              <w:spacing w:after="120"/>
              <w:rPr>
                <w:sz w:val="22"/>
                <w:szCs w:val="22"/>
              </w:rPr>
            </w:pPr>
            <w:hyperlink r:id="rId12" w:history="1">
              <w:r w:rsidRPr="00837F46">
                <w:rPr>
                  <w:rStyle w:val="Hyperlink"/>
                  <w:i/>
                  <w:iCs/>
                  <w:sz w:val="22"/>
                  <w:szCs w:val="22"/>
                </w:rPr>
                <w:t>CWG-FHR website</w:t>
              </w:r>
            </w:hyperlink>
            <w:r w:rsidRPr="00837F46">
              <w:rPr>
                <w:i/>
                <w:iCs/>
                <w:sz w:val="22"/>
                <w:szCs w:val="22"/>
              </w:rPr>
              <w:t>;</w:t>
            </w:r>
            <w:r w:rsidR="00837F46" w:rsidRPr="00837F46">
              <w:rPr>
                <w:i/>
                <w:iCs/>
                <w:sz w:val="22"/>
                <w:szCs w:val="22"/>
              </w:rPr>
              <w:t xml:space="preserve"> Council Documents</w:t>
            </w:r>
            <w:r w:rsidRPr="00837F46">
              <w:rPr>
                <w:i/>
                <w:iCs/>
                <w:sz w:val="22"/>
                <w:szCs w:val="22"/>
              </w:rPr>
              <w:t xml:space="preserve"> </w:t>
            </w:r>
            <w:hyperlink r:id="rId13" w:history="1">
              <w:proofErr w:type="spellStart"/>
              <w:r w:rsidR="000575B8" w:rsidRPr="00837F46">
                <w:rPr>
                  <w:rStyle w:val="Hyperlink"/>
                  <w:i/>
                  <w:iCs/>
                  <w:sz w:val="22"/>
                  <w:szCs w:val="22"/>
                </w:rPr>
                <w:t>C25</w:t>
              </w:r>
              <w:proofErr w:type="spellEnd"/>
              <w:r w:rsidR="000575B8" w:rsidRPr="00837F46">
                <w:rPr>
                  <w:rStyle w:val="Hyperlink"/>
                  <w:i/>
                  <w:iCs/>
                  <w:sz w:val="22"/>
                  <w:szCs w:val="22"/>
                </w:rPr>
                <w:t>/95</w:t>
              </w:r>
            </w:hyperlink>
            <w:r w:rsidR="00750F77" w:rsidRPr="00837F46">
              <w:rPr>
                <w:i/>
                <w:iCs/>
                <w:sz w:val="22"/>
                <w:szCs w:val="22"/>
              </w:rPr>
              <w:t xml:space="preserve"> </w:t>
            </w:r>
            <w:r w:rsidR="00837F46" w:rsidRPr="00837F46">
              <w:rPr>
                <w:i/>
                <w:iCs/>
                <w:sz w:val="22"/>
                <w:szCs w:val="22"/>
              </w:rPr>
              <w:t xml:space="preserve">and </w:t>
            </w:r>
            <w:hyperlink r:id="rId14" w:history="1">
              <w:proofErr w:type="spellStart"/>
              <w:r w:rsidR="00667166" w:rsidRPr="00837F46">
                <w:rPr>
                  <w:rStyle w:val="Hyperlink"/>
                  <w:i/>
                  <w:iCs/>
                  <w:sz w:val="22"/>
                  <w:szCs w:val="22"/>
                </w:rPr>
                <w:t>C25</w:t>
              </w:r>
              <w:proofErr w:type="spellEnd"/>
              <w:r w:rsidR="00667166" w:rsidRPr="00837F46">
                <w:rPr>
                  <w:rStyle w:val="Hyperlink"/>
                  <w:i/>
                  <w:iCs/>
                  <w:sz w:val="22"/>
                  <w:szCs w:val="22"/>
                </w:rPr>
                <w:t>/105</w:t>
              </w:r>
            </w:hyperlink>
          </w:p>
        </w:tc>
      </w:tr>
    </w:tbl>
    <w:p w14:paraId="3FE32CB1" w14:textId="77777777" w:rsidR="00E227F3" w:rsidRPr="00837F4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9365793" w14:textId="77777777" w:rsidR="0090147A" w:rsidRPr="00837F46"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837F46">
        <w:br w:type="page"/>
      </w:r>
    </w:p>
    <w:bookmarkEnd w:id="5"/>
    <w:bookmarkEnd w:id="10"/>
    <w:p w14:paraId="60D9876F" w14:textId="68577DB0" w:rsidR="00F44371" w:rsidRPr="00CF2F9F" w:rsidRDefault="00EC514F" w:rsidP="00D37763">
      <w:pPr>
        <w:pStyle w:val="Headingb"/>
      </w:pPr>
      <w:r w:rsidRPr="00CF2F9F">
        <w:lastRenderedPageBreak/>
        <w:t>Introduction</w:t>
      </w:r>
    </w:p>
    <w:p w14:paraId="0DB8B326" w14:textId="28EFC66A" w:rsidR="00B26B9F" w:rsidRDefault="00B26B9F" w:rsidP="002D4E23">
      <w:pPr>
        <w:jc w:val="both"/>
        <w:rPr>
          <w:lang w:val="en-US"/>
        </w:rPr>
      </w:pPr>
      <w:r>
        <w:rPr>
          <w:lang w:val="en-US"/>
        </w:rPr>
        <w:t>The multi-country contribution on reducing financial burdens on host countries of ITU conferences, meetings and activities (</w:t>
      </w:r>
      <w:r w:rsidR="00D37763">
        <w:rPr>
          <w:lang w:val="en-US"/>
        </w:rPr>
        <w:t xml:space="preserve">Document </w:t>
      </w:r>
      <w:hyperlink r:id="rId15" w:history="1">
        <w:proofErr w:type="spellStart"/>
        <w:r w:rsidRPr="00AA2F3A">
          <w:rPr>
            <w:rStyle w:val="Hyperlink"/>
            <w:lang w:val="en-US"/>
          </w:rPr>
          <w:t>C25</w:t>
        </w:r>
        <w:proofErr w:type="spellEnd"/>
        <w:r w:rsidRPr="00AA2F3A">
          <w:rPr>
            <w:rStyle w:val="Hyperlink"/>
            <w:lang w:val="en-US"/>
          </w:rPr>
          <w:t>/95</w:t>
        </w:r>
      </w:hyperlink>
      <w:r>
        <w:rPr>
          <w:lang w:val="en-US"/>
        </w:rPr>
        <w:t>) presented to Council 2025 included concrete proposals to facilitate the broader participation of countries, especially developing countries, as hosts of ITU activities. The Council requested that the secretariat assess the</w:t>
      </w:r>
      <w:r w:rsidR="000C5EE6">
        <w:rPr>
          <w:lang w:val="en-US"/>
        </w:rPr>
        <w:t xml:space="preserve"> feasibility of these proposals</w:t>
      </w:r>
      <w:r>
        <w:rPr>
          <w:lang w:val="en-US"/>
        </w:rPr>
        <w:t xml:space="preserve"> </w:t>
      </w:r>
      <w:r w:rsidR="000C5EE6">
        <w:rPr>
          <w:lang w:val="en-US"/>
        </w:rPr>
        <w:t>for the consideration of the Council Working Group on Financial and Human Resources (CWG-FHR).</w:t>
      </w:r>
    </w:p>
    <w:p w14:paraId="42293F40" w14:textId="3ED589CA" w:rsidR="002614D4" w:rsidRPr="00342684" w:rsidRDefault="001D4B9A" w:rsidP="00D37763">
      <w:pPr>
        <w:pStyle w:val="Headingb"/>
        <w:rPr>
          <w:lang w:val="en-US"/>
        </w:rPr>
      </w:pPr>
      <w:r w:rsidRPr="00342684">
        <w:rPr>
          <w:lang w:val="en-US"/>
        </w:rPr>
        <w:t xml:space="preserve">Proposal 1: </w:t>
      </w:r>
      <w:r w:rsidR="00D37763" w:rsidRPr="00342684">
        <w:rPr>
          <w:lang w:val="en-US"/>
        </w:rPr>
        <w:t xml:space="preserve">Utilize </w:t>
      </w:r>
      <w:r w:rsidRPr="00342684">
        <w:rPr>
          <w:lang w:val="en-US"/>
        </w:rPr>
        <w:t xml:space="preserve">local and/or national interpretation resources </w:t>
      </w:r>
    </w:p>
    <w:p w14:paraId="5C8DB8E6" w14:textId="5DF88EED" w:rsidR="00342684" w:rsidRDefault="002614D4" w:rsidP="002D4E23">
      <w:pPr>
        <w:jc w:val="both"/>
        <w:rPr>
          <w:lang w:val="en-US"/>
        </w:rPr>
      </w:pPr>
      <w:r>
        <w:rPr>
          <w:lang w:val="en-US"/>
        </w:rPr>
        <w:t>Recruiting qualified local interpreters would reduce the cost</w:t>
      </w:r>
      <w:r w:rsidR="00342684">
        <w:rPr>
          <w:lang w:val="en-US"/>
        </w:rPr>
        <w:t xml:space="preserve"> of</w:t>
      </w:r>
      <w:r w:rsidR="001D4B9A">
        <w:rPr>
          <w:lang w:val="en-US"/>
        </w:rPr>
        <w:t xml:space="preserve"> travel, accommodation and per diem expenses </w:t>
      </w:r>
      <w:r w:rsidR="00342684">
        <w:rPr>
          <w:lang w:val="en-US"/>
        </w:rPr>
        <w:t>for interpreters</w:t>
      </w:r>
      <w:r w:rsidR="00A86610">
        <w:rPr>
          <w:lang w:val="en-US"/>
        </w:rPr>
        <w:t xml:space="preserve"> otherwise borne by the host country or ITU.</w:t>
      </w:r>
    </w:p>
    <w:p w14:paraId="753B455A" w14:textId="0A2631EB" w:rsidR="00A86610" w:rsidRPr="00AA719E" w:rsidRDefault="00A86610" w:rsidP="00D37763">
      <w:pPr>
        <w:pStyle w:val="Headingi"/>
        <w:rPr>
          <w:lang w:val="en-US"/>
        </w:rPr>
      </w:pPr>
      <w:r w:rsidRPr="00AA719E">
        <w:rPr>
          <w:lang w:val="en-US"/>
        </w:rPr>
        <w:t>Current practice</w:t>
      </w:r>
    </w:p>
    <w:p w14:paraId="35351929" w14:textId="355E737F" w:rsidR="00A12DB7" w:rsidRDefault="00A12DB7" w:rsidP="002D4E23">
      <w:pPr>
        <w:jc w:val="both"/>
      </w:pPr>
      <w:r w:rsidRPr="00A12DB7">
        <w:t xml:space="preserve">Interpretation for ITU events held outside Geneva involves both salary and travel-related expenses. Interpreters are contracted as ITU short-term staff </w:t>
      </w:r>
      <w:r w:rsidR="00611541">
        <w:t>with</w:t>
      </w:r>
      <w:r w:rsidRPr="00A12DB7">
        <w:t xml:space="preserve"> the same travel rules and conditions as regular ITU staff. </w:t>
      </w:r>
      <w:r w:rsidR="00E92FB9">
        <w:t>This means that, typically,</w:t>
      </w:r>
      <w:r w:rsidRPr="00A12DB7">
        <w:t xml:space="preserve"> ITU covers interpreter</w:t>
      </w:r>
      <w:r w:rsidR="00E92FB9">
        <w:t xml:space="preserve"> salaries whilst the event host country </w:t>
      </w:r>
      <w:r w:rsidR="005F4FDF">
        <w:t>covers</w:t>
      </w:r>
      <w:r w:rsidRPr="00A12DB7">
        <w:t xml:space="preserve"> travel, accommodation, and </w:t>
      </w:r>
      <w:r w:rsidR="005F4FDF">
        <w:t>daily subsistence allowances</w:t>
      </w:r>
      <w:r w:rsidRPr="00A12DB7">
        <w:t>. These costs can be significant, particularly for conferences involving all six official languages and multiple parallel sessions, such as WRC and PP, which require more than 60 interpreters. Shorter conferences</w:t>
      </w:r>
      <w:r w:rsidR="00CF069B">
        <w:t xml:space="preserve">, such as </w:t>
      </w:r>
      <w:proofErr w:type="spellStart"/>
      <w:r w:rsidR="00CF069B">
        <w:t>WTSA</w:t>
      </w:r>
      <w:proofErr w:type="spellEnd"/>
      <w:r w:rsidR="00CF069B">
        <w:t xml:space="preserve"> and </w:t>
      </w:r>
      <w:proofErr w:type="spellStart"/>
      <w:r w:rsidR="00CF069B">
        <w:t>WTDC</w:t>
      </w:r>
      <w:proofErr w:type="spellEnd"/>
      <w:r w:rsidR="00CF069B">
        <w:t xml:space="preserve">, require more than 30 interpreters; multi-day events, such as </w:t>
      </w:r>
      <w:proofErr w:type="spellStart"/>
      <w:r w:rsidR="00CF069B">
        <w:t>GSR</w:t>
      </w:r>
      <w:proofErr w:type="spellEnd"/>
      <w:r w:rsidR="00CF069B">
        <w:t>,</w:t>
      </w:r>
      <w:r w:rsidRPr="00A12DB7">
        <w:t xml:space="preserve"> </w:t>
      </w:r>
      <w:r w:rsidR="007A39C8">
        <w:t>need a team of a</w:t>
      </w:r>
      <w:r w:rsidRPr="00A12DB7">
        <w:t xml:space="preserve"> minimum of 14 interpreters to cover </w:t>
      </w:r>
      <w:r w:rsidR="007A39C8">
        <w:t>all six</w:t>
      </w:r>
      <w:r w:rsidRPr="00A12DB7">
        <w:t xml:space="preserve"> languages.</w:t>
      </w:r>
    </w:p>
    <w:p w14:paraId="3DD99057" w14:textId="1DD24568" w:rsidR="00847834" w:rsidRPr="00847834" w:rsidRDefault="00847834" w:rsidP="00D37763">
      <w:pPr>
        <w:pStyle w:val="Headingi"/>
      </w:pPr>
      <w:r w:rsidRPr="00847834">
        <w:t>Existing measures to reduce interpretation expenses for host countries</w:t>
      </w:r>
    </w:p>
    <w:p w14:paraId="3F00B249" w14:textId="40DBB76C" w:rsidR="00A12DB7" w:rsidRDefault="00933713" w:rsidP="002D4E23">
      <w:pPr>
        <w:jc w:val="both"/>
      </w:pPr>
      <w:r>
        <w:t xml:space="preserve">The ITU interpretation service consistently prioritizes recruitment of qualified local interpreters from the host country, as well as national interpreters from the relevant language regions, in order to reduce travel and related expenses. </w:t>
      </w:r>
      <w:r w:rsidR="009928A2">
        <w:t>At P</w:t>
      </w:r>
      <w:r w:rsidR="008B5ED9">
        <w:t>P</w:t>
      </w:r>
      <w:r w:rsidR="001C3A6A">
        <w:t>-</w:t>
      </w:r>
      <w:r w:rsidR="008B5ED9">
        <w:t>20</w:t>
      </w:r>
      <w:r w:rsidR="009928A2">
        <w:t>22 in Bucharest, Romania, one local interpreter and four national interpreters were recruited; at WRC</w:t>
      </w:r>
      <w:r w:rsidR="001C3A6A">
        <w:t>-</w:t>
      </w:r>
      <w:r w:rsidR="009928A2">
        <w:t xml:space="preserve">23 in Dubai, UAE, six local interpreters and five national interpreters were present; whilst at </w:t>
      </w:r>
      <w:proofErr w:type="spellStart"/>
      <w:r w:rsidR="009928A2">
        <w:t>WTSA</w:t>
      </w:r>
      <w:proofErr w:type="spellEnd"/>
      <w:r w:rsidR="001C3A6A">
        <w:t>-</w:t>
      </w:r>
      <w:r w:rsidR="009928A2">
        <w:t>23 in Delhi, India, six national interpreters were employed.</w:t>
      </w:r>
      <w:r w:rsidR="00A12DB7" w:rsidRPr="00A12DB7">
        <w:t xml:space="preserve"> </w:t>
      </w:r>
    </w:p>
    <w:p w14:paraId="670FB4E2" w14:textId="7359638A" w:rsidR="009928A2" w:rsidRPr="00A12DB7" w:rsidRDefault="009928A2" w:rsidP="00D37763">
      <w:pPr>
        <w:pStyle w:val="Headingi"/>
      </w:pPr>
      <w:r w:rsidRPr="009928A2">
        <w:t>Measures to formalize and expand the use of local and national interpreters</w:t>
      </w:r>
    </w:p>
    <w:p w14:paraId="55275614" w14:textId="3614D4BA" w:rsidR="00A12DB7" w:rsidRDefault="009C09AC" w:rsidP="002D4E23">
      <w:pPr>
        <w:tabs>
          <w:tab w:val="num" w:pos="720"/>
        </w:tabs>
        <w:jc w:val="both"/>
      </w:pPr>
      <w:r>
        <w:t xml:space="preserve">A larger pool of local and national interpreters may be created by inviting host countries, Member </w:t>
      </w:r>
      <w:r w:rsidR="004D6123">
        <w:t>S</w:t>
      </w:r>
      <w:r>
        <w:t>tates and other international organizations to recommend</w:t>
      </w:r>
      <w:r w:rsidR="00A12DB7" w:rsidRPr="009928A2">
        <w:rPr>
          <w:szCs w:val="24"/>
        </w:rPr>
        <w:t xml:space="preserve"> qualified local and national conference interpreters to the ITU </w:t>
      </w:r>
      <w:r>
        <w:rPr>
          <w:szCs w:val="24"/>
        </w:rPr>
        <w:t>s</w:t>
      </w:r>
      <w:r w:rsidR="00A12DB7" w:rsidRPr="009928A2">
        <w:rPr>
          <w:szCs w:val="24"/>
        </w:rPr>
        <w:t>ecretariat</w:t>
      </w:r>
      <w:r>
        <w:rPr>
          <w:szCs w:val="24"/>
        </w:rPr>
        <w:t>. With the support of Member States, the ITU interpretation service may also collaborate</w:t>
      </w:r>
      <w:r w:rsidR="00A12DB7" w:rsidRPr="00A12DB7">
        <w:t xml:space="preserve"> with universities in relevant language regions to help train qualified interpreters for future assignments.</w:t>
      </w:r>
    </w:p>
    <w:p w14:paraId="611E2171" w14:textId="1F02E31F" w:rsidR="00A12DB7" w:rsidRDefault="009C09AC" w:rsidP="002D4E23">
      <w:pPr>
        <w:tabs>
          <w:tab w:val="num" w:pos="720"/>
        </w:tabs>
        <w:jc w:val="both"/>
      </w:pPr>
      <w:r>
        <w:t xml:space="preserve">It should be noted, however, that sourcing </w:t>
      </w:r>
      <w:r w:rsidR="00A12DB7" w:rsidRPr="00A12DB7">
        <w:t xml:space="preserve">qualified simultaneous interpreters for all six official languages </w:t>
      </w:r>
      <w:r w:rsidR="00DE12E4">
        <w:t>may</w:t>
      </w:r>
      <w:r w:rsidR="00A12DB7" w:rsidRPr="00A12DB7">
        <w:t xml:space="preserve"> be difficult</w:t>
      </w:r>
      <w:r w:rsidR="00DE12E4">
        <w:t xml:space="preserve">, given that </w:t>
      </w:r>
      <w:r w:rsidR="008B5ED9">
        <w:t xml:space="preserve">UN </w:t>
      </w:r>
      <w:r w:rsidR="00DE12E4">
        <w:t>c</w:t>
      </w:r>
      <w:r w:rsidR="00A12DB7" w:rsidRPr="00A12DB7">
        <w:t>onference interpreting requires highly specialized trainin</w:t>
      </w:r>
      <w:r w:rsidR="00DE12E4">
        <w:t xml:space="preserve">g and </w:t>
      </w:r>
      <w:r w:rsidR="00A12DB7" w:rsidRPr="00A12DB7">
        <w:t>significant experience in interpretation</w:t>
      </w:r>
      <w:r w:rsidR="00DE12E4">
        <w:t xml:space="preserve"> of</w:t>
      </w:r>
      <w:r w:rsidR="00A12DB7" w:rsidRPr="00A12DB7">
        <w:t xml:space="preserve"> multilingual meetings. </w:t>
      </w:r>
      <w:r w:rsidR="00DE12E4">
        <w:t>Additionally, travel-related costs will still apply for interpreters not available locally</w:t>
      </w:r>
      <w:r w:rsidR="008B5ED9">
        <w:t>.</w:t>
      </w:r>
      <w:r w:rsidR="00DE12E4">
        <w:t xml:space="preserve"> </w:t>
      </w:r>
    </w:p>
    <w:p w14:paraId="12E6DF2E" w14:textId="282AA4F8" w:rsidR="00DE12E4" w:rsidRPr="00DE12E4" w:rsidRDefault="00DE12E4" w:rsidP="00D37763">
      <w:pPr>
        <w:pStyle w:val="Headingi"/>
      </w:pPr>
      <w:r w:rsidRPr="00DE12E4">
        <w:t>Remote Simultaneous Interpretation (RSI)</w:t>
      </w:r>
    </w:p>
    <w:p w14:paraId="47F52DA9" w14:textId="6D7B2A30" w:rsidR="00DE12E4" w:rsidRDefault="00DE12E4" w:rsidP="002D4E23">
      <w:pPr>
        <w:tabs>
          <w:tab w:val="num" w:pos="720"/>
        </w:tabs>
        <w:jc w:val="both"/>
      </w:pPr>
      <w:r>
        <w:t xml:space="preserve">RSI offers a viable, cost-effective alternative to onsite simultaneous interpretation. RSI enables interpreters to work remotely, thereby substantially reducing travel-related costs. </w:t>
      </w:r>
      <w:r w:rsidR="00F05D53">
        <w:t>For business continuity reasons a mix of RSI and onsite interpretation may be used</w:t>
      </w:r>
      <w:r w:rsidR="00F3501D">
        <w:t xml:space="preserve">. </w:t>
      </w:r>
      <w:r>
        <w:t>The ITU interpretation service has been working with the IS department to test RSI solutions for ITU meetings extensively in recent years. RSI may</w:t>
      </w:r>
      <w:r w:rsidR="00D37763">
        <w:t xml:space="preserve"> be</w:t>
      </w:r>
      <w:r>
        <w:t xml:space="preserve"> used for events outside Geneva with the </w:t>
      </w:r>
      <w:r>
        <w:lastRenderedPageBreak/>
        <w:t xml:space="preserve">agreement of the host country and with close technical collaboration between the ITU IS team and the host country technical team to ensure all elements are in place for successful remote delivery. </w:t>
      </w:r>
    </w:p>
    <w:p w14:paraId="6A29F318" w14:textId="77777777" w:rsidR="00514234" w:rsidRDefault="00720DF3" w:rsidP="000A3E15">
      <w:pPr>
        <w:pStyle w:val="Headingb"/>
        <w:rPr>
          <w:lang w:val="en-US"/>
        </w:rPr>
      </w:pPr>
      <w:r w:rsidRPr="00342684">
        <w:rPr>
          <w:lang w:val="en-US"/>
        </w:rPr>
        <w:t xml:space="preserve">Proposal </w:t>
      </w:r>
      <w:r>
        <w:rPr>
          <w:lang w:val="en-US"/>
        </w:rPr>
        <w:t>2</w:t>
      </w:r>
      <w:r w:rsidRPr="00342684">
        <w:rPr>
          <w:lang w:val="en-US"/>
        </w:rPr>
        <w:t xml:space="preserve">: </w:t>
      </w:r>
      <w:r w:rsidR="00514234">
        <w:rPr>
          <w:lang w:val="en-US"/>
        </w:rPr>
        <w:t>local provision of IT equipment and devices</w:t>
      </w:r>
    </w:p>
    <w:p w14:paraId="03283992" w14:textId="77777777" w:rsidR="00514234" w:rsidRPr="00514234" w:rsidRDefault="00514234" w:rsidP="002D4E23">
      <w:pPr>
        <w:jc w:val="both"/>
        <w:rPr>
          <w:lang w:val="en-US"/>
        </w:rPr>
      </w:pPr>
      <w:r w:rsidRPr="00514234">
        <w:rPr>
          <w:lang w:val="en-US"/>
        </w:rPr>
        <w:t>The host country may rent or provide locally available IT equipment to reduce freight costs, customs duties and potential delays, whilst also encouraging the use of local experts and resources in line with Annex 2, Article 5 of Decision 5.</w:t>
      </w:r>
    </w:p>
    <w:p w14:paraId="137B5E3E" w14:textId="77777777" w:rsidR="00514234" w:rsidRPr="00514234" w:rsidRDefault="00514234" w:rsidP="000A3E15">
      <w:pPr>
        <w:pStyle w:val="Headingi"/>
        <w:rPr>
          <w:lang w:val="en-US"/>
        </w:rPr>
      </w:pPr>
      <w:r w:rsidRPr="00514234">
        <w:rPr>
          <w:lang w:val="en-US"/>
        </w:rPr>
        <w:t>Current practice</w:t>
      </w:r>
    </w:p>
    <w:p w14:paraId="7064F174" w14:textId="481892FC" w:rsidR="00EE6C9D" w:rsidRPr="004D4B16" w:rsidRDefault="00EE6C9D" w:rsidP="7C4BBC50">
      <w:pPr>
        <w:jc w:val="both"/>
        <w:rPr>
          <w:lang w:val="en-US"/>
        </w:rPr>
      </w:pPr>
      <w:r>
        <w:t xml:space="preserve">For major conferences held outside Geneva, the secretariat typically ships a standard kit of ITU-owned hardware (access-control turnstiles, badge printers, servers, laptops, </w:t>
      </w:r>
      <w:r w:rsidR="0EA41FB3">
        <w:t>routers</w:t>
      </w:r>
      <w:r>
        <w:t xml:space="preserve">, and secure storage media). </w:t>
      </w:r>
      <w:r w:rsidR="6ED33F62" w:rsidRPr="5CDB6172">
        <w:rPr>
          <w:rFonts w:eastAsia="Calibri" w:cs="Calibri"/>
          <w:szCs w:val="24"/>
        </w:rPr>
        <w:t xml:space="preserve">We bring all servers to the venue to ensure uninterrupted event operations in the event of internet connectivity loss. This includes local print servers, Active Directory, database, and application servers, allowing us to maintain essential services independently of external network access. </w:t>
      </w:r>
      <w:r>
        <w:t xml:space="preserve">While this approach guarantees full compliance with ITU security baselines and service-level agreements, it entails significant freight, customs-clearance and insurance costs, and introduces schedule risk if consignments are delayed. </w:t>
      </w:r>
      <w:r w:rsidRPr="5CDB6172">
        <w:rPr>
          <w:lang w:val="en-US"/>
        </w:rPr>
        <w:t xml:space="preserve">It </w:t>
      </w:r>
      <w:r>
        <w:t>improve</w:t>
      </w:r>
      <w:r w:rsidR="009E3F42">
        <w:t>s,</w:t>
      </w:r>
      <w:r>
        <w:t xml:space="preserve"> </w:t>
      </w:r>
      <w:r w:rsidRPr="5CDB6172">
        <w:rPr>
          <w:lang w:val="en-US"/>
        </w:rPr>
        <w:t>however</w:t>
      </w:r>
      <w:r w:rsidR="009E3F42" w:rsidRPr="5CDB6172">
        <w:rPr>
          <w:lang w:val="en-US"/>
        </w:rPr>
        <w:t>,</w:t>
      </w:r>
      <w:r w:rsidRPr="5CDB6172">
        <w:rPr>
          <w:lang w:val="en-US"/>
        </w:rPr>
        <w:t xml:space="preserve"> </w:t>
      </w:r>
      <w:r>
        <w:t xml:space="preserve">onsite deployment timing and conference </w:t>
      </w:r>
      <w:r w:rsidR="009E3F42">
        <w:t>s</w:t>
      </w:r>
      <w:r>
        <w:t>etup</w:t>
      </w:r>
      <w:r w:rsidR="009E3F42">
        <w:t xml:space="preserve">, reducing </w:t>
      </w:r>
      <w:r>
        <w:t>the onsite presence of ITU staff.</w:t>
      </w:r>
      <w:r w:rsidR="1133683F" w:rsidRPr="5CDB6172">
        <w:rPr>
          <w:rFonts w:eastAsia="Calibri" w:cs="Calibri"/>
          <w:szCs w:val="24"/>
        </w:rPr>
        <w:t xml:space="preserve"> ITU submits a tailored Table of Requirements to the host country at the start of the planning process. This includes, but is not limited to, items such as laptops, multifunction printers, staff monitors, and signage screens—adapted to the specific needs of the event and venue. The host country determines the models and quantities of network switches based on the number of network connections requested by ITU. Edge networking equipment, such as access switches and wireless access points, is always provided by the host country. For items like laptops, ITU also provides a standard list of required software to be pre-installed.</w:t>
      </w:r>
      <w:r>
        <w:t xml:space="preserve"> </w:t>
      </w:r>
    </w:p>
    <w:p w14:paraId="0B201D41" w14:textId="77777777" w:rsidR="00EE6C9D" w:rsidRPr="00EE6C9D" w:rsidRDefault="00EE6C9D" w:rsidP="00CF069B">
      <w:pPr>
        <w:pStyle w:val="Headingi"/>
      </w:pPr>
      <w:r w:rsidRPr="00EE6C9D">
        <w:t>Measures</w:t>
      </w:r>
    </w:p>
    <w:p w14:paraId="6A0F0421" w14:textId="6F268DC4" w:rsidR="00EE6C9D" w:rsidRPr="004D4B16" w:rsidRDefault="00EE6C9D" w:rsidP="001C3A6A">
      <w:pPr>
        <w:jc w:val="both"/>
      </w:pPr>
      <w:r>
        <w:t xml:space="preserve">The </w:t>
      </w:r>
      <w:r w:rsidR="00E4064D">
        <w:t xml:space="preserve">ITU </w:t>
      </w:r>
      <w:r>
        <w:t>technical services team is currently</w:t>
      </w:r>
      <w:r w:rsidRPr="7C4BBC50">
        <w:rPr>
          <w:lang w:val="en-US"/>
        </w:rPr>
        <w:t xml:space="preserve"> exploring </w:t>
      </w:r>
      <w:r w:rsidR="69F20774" w:rsidRPr="7C4BBC50">
        <w:rPr>
          <w:lang w:val="en-US"/>
        </w:rPr>
        <w:t xml:space="preserve">certain </w:t>
      </w:r>
      <w:r w:rsidRPr="7C4BBC50">
        <w:rPr>
          <w:lang w:val="en-US"/>
        </w:rPr>
        <w:t xml:space="preserve">measures </w:t>
      </w:r>
      <w:r w:rsidR="7B14F2A7" w:rsidRPr="7C4BBC50">
        <w:rPr>
          <w:lang w:val="en-US"/>
        </w:rPr>
        <w:t xml:space="preserve">to support local provision of the IT equipment and devices, </w:t>
      </w:r>
      <w:r w:rsidR="00E4064D" w:rsidRPr="7C4BBC50">
        <w:rPr>
          <w:lang w:val="en-US"/>
        </w:rPr>
        <w:t>including</w:t>
      </w:r>
      <w:r>
        <w:t>:</w:t>
      </w:r>
    </w:p>
    <w:p w14:paraId="6D3E5147" w14:textId="5933FFCB" w:rsidR="00EE6C9D" w:rsidRPr="004D4B16" w:rsidRDefault="00281E19" w:rsidP="002D4E23">
      <w:pPr>
        <w:pStyle w:val="enumlev1"/>
        <w:jc w:val="both"/>
      </w:pPr>
      <w:r>
        <w:t>1</w:t>
      </w:r>
      <w:r>
        <w:tab/>
      </w:r>
      <w:r w:rsidR="00EE6C9D" w:rsidRPr="5783F58A">
        <w:rPr>
          <w:b/>
          <w:bCs/>
        </w:rPr>
        <w:t>Mapping minimum technical specifications</w:t>
      </w:r>
      <w:r w:rsidR="00EE6C9D">
        <w:t>. A reference list of hardware classes (workstation, badge printer,  etc.) and performance benchmarks is being finalised so that host countries can source functionally equivalent devices while ensuring interoperability with ITU conference applications and cybersecurity controls.</w:t>
      </w:r>
    </w:p>
    <w:p w14:paraId="0AC11139" w14:textId="2C7F9709" w:rsidR="00EE6C9D" w:rsidRPr="004D4B16" w:rsidRDefault="00281E19" w:rsidP="002D4E23">
      <w:pPr>
        <w:pStyle w:val="enumlev1"/>
        <w:jc w:val="both"/>
      </w:pPr>
      <w:r w:rsidRPr="004D4B16">
        <w:t>2</w:t>
      </w:r>
      <w:r w:rsidRPr="004D4B16">
        <w:tab/>
      </w:r>
      <w:r w:rsidR="00DF476F">
        <w:rPr>
          <w:lang w:val="en-US"/>
        </w:rPr>
        <w:t xml:space="preserve">Whilst </w:t>
      </w:r>
      <w:r w:rsidR="00EE6C9D">
        <w:rPr>
          <w:lang w:val="en-US"/>
        </w:rPr>
        <w:t xml:space="preserve">it is usually the responsibility of the host country to provide such equipment, </w:t>
      </w:r>
      <w:r w:rsidR="00DF476F">
        <w:rPr>
          <w:lang w:val="en-US"/>
        </w:rPr>
        <w:t xml:space="preserve">it may be possible to </w:t>
      </w:r>
      <w:r w:rsidR="00EE6C9D">
        <w:rPr>
          <w:lang w:val="en-US"/>
        </w:rPr>
        <w:t xml:space="preserve">collaboratively </w:t>
      </w:r>
      <w:r w:rsidR="00EE6C9D" w:rsidRPr="00281E19">
        <w:rPr>
          <w:b/>
          <w:bCs/>
          <w:lang w:val="en-US"/>
        </w:rPr>
        <w:t>d</w:t>
      </w:r>
      <w:proofErr w:type="spellStart"/>
      <w:r w:rsidR="00EE6C9D" w:rsidRPr="00281E19">
        <w:rPr>
          <w:b/>
          <w:bCs/>
        </w:rPr>
        <w:t>evelop</w:t>
      </w:r>
      <w:proofErr w:type="spellEnd"/>
      <w:r w:rsidR="00EE6C9D" w:rsidRPr="00281E19">
        <w:rPr>
          <w:b/>
          <w:bCs/>
        </w:rPr>
        <w:t xml:space="preserve"> a pre-qualified vendor pool</w:t>
      </w:r>
      <w:r w:rsidR="00EE6C9D" w:rsidRPr="004D4B16">
        <w:t>. Regional panels of certified suppliers</w:t>
      </w:r>
      <w:r w:rsidR="001C3A6A">
        <w:t xml:space="preserve"> </w:t>
      </w:r>
      <w:r w:rsidR="00EE6C9D" w:rsidRPr="004D4B16">
        <w:t>—covering hardware rental, on-site support and secure disposal—</w:t>
      </w:r>
      <w:r w:rsidR="001C3A6A">
        <w:t xml:space="preserve"> </w:t>
      </w:r>
      <w:r w:rsidR="00EE6C9D" w:rsidRPr="004D4B16">
        <w:t>are being compiled in consultation with UN procurement colleagues to accelerate local contracting and reduce freight lead times.</w:t>
      </w:r>
    </w:p>
    <w:p w14:paraId="2BBE7812" w14:textId="42644BAA" w:rsidR="00EE6C9D" w:rsidRPr="004D4B16" w:rsidRDefault="00281E19" w:rsidP="78C97A7C">
      <w:pPr>
        <w:pStyle w:val="enumlev1"/>
        <w:jc w:val="both"/>
      </w:pPr>
      <w:r>
        <w:t>3</w:t>
      </w:r>
      <w:r>
        <w:tab/>
      </w:r>
      <w:r w:rsidR="00EE6C9D" w:rsidRPr="5CDB6172">
        <w:rPr>
          <w:b/>
          <w:bCs/>
        </w:rPr>
        <w:t>Piloting hybrid support models</w:t>
      </w:r>
      <w:r w:rsidR="00EE6C9D">
        <w:t xml:space="preserve">. For events scheduled in 2027, </w:t>
      </w:r>
      <w:r w:rsidR="17AE79B0" w:rsidRPr="5CDB6172">
        <w:t>the team will explore hybrid support models, including opportunities to move services</w:t>
      </w:r>
      <w:r w:rsidR="001C3A6A">
        <w:t xml:space="preserve"> </w:t>
      </w:r>
      <w:r w:rsidR="17AE79B0" w:rsidRPr="5CDB6172">
        <w:t>—where feasible—</w:t>
      </w:r>
      <w:r w:rsidR="001C3A6A">
        <w:t xml:space="preserve"> </w:t>
      </w:r>
      <w:r w:rsidR="17AE79B0" w:rsidRPr="5CDB6172">
        <w:t xml:space="preserve">to the public cloud. </w:t>
      </w:r>
      <w:r w:rsidR="4C546371" w:rsidRPr="5CDB6172">
        <w:rPr>
          <w:rFonts w:eastAsia="Calibri" w:cs="Calibri"/>
          <w:szCs w:val="24"/>
        </w:rPr>
        <w:t xml:space="preserve">While </w:t>
      </w:r>
      <w:r w:rsidR="001C3A6A">
        <w:rPr>
          <w:rFonts w:eastAsia="Calibri" w:cs="Calibri"/>
          <w:szCs w:val="24"/>
        </w:rPr>
        <w:t>endpoint</w:t>
      </w:r>
      <w:r w:rsidR="4C546371" w:rsidRPr="5CDB6172">
        <w:rPr>
          <w:rFonts w:eastAsia="Calibri" w:cs="Calibri"/>
          <w:szCs w:val="24"/>
        </w:rPr>
        <w:t xml:space="preserve"> devices and edge networking will be procured locally under ITU supervision. This approach aims to reduce reliance on ITU’s private cloud infrastructure in Geneva while maintaining secure and effective event operations.</w:t>
      </w:r>
    </w:p>
    <w:p w14:paraId="37A4EE65" w14:textId="746AADDD" w:rsidR="00EE6C9D" w:rsidRPr="004D4B16" w:rsidRDefault="000A3E15" w:rsidP="002D4E23">
      <w:pPr>
        <w:pStyle w:val="enumlev1"/>
        <w:jc w:val="both"/>
      </w:pPr>
      <w:r>
        <w:lastRenderedPageBreak/>
        <w:t>4</w:t>
      </w:r>
      <w:r>
        <w:tab/>
      </w:r>
      <w:r w:rsidR="5A5E3487" w:rsidRPr="78C97A7C">
        <w:rPr>
          <w:b/>
          <w:bCs/>
        </w:rPr>
        <w:t>Enhancing service continuity.</w:t>
      </w:r>
      <w:r w:rsidR="5A5E3487" w:rsidRPr="78C97A7C">
        <w:t xml:space="preserve"> Standard operating procedures are being updated to ensure consistent quality, security, and incident response when using rented or locally provided equipment. These measures will enable host countries to leverage domestic rental markets, reduce shipping needs, and support local ICT ecosystems</w:t>
      </w:r>
      <w:r w:rsidR="001C3A6A">
        <w:t xml:space="preserve"> </w:t>
      </w:r>
      <w:r w:rsidR="5A5E3487" w:rsidRPr="78C97A7C">
        <w:t>—aligned with Annex 2, Article 5 of Decision 5 (Rev. Bucharest, 2022)</w:t>
      </w:r>
      <w:r w:rsidR="00EE6C9D">
        <w:t>.</w:t>
      </w:r>
    </w:p>
    <w:p w14:paraId="2102A76D" w14:textId="705DDF70" w:rsidR="00EE6C9D" w:rsidRDefault="00EE6C9D" w:rsidP="000A3E15">
      <w:pPr>
        <w:pStyle w:val="Headingb"/>
      </w:pPr>
      <w:r w:rsidRPr="00A40671">
        <w:t>Proposal 3: transition to digitalized registration and accreditation conference processes</w:t>
      </w:r>
    </w:p>
    <w:p w14:paraId="784B0A00" w14:textId="1348DD24" w:rsidR="00EE6C9D" w:rsidRPr="00975642" w:rsidRDefault="00EE6C9D" w:rsidP="001C3A6A">
      <w:pPr>
        <w:jc w:val="both"/>
        <w:rPr>
          <w:lang w:val="en-US"/>
        </w:rPr>
      </w:pPr>
      <w:r w:rsidRPr="00975642">
        <w:rPr>
          <w:lang w:val="en-US"/>
        </w:rPr>
        <w:t>Transitioning from printed identification materials to digital conference credentials reduces the administrative and material costs of badge production and enhances sustainability</w:t>
      </w:r>
      <w:r w:rsidR="00CF069B">
        <w:rPr>
          <w:lang w:val="en-US"/>
        </w:rPr>
        <w:t>.</w:t>
      </w:r>
    </w:p>
    <w:p w14:paraId="7DDDCA66" w14:textId="77777777" w:rsidR="00EE6C9D" w:rsidRPr="00EE6C9D" w:rsidRDefault="00EE6C9D" w:rsidP="000A3E15">
      <w:pPr>
        <w:pStyle w:val="Headingi"/>
      </w:pPr>
      <w:r w:rsidRPr="00EE6C9D">
        <w:t>Current practice</w:t>
      </w:r>
    </w:p>
    <w:p w14:paraId="40AAA809" w14:textId="1543A2B1" w:rsidR="00EE6C9D" w:rsidRDefault="00EE6C9D" w:rsidP="00700042">
      <w:pPr>
        <w:jc w:val="both"/>
        <w:rPr>
          <w:lang w:val="en-US"/>
        </w:rPr>
      </w:pPr>
      <w:r>
        <w:t xml:space="preserve">ITU statutory events </w:t>
      </w:r>
      <w:r w:rsidR="00547667">
        <w:t>run</w:t>
      </w:r>
      <w:r w:rsidR="00B8507E">
        <w:t xml:space="preserve"> r</w:t>
      </w:r>
      <w:r>
        <w:t xml:space="preserve">egistration and </w:t>
      </w:r>
      <w:r w:rsidR="00B8507E">
        <w:t>a</w:t>
      </w:r>
      <w:r>
        <w:t xml:space="preserve">ccreditation </w:t>
      </w:r>
      <w:r w:rsidR="00B8507E">
        <w:t xml:space="preserve">processes </w:t>
      </w:r>
      <w:r>
        <w:t>before delivering physical secured credential</w:t>
      </w:r>
      <w:r w:rsidR="00B8507E">
        <w:t>s</w:t>
      </w:r>
      <w:r>
        <w:t xml:space="preserve"> (RFID-based photo badge</w:t>
      </w:r>
      <w:r w:rsidR="00B8507E">
        <w:t>s</w:t>
      </w:r>
      <w:r>
        <w:t xml:space="preserve">). The badges are printed in situ on presentation of a digital invitation and require the visual check of a </w:t>
      </w:r>
      <w:r w:rsidR="00547667">
        <w:t>g</w:t>
      </w:r>
      <w:r>
        <w:t>overnment</w:t>
      </w:r>
      <w:r w:rsidR="00547667">
        <w:t>-</w:t>
      </w:r>
      <w:r>
        <w:t xml:space="preserve">Issued ID. Photos are captured in situ through dedicated booths. The process requires the construction of booths, cabling of the badging stations and </w:t>
      </w:r>
      <w:r w:rsidR="00547667">
        <w:t>training</w:t>
      </w:r>
      <w:r w:rsidR="00281E19">
        <w:t xml:space="preserve"> </w:t>
      </w:r>
      <w:r w:rsidR="00547667">
        <w:t xml:space="preserve">of </w:t>
      </w:r>
      <w:r>
        <w:t>local personnel by ITU</w:t>
      </w:r>
      <w:r w:rsidR="0037A128">
        <w:t>'s</w:t>
      </w:r>
      <w:r>
        <w:t xml:space="preserve"> </w:t>
      </w:r>
      <w:r w:rsidR="43D1F5C1">
        <w:t>security and</w:t>
      </w:r>
      <w:r w:rsidR="06C8D80F">
        <w:t xml:space="preserve"> data privacy </w:t>
      </w:r>
      <w:r>
        <w:t xml:space="preserve">compliance </w:t>
      </w:r>
      <w:r w:rsidR="1EDD2927">
        <w:t>specialist</w:t>
      </w:r>
      <w:r w:rsidR="5D33BB55">
        <w:t>s</w:t>
      </w:r>
      <w:r>
        <w:t>. Variable costs borne by the ITU consist of the RFID blank cards, lanyards, and card printer ink cartridges. The computers, printers badge readers and camera are provided by ITU. Pilot experiments with QR-code e-passes have so far been limited to small, Geneva-based workshops where robust perimeter control was less critical</w:t>
      </w:r>
    </w:p>
    <w:p w14:paraId="26AEF466" w14:textId="26CA7C58" w:rsidR="00EE6C9D" w:rsidRPr="00EE6C9D" w:rsidRDefault="00EE6C9D" w:rsidP="000A3E15">
      <w:pPr>
        <w:pStyle w:val="Headingi"/>
      </w:pPr>
      <w:r w:rsidRPr="00EE6C9D">
        <w:t>Measures</w:t>
      </w:r>
    </w:p>
    <w:p w14:paraId="20E2AB53" w14:textId="7E4E3D6C" w:rsidR="00EE6C9D" w:rsidRPr="004D4B16" w:rsidRDefault="00EE6C9D" w:rsidP="00EE6C9D">
      <w:r w:rsidRPr="004D4B16">
        <w:t xml:space="preserve">The </w:t>
      </w:r>
      <w:r w:rsidR="00C36529">
        <w:t xml:space="preserve">ITU </w:t>
      </w:r>
      <w:r w:rsidRPr="004D4B16">
        <w:t xml:space="preserve">technical </w:t>
      </w:r>
      <w:r w:rsidR="00C36529">
        <w:t xml:space="preserve">services </w:t>
      </w:r>
      <w:r w:rsidRPr="004D4B16">
        <w:t>team is currently</w:t>
      </w:r>
      <w:r>
        <w:rPr>
          <w:lang w:val="en-US"/>
        </w:rPr>
        <w:t xml:space="preserve"> exploring measures such as</w:t>
      </w:r>
      <w:r w:rsidRPr="004D4B16">
        <w:t>:</w:t>
      </w:r>
    </w:p>
    <w:p w14:paraId="32D34075" w14:textId="59026DB1" w:rsidR="00EE6C9D" w:rsidRDefault="00281E19" w:rsidP="78C97A7C">
      <w:pPr>
        <w:pStyle w:val="enumlev1"/>
        <w:jc w:val="both"/>
      </w:pPr>
      <w:r>
        <w:t>1</w:t>
      </w:r>
      <w:r>
        <w:tab/>
      </w:r>
      <w:r w:rsidR="00EE6C9D" w:rsidRPr="78C97A7C">
        <w:rPr>
          <w:b/>
          <w:bCs/>
        </w:rPr>
        <w:t>Pilot experiments to further digitalize registration and accreditation processes</w:t>
      </w:r>
      <w:r w:rsidR="00EE6C9D">
        <w:t xml:space="preserve"> through </w:t>
      </w:r>
      <w:r w:rsidR="003270EF">
        <w:t xml:space="preserve">a </w:t>
      </w:r>
      <w:r w:rsidR="4CCF9F9A">
        <w:t>Software as a Service (</w:t>
      </w:r>
      <w:r w:rsidR="4CCF9F9A" w:rsidRPr="78C97A7C">
        <w:rPr>
          <w:rFonts w:eastAsia="Calibri" w:cs="Calibri"/>
          <w:szCs w:val="24"/>
        </w:rPr>
        <w:t xml:space="preserve">SaaS) solution </w:t>
      </w:r>
      <w:r w:rsidR="00EE6C9D">
        <w:t xml:space="preserve">linked to existing </w:t>
      </w:r>
      <w:r w:rsidR="003270EF">
        <w:t>d</w:t>
      </w:r>
      <w:r w:rsidR="00EE6C9D">
        <w:t xml:space="preserve">elegate </w:t>
      </w:r>
      <w:r w:rsidR="003270EF">
        <w:t>r</w:t>
      </w:r>
      <w:r w:rsidR="00EE6C9D">
        <w:t xml:space="preserve">egistration databases, with </w:t>
      </w:r>
      <w:r w:rsidR="003270EF">
        <w:t xml:space="preserve">the </w:t>
      </w:r>
      <w:r w:rsidR="00EE6C9D">
        <w:t>issuance of physical credentials or dematerialized solution</w:t>
      </w:r>
      <w:r w:rsidR="003270EF">
        <w:t>s</w:t>
      </w:r>
      <w:r w:rsidR="00EE6C9D">
        <w:t xml:space="preserve"> (provided that the </w:t>
      </w:r>
      <w:r w:rsidR="3DF78051">
        <w:t xml:space="preserve">physical risk vulnerabilities of the </w:t>
      </w:r>
      <w:r w:rsidR="6A5A9010">
        <w:t>chosen</w:t>
      </w:r>
      <w:r w:rsidR="00EE6C9D">
        <w:t xml:space="preserve"> system </w:t>
      </w:r>
      <w:r w:rsidR="7CB1D206">
        <w:t>are acceptable</w:t>
      </w:r>
      <w:r w:rsidR="00EE6C9D">
        <w:t xml:space="preserve">). The credential </w:t>
      </w:r>
      <w:r w:rsidR="55254D55">
        <w:t xml:space="preserve">generally </w:t>
      </w:r>
      <w:r w:rsidR="00EE6C9D">
        <w:t>needs to be as resilient as the current system in force.</w:t>
      </w:r>
    </w:p>
    <w:p w14:paraId="6D5C8FE8" w14:textId="4D370F2B" w:rsidR="00EE6C9D" w:rsidRDefault="00281E19" w:rsidP="00700042">
      <w:pPr>
        <w:pStyle w:val="enumlev1"/>
        <w:jc w:val="both"/>
      </w:pPr>
      <w:r>
        <w:t>2</w:t>
      </w:r>
      <w:r>
        <w:tab/>
      </w:r>
      <w:r w:rsidR="00EE6C9D" w:rsidRPr="5CDB6172">
        <w:rPr>
          <w:b/>
          <w:bCs/>
        </w:rPr>
        <w:t>Inter-agency benchmarking</w:t>
      </w:r>
      <w:r w:rsidR="00EE6C9D">
        <w:t xml:space="preserve">. Technical staff are </w:t>
      </w:r>
      <w:proofErr w:type="spellStart"/>
      <w:r w:rsidR="00EE6C9D">
        <w:t>analyzing</w:t>
      </w:r>
      <w:proofErr w:type="spellEnd"/>
      <w:r w:rsidR="00EE6C9D">
        <w:t xml:space="preserve"> the solutions already deployed by </w:t>
      </w:r>
      <w:proofErr w:type="spellStart"/>
      <w:r w:rsidR="00EE6C9D">
        <w:t>UNOG</w:t>
      </w:r>
      <w:proofErr w:type="spellEnd"/>
      <w:r w:rsidR="00EE6C9D">
        <w:t xml:space="preserve"> and UNFCCC to identify integration opportunities and common IT security standards (e.g. ISO/IEC 27001 compliance, </w:t>
      </w:r>
      <w:proofErr w:type="spellStart"/>
      <w:r w:rsidR="00EE6C9D">
        <w:t>OWASP</w:t>
      </w:r>
      <w:proofErr w:type="spellEnd"/>
      <w:r w:rsidR="00EE6C9D">
        <w:t xml:space="preserve"> Mobile Top 10 mitigation). These solutions </w:t>
      </w:r>
      <w:r w:rsidR="3690E175">
        <w:t xml:space="preserve">are </w:t>
      </w:r>
      <w:r w:rsidR="00EE6C9D">
        <w:t>be</w:t>
      </w:r>
      <w:r w:rsidR="7C642C09">
        <w:t>ing</w:t>
      </w:r>
      <w:r w:rsidR="00EE6C9D">
        <w:t xml:space="preserve"> </w:t>
      </w:r>
      <w:proofErr w:type="spellStart"/>
      <w:r w:rsidR="00EE6C9D">
        <w:t>analyzed</w:t>
      </w:r>
      <w:proofErr w:type="spellEnd"/>
      <w:r w:rsidR="00EE6C9D">
        <w:t xml:space="preserve"> by the Safety, Security and Resilience Division.</w:t>
      </w:r>
    </w:p>
    <w:p w14:paraId="329C30B1" w14:textId="5C5A1A38" w:rsidR="00EE6C9D" w:rsidRDefault="00281E19" w:rsidP="005D7230">
      <w:pPr>
        <w:pStyle w:val="enumlev1"/>
        <w:jc w:val="both"/>
      </w:pPr>
      <w:r>
        <w:t>3</w:t>
      </w:r>
      <w:r>
        <w:tab/>
      </w:r>
      <w:r w:rsidR="79038CD3" w:rsidRPr="5CDB6172">
        <w:rPr>
          <w:b/>
          <w:bCs/>
        </w:rPr>
        <w:t xml:space="preserve">Improving the Registration and Accreditation Experience </w:t>
      </w:r>
      <w:r w:rsidR="79038CD3" w:rsidRPr="5CDB6172">
        <w:t xml:space="preserve">The technical team is examining client-centric, digitalized registration-to-badging value chains, drawing on case studies from major events such as the Olympic Games, international sports </w:t>
      </w:r>
      <w:r w:rsidR="79038CD3" w:rsidRPr="005D7230">
        <w:t>competitions</w:t>
      </w:r>
      <w:r w:rsidR="79038CD3" w:rsidRPr="5CDB6172">
        <w:t xml:space="preserve">, and high-profile exhibitions. These and other examples currently under review will be </w:t>
      </w:r>
      <w:proofErr w:type="spellStart"/>
      <w:r w:rsidR="79038CD3" w:rsidRPr="5CDB6172">
        <w:t>analyzed</w:t>
      </w:r>
      <w:proofErr w:type="spellEnd"/>
      <w:r w:rsidR="79038CD3" w:rsidRPr="5CDB6172">
        <w:t xml:space="preserve"> and compared to existing ITU practices. The goal is to identify the most effective solutions that can deliver:</w:t>
      </w:r>
    </w:p>
    <w:p w14:paraId="4F5B3927" w14:textId="4F453A48" w:rsidR="00EE6C9D" w:rsidRDefault="005D7230" w:rsidP="001C3A6A">
      <w:pPr>
        <w:pStyle w:val="enumlev2"/>
        <w:jc w:val="both"/>
      </w:pPr>
      <w:r>
        <w:t>–</w:t>
      </w:r>
      <w:r>
        <w:tab/>
      </w:r>
      <w:r w:rsidR="79038CD3" w:rsidRPr="5CDB6172">
        <w:t>Enhanced participant satisfaction</w:t>
      </w:r>
    </w:p>
    <w:p w14:paraId="326699E2" w14:textId="742AF3D8" w:rsidR="00EE6C9D" w:rsidRDefault="005D7230" w:rsidP="001C3A6A">
      <w:pPr>
        <w:pStyle w:val="enumlev2"/>
        <w:jc w:val="both"/>
      </w:pPr>
      <w:r>
        <w:t>–</w:t>
      </w:r>
      <w:r>
        <w:tab/>
      </w:r>
      <w:r w:rsidR="79038CD3" w:rsidRPr="5CDB6172">
        <w:t>Greater cost-efficiency</w:t>
      </w:r>
    </w:p>
    <w:p w14:paraId="6C1AE72B" w14:textId="0C22D841" w:rsidR="00EE6C9D" w:rsidRDefault="005D7230" w:rsidP="001C3A6A">
      <w:pPr>
        <w:pStyle w:val="enumlev2"/>
        <w:jc w:val="both"/>
      </w:pPr>
      <w:r>
        <w:t>–</w:t>
      </w:r>
      <w:r>
        <w:tab/>
      </w:r>
      <w:r w:rsidR="79038CD3" w:rsidRPr="295A36DE">
        <w:t>Increased processing capacity (through</w:t>
      </w:r>
      <w:r w:rsidR="32D49DD7" w:rsidRPr="295A36DE">
        <w:t>out</w:t>
      </w:r>
      <w:r w:rsidR="79038CD3" w:rsidRPr="295A36DE">
        <w:t>)</w:t>
      </w:r>
    </w:p>
    <w:p w14:paraId="711888A3" w14:textId="76576A4F" w:rsidR="00EE6C9D" w:rsidRDefault="005D7230" w:rsidP="001C3A6A">
      <w:pPr>
        <w:pStyle w:val="enumlev2"/>
        <w:jc w:val="both"/>
      </w:pPr>
      <w:r>
        <w:t>–</w:t>
      </w:r>
      <w:r>
        <w:tab/>
      </w:r>
      <w:r w:rsidR="79038CD3" w:rsidRPr="5CDB6172">
        <w:t>Strengthened security at ITU premises and events by deterring, delaying, or denying the intent and capability of threat actors</w:t>
      </w:r>
    </w:p>
    <w:p w14:paraId="1309BB75" w14:textId="6BA6119A" w:rsidR="00EE6C9D" w:rsidRDefault="005D7230" w:rsidP="001C3A6A">
      <w:pPr>
        <w:pStyle w:val="enumlev2"/>
        <w:jc w:val="both"/>
      </w:pPr>
      <w:r>
        <w:t>–</w:t>
      </w:r>
      <w:r>
        <w:tab/>
      </w:r>
      <w:r w:rsidR="79038CD3" w:rsidRPr="5CDB6172">
        <w:t>Resilient access to Union services, including quorum verification, gift distribution, lost-and-found tracking, and Wi-Fi connectivity</w:t>
      </w:r>
      <w:r>
        <w:t>.</w:t>
      </w:r>
    </w:p>
    <w:p w14:paraId="77693ADD" w14:textId="770523D6" w:rsidR="00EE6C9D" w:rsidRDefault="00281E19" w:rsidP="00700042">
      <w:pPr>
        <w:pStyle w:val="enumlev1"/>
        <w:jc w:val="both"/>
      </w:pPr>
      <w:r>
        <w:lastRenderedPageBreak/>
        <w:t>4</w:t>
      </w:r>
      <w:r>
        <w:tab/>
      </w:r>
      <w:r w:rsidR="00EE6C9D">
        <w:t>Although digitalization is well aligned with ITU’s paperless</w:t>
      </w:r>
      <w:r w:rsidR="00A21594">
        <w:t xml:space="preserve"> </w:t>
      </w:r>
      <w:r w:rsidR="00EE6C9D">
        <w:t>meeting strategy and promises sources of savings, the concept should embrace digitalization</w:t>
      </w:r>
      <w:r w:rsidR="2D003133" w:rsidRPr="295A36DE">
        <w:rPr>
          <w:rFonts w:eastAsia="Calibri" w:cs="Calibri"/>
          <w:szCs w:val="24"/>
        </w:rPr>
        <w:t xml:space="preserve"> from the registration / accreditation and badging as an interdependent system (value chain) to leverage administrative savings</w:t>
      </w:r>
      <w:r w:rsidR="00EE6C9D">
        <w:t xml:space="preserve">. The choice of the badge (physical or digital) </w:t>
      </w:r>
      <w:r w:rsidR="715B1988">
        <w:t xml:space="preserve">will </w:t>
      </w:r>
      <w:r w:rsidR="00EE6C9D">
        <w:t>primarily be based on vulnerabilities and operational assessment.</w:t>
      </w:r>
    </w:p>
    <w:p w14:paraId="19BF52A3" w14:textId="04607B5D" w:rsidR="00281E19" w:rsidRDefault="00281E19" w:rsidP="00294C70">
      <w:pPr>
        <w:pStyle w:val="enumlev1"/>
        <w:jc w:val="both"/>
      </w:pPr>
      <w:r>
        <w:t>5</w:t>
      </w:r>
      <w:r>
        <w:tab/>
      </w:r>
      <w:r w:rsidR="00EE6C9D" w:rsidRPr="44677FE5">
        <w:rPr>
          <w:b/>
          <w:bCs/>
        </w:rPr>
        <w:t>Progressive rollout plan</w:t>
      </w:r>
      <w:r w:rsidR="00EE6C9D">
        <w:t xml:space="preserve">. </w:t>
      </w:r>
      <w:r w:rsidR="05CE0FD6" w:rsidRPr="44677FE5">
        <w:t xml:space="preserve"> As ITU is still in the early stages of benchmarking, the project will focus on designing and evaluating several possible digitalized value chains for </w:t>
      </w:r>
      <w:r w:rsidR="05CE0FD6" w:rsidRPr="00294C70">
        <w:t>registration</w:t>
      </w:r>
      <w:r w:rsidR="05CE0FD6" w:rsidRPr="44677FE5">
        <w:t>, accreditation, and badging. These will be tested across different event types, including:</w:t>
      </w:r>
    </w:p>
    <w:p w14:paraId="36C158F0" w14:textId="53B15D69" w:rsidR="05CE0FD6" w:rsidRDefault="005D7230" w:rsidP="005D7230">
      <w:pPr>
        <w:pStyle w:val="enumlev2"/>
      </w:pPr>
      <w:r>
        <w:t>–</w:t>
      </w:r>
      <w:r>
        <w:tab/>
      </w:r>
      <w:r w:rsidR="001C5135" w:rsidRPr="44677FE5">
        <w:t xml:space="preserve">statutory </w:t>
      </w:r>
      <w:r w:rsidR="05CE0FD6" w:rsidRPr="44677FE5">
        <w:t>events versus public events, which present varying risk profiles</w:t>
      </w:r>
    </w:p>
    <w:p w14:paraId="128CAF59" w14:textId="4BACDC91" w:rsidR="05CE0FD6" w:rsidRDefault="005D7230" w:rsidP="001C3A6A">
      <w:pPr>
        <w:pStyle w:val="enumlev2"/>
        <w:jc w:val="both"/>
      </w:pPr>
      <w:r>
        <w:t>–</w:t>
      </w:r>
      <w:r>
        <w:tab/>
      </w:r>
      <w:r w:rsidR="001C5135" w:rsidRPr="44677FE5">
        <w:t xml:space="preserve">events </w:t>
      </w:r>
      <w:r w:rsidR="05CE0FD6" w:rsidRPr="44677FE5">
        <w:t>held in or near Geneva (with lower mobility costs) versus those hosted abroad (with higher mobility costs)</w:t>
      </w:r>
    </w:p>
    <w:p w14:paraId="79F63336" w14:textId="76C31B06" w:rsidR="05CE0FD6" w:rsidRDefault="00294C70" w:rsidP="001C3A6A">
      <w:pPr>
        <w:pStyle w:val="enumlev1"/>
        <w:jc w:val="both"/>
      </w:pPr>
      <w:r>
        <w:tab/>
      </w:r>
      <w:r w:rsidR="05CE0FD6" w:rsidRPr="44677FE5">
        <w:t>The rollout plan aims to reach full operational maturity by 2027, potentially aligning with a major event such as WRC-27. Key milestones will be scheduled in reverse from this target date, including:</w:t>
      </w:r>
    </w:p>
    <w:p w14:paraId="3540C299" w14:textId="55BE45EB" w:rsidR="05CE0FD6" w:rsidRDefault="005D7230" w:rsidP="001C3A6A">
      <w:pPr>
        <w:pStyle w:val="enumlev2"/>
        <w:jc w:val="both"/>
      </w:pPr>
      <w:r>
        <w:t>–</w:t>
      </w:r>
      <w:r>
        <w:tab/>
      </w:r>
      <w:r w:rsidR="001C5135" w:rsidRPr="44677FE5">
        <w:t xml:space="preserve">establishment </w:t>
      </w:r>
      <w:r w:rsidR="05CE0FD6" w:rsidRPr="44677FE5">
        <w:t>of the task force and completion of benchmarking activities by the end of 2025</w:t>
      </w:r>
    </w:p>
    <w:p w14:paraId="3FBF3577" w14:textId="0AF798E8" w:rsidR="05CE0FD6" w:rsidRDefault="005D7230" w:rsidP="001C3A6A">
      <w:pPr>
        <w:pStyle w:val="enumlev2"/>
        <w:jc w:val="both"/>
      </w:pPr>
      <w:r>
        <w:t>–</w:t>
      </w:r>
      <w:r>
        <w:tab/>
      </w:r>
      <w:r w:rsidR="001C5135" w:rsidRPr="44677FE5">
        <w:t xml:space="preserve">development </w:t>
      </w:r>
      <w:r w:rsidR="05CE0FD6" w:rsidRPr="44677FE5">
        <w:t>and formulation of solution options in early 2026</w:t>
      </w:r>
    </w:p>
    <w:p w14:paraId="54923C4D" w14:textId="56A0C662" w:rsidR="05CE0FD6" w:rsidRDefault="005D7230" w:rsidP="001C3A6A">
      <w:pPr>
        <w:pStyle w:val="enumlev2"/>
        <w:jc w:val="both"/>
      </w:pPr>
      <w:r>
        <w:t>–</w:t>
      </w:r>
      <w:r>
        <w:tab/>
      </w:r>
      <w:r w:rsidR="001C5135" w:rsidRPr="44677FE5">
        <w:t xml:space="preserve">pilot </w:t>
      </w:r>
      <w:r w:rsidR="05CE0FD6" w:rsidRPr="44677FE5">
        <w:t>testing during selected events throughout 2026</w:t>
      </w:r>
      <w:r w:rsidR="001C5135">
        <w:t>.</w:t>
      </w:r>
    </w:p>
    <w:p w14:paraId="06B74BEC" w14:textId="21E3647F" w:rsidR="00EE6C9D" w:rsidRDefault="00281E19" w:rsidP="001C3A6A">
      <w:pPr>
        <w:pStyle w:val="enumlev1"/>
        <w:jc w:val="both"/>
      </w:pPr>
      <w:r>
        <w:t>6</w:t>
      </w:r>
      <w:r>
        <w:tab/>
      </w:r>
      <w:r w:rsidR="00EE6C9D">
        <w:t>Sustainability dividends and savings will be assessed at a later stage.</w:t>
      </w:r>
    </w:p>
    <w:p w14:paraId="40E8553B" w14:textId="26A648D1" w:rsidR="00EE6C9D" w:rsidRPr="005453EB" w:rsidRDefault="00EE6C9D" w:rsidP="001C3A6A">
      <w:pPr>
        <w:jc w:val="both"/>
        <w:rPr>
          <w:lang w:val="en-US"/>
        </w:rPr>
      </w:pPr>
      <w:r>
        <w:t xml:space="preserve">By pursuing these measures, the Secretariat aims to modernize delegate accreditation, lower operational costs for host countries, and enhance the overall experience, </w:t>
      </w:r>
      <w:r w:rsidR="00F6342F">
        <w:t xml:space="preserve">whilst </w:t>
      </w:r>
      <w:r>
        <w:t>ensuring safety, security and resilience to the event participants and processes.</w:t>
      </w:r>
    </w:p>
    <w:p w14:paraId="0B93D638" w14:textId="1CF19A63" w:rsidR="00720DF3" w:rsidRPr="00342684" w:rsidRDefault="00975642" w:rsidP="000A3E15">
      <w:pPr>
        <w:pStyle w:val="Headingb"/>
        <w:rPr>
          <w:lang w:val="en-US"/>
        </w:rPr>
      </w:pPr>
      <w:r w:rsidRPr="42310450">
        <w:rPr>
          <w:lang w:val="en-US"/>
        </w:rPr>
        <w:t>Additional considerations</w:t>
      </w:r>
    </w:p>
    <w:p w14:paraId="200EE2B4" w14:textId="70E76ED2" w:rsidR="00991BEB" w:rsidRPr="00AF2FD1" w:rsidRDefault="00991BEB" w:rsidP="001C3A6A">
      <w:pPr>
        <w:jc w:val="both"/>
      </w:pPr>
      <w:r w:rsidRPr="00AF2FD1">
        <w:t>To further ease the financial burden on host countries, the organizing team continuously reviews and refines event requirements in close collaboration with the ITU Conferences team</w:t>
      </w:r>
      <w:r>
        <w:t xml:space="preserve"> and the Host Country</w:t>
      </w:r>
      <w:r w:rsidRPr="00AF2FD1">
        <w:t>. This ensures that, for each event, the necessary venue</w:t>
      </w:r>
      <w:r>
        <w:t xml:space="preserve"> infrastructure</w:t>
      </w:r>
      <w:r w:rsidR="0003209F">
        <w:t xml:space="preserve"> and services</w:t>
      </w:r>
      <w:r w:rsidRPr="00AF2FD1">
        <w:t>, room</w:t>
      </w:r>
      <w:r>
        <w:t>s and capacity</w:t>
      </w:r>
      <w:r w:rsidRPr="00AF2FD1">
        <w:t>, and staffing</w:t>
      </w:r>
      <w:r>
        <w:t xml:space="preserve"> support</w:t>
      </w:r>
      <w:r w:rsidRPr="00AF2FD1">
        <w:t xml:space="preserve"> are requested</w:t>
      </w:r>
      <w:r w:rsidR="001C5135">
        <w:t xml:space="preserve"> </w:t>
      </w:r>
      <w:r w:rsidRPr="00AF2FD1">
        <w:t xml:space="preserve">—reflecting actual needs and avoiding unnecessary or excessive demands on hosts. Additionally, efforts to test and evaluate AI-based interpretation and captioning in non-plenary meetings will continue as part of the </w:t>
      </w:r>
      <w:r>
        <w:t>long-term</w:t>
      </w:r>
      <w:r w:rsidRPr="00AF2FD1">
        <w:t xml:space="preserve"> interpretation strategy.</w:t>
      </w:r>
    </w:p>
    <w:p w14:paraId="3DEC8143" w14:textId="77777777" w:rsidR="00991BEB" w:rsidRPr="005D7230" w:rsidRDefault="00991BEB" w:rsidP="00700042">
      <w:pPr>
        <w:tabs>
          <w:tab w:val="num" w:pos="720"/>
        </w:tabs>
        <w:jc w:val="both"/>
      </w:pPr>
    </w:p>
    <w:p w14:paraId="0318A856" w14:textId="77777777" w:rsidR="000A3E15" w:rsidRDefault="000A3E15" w:rsidP="00700042">
      <w:pPr>
        <w:pStyle w:val="Reasons"/>
      </w:pPr>
    </w:p>
    <w:p w14:paraId="63FEA96E" w14:textId="77777777" w:rsidR="000A3E15" w:rsidRDefault="000A3E15">
      <w:pPr>
        <w:jc w:val="center"/>
      </w:pPr>
      <w:r>
        <w:t>______________</w:t>
      </w:r>
    </w:p>
    <w:sectPr w:rsidR="000A3E15"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06F0" w14:textId="77777777" w:rsidR="00E10B9C" w:rsidRDefault="00E10B9C">
      <w:r>
        <w:separator/>
      </w:r>
    </w:p>
  </w:endnote>
  <w:endnote w:type="continuationSeparator" w:id="0">
    <w:p w14:paraId="62A03498" w14:textId="77777777" w:rsidR="00E10B9C" w:rsidRDefault="00E1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7DF8D60D" w14:textId="77777777" w:rsidTr="00DC204E">
      <w:trPr>
        <w:jc w:val="center"/>
      </w:trPr>
      <w:tc>
        <w:tcPr>
          <w:tcW w:w="1803" w:type="dxa"/>
          <w:vAlign w:val="center"/>
        </w:tcPr>
        <w:p w14:paraId="42F3407A" w14:textId="77777777" w:rsidR="00EE49E8" w:rsidRDefault="00EE49E8" w:rsidP="00EE49E8">
          <w:pPr>
            <w:pStyle w:val="Header"/>
            <w:jc w:val="left"/>
            <w:rPr>
              <w:noProof/>
            </w:rPr>
          </w:pPr>
        </w:p>
      </w:tc>
      <w:tc>
        <w:tcPr>
          <w:tcW w:w="8261" w:type="dxa"/>
        </w:tcPr>
        <w:p w14:paraId="08FD7186" w14:textId="7D31ADDC"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proofErr w:type="spellStart"/>
          <w:r w:rsidR="00A52C84" w:rsidRPr="00BA3A51">
            <w:rPr>
              <w:bCs/>
              <w:lang w:val="fr-CH"/>
            </w:rPr>
            <w:t>CWG</w:t>
          </w:r>
          <w:proofErr w:type="spellEnd"/>
          <w:r w:rsidR="00A52C84" w:rsidRPr="00BA3A51">
            <w:rPr>
              <w:bCs/>
              <w:lang w:val="fr-CH"/>
            </w:rPr>
            <w:t>-</w:t>
          </w:r>
          <w:proofErr w:type="spellStart"/>
          <w:r w:rsidR="000F6AB8">
            <w:rPr>
              <w:bCs/>
              <w:lang w:val="fr-CH"/>
            </w:rPr>
            <w:t>FHR</w:t>
          </w:r>
          <w:proofErr w:type="spellEnd"/>
          <w:r w:rsidR="00A52C84" w:rsidRPr="00BA3A51">
            <w:rPr>
              <w:bCs/>
              <w:lang w:val="fr-CH"/>
            </w:rPr>
            <w:t>-</w:t>
          </w:r>
          <w:r w:rsidR="00AC61DD">
            <w:rPr>
              <w:bCs/>
              <w:lang w:val="fr-CH"/>
            </w:rPr>
            <w:t>21</w:t>
          </w:r>
          <w:r w:rsidR="000F6AB8">
            <w:rPr>
              <w:bCs/>
              <w:lang w:val="fr-CH"/>
            </w:rPr>
            <w:t>/</w:t>
          </w:r>
          <w:r w:rsidR="00281E19">
            <w:rPr>
              <w:bCs/>
              <w:lang w:val="fr-CH"/>
            </w:rPr>
            <w:t>8</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E38AFA7"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EF303D2" w14:textId="77777777" w:rsidTr="00A52C84">
      <w:trPr>
        <w:jc w:val="center"/>
      </w:trPr>
      <w:tc>
        <w:tcPr>
          <w:tcW w:w="3107" w:type="dxa"/>
          <w:vAlign w:val="center"/>
        </w:tcPr>
        <w:p w14:paraId="5F132838" w14:textId="7B18413E" w:rsidR="00EE49E8" w:rsidRPr="00F56F10" w:rsidRDefault="0025570E" w:rsidP="00EE49E8">
          <w:pPr>
            <w:pStyle w:val="Header"/>
            <w:jc w:val="left"/>
            <w:rPr>
              <w:noProof/>
            </w:rPr>
          </w:pPr>
          <w:hyperlink r:id="rId1" w:history="1">
            <w:proofErr w:type="spellStart"/>
            <w:r w:rsidRPr="00F56F10">
              <w:rPr>
                <w:rStyle w:val="Hyperlink"/>
                <w:u w:val="none"/>
              </w:rPr>
              <w:t>council.itu.int</w:t>
            </w:r>
            <w:proofErr w:type="spellEnd"/>
            <w:r w:rsidRPr="00F56F10">
              <w:rPr>
                <w:rStyle w:val="Hyperlink"/>
                <w:u w:val="none"/>
              </w:rPr>
              <w:t>/working-groups</w:t>
            </w:r>
          </w:hyperlink>
        </w:p>
      </w:tc>
      <w:tc>
        <w:tcPr>
          <w:tcW w:w="6957" w:type="dxa"/>
        </w:tcPr>
        <w:p w14:paraId="7CFADCBC" w14:textId="575A60E0"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proofErr w:type="spellStart"/>
          <w:r w:rsidRPr="000F6AB8">
            <w:rPr>
              <w:bCs/>
              <w:lang w:val="es-ES"/>
            </w:rPr>
            <w:t>C</w:t>
          </w:r>
          <w:r w:rsidR="00A52C84" w:rsidRPr="000F6AB8">
            <w:rPr>
              <w:bCs/>
              <w:lang w:val="es-ES"/>
            </w:rPr>
            <w:t>WG</w:t>
          </w:r>
          <w:proofErr w:type="spellEnd"/>
          <w:r w:rsidR="00A52C84" w:rsidRPr="000F6AB8">
            <w:rPr>
              <w:bCs/>
              <w:lang w:val="es-ES"/>
            </w:rPr>
            <w:t>-</w:t>
          </w:r>
          <w:proofErr w:type="spellStart"/>
          <w:r w:rsidR="000F6AB8" w:rsidRPr="000F6AB8">
            <w:rPr>
              <w:bCs/>
              <w:lang w:val="es-ES"/>
            </w:rPr>
            <w:t>FHR</w:t>
          </w:r>
          <w:proofErr w:type="spellEnd"/>
          <w:r w:rsidR="00A52C84" w:rsidRPr="000F6AB8">
            <w:rPr>
              <w:bCs/>
              <w:lang w:val="es-ES"/>
            </w:rPr>
            <w:t>-</w:t>
          </w:r>
          <w:r w:rsidR="00AC61DD">
            <w:rPr>
              <w:bCs/>
              <w:lang w:val="es-ES"/>
            </w:rPr>
            <w:t>21</w:t>
          </w:r>
          <w:r w:rsidRPr="000F6AB8">
            <w:rPr>
              <w:bCs/>
              <w:lang w:val="es-ES"/>
            </w:rPr>
            <w:t>/</w:t>
          </w:r>
          <w:r w:rsidR="00281E19">
            <w:rPr>
              <w:bCs/>
              <w:lang w:val="es-ES"/>
            </w:rPr>
            <w:t>8</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E65BF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FFB9" w14:textId="77777777" w:rsidR="00E10B9C" w:rsidRDefault="00E10B9C">
      <w:r>
        <w:t>____________________</w:t>
      </w:r>
    </w:p>
  </w:footnote>
  <w:footnote w:type="continuationSeparator" w:id="0">
    <w:p w14:paraId="0641BC7F" w14:textId="77777777" w:rsidR="00E10B9C" w:rsidRDefault="00E10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14242FC" w14:textId="77777777" w:rsidTr="00F74694">
      <w:trPr>
        <w:trHeight w:val="1304"/>
        <w:jc w:val="center"/>
      </w:trPr>
      <w:tc>
        <w:tcPr>
          <w:tcW w:w="6546" w:type="dxa"/>
        </w:tcPr>
        <w:p w14:paraId="6A22278E" w14:textId="77777777" w:rsidR="00AD3606" w:rsidRPr="009621F8" w:rsidRDefault="00F56F10"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018AED90" wp14:editId="34251946">
                    <wp:simplePos x="0" y="0"/>
                    <wp:positionH relativeFrom="column">
                      <wp:posOffset>1433251</wp:posOffset>
                    </wp:positionH>
                    <wp:positionV relativeFrom="paragraph">
                      <wp:posOffset>5080</wp:posOffset>
                    </wp:positionV>
                    <wp:extent cx="4399153" cy="471170"/>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153" cy="471170"/>
                            </a:xfrm>
                            <a:prstGeom prst="rect">
                              <a:avLst/>
                            </a:prstGeom>
                            <a:solidFill>
                              <a:schemeClr val="bg1"/>
                            </a:solidFill>
                            <a:ln w="9525">
                              <a:noFill/>
                              <a:miter lim="800000"/>
                              <a:headEnd/>
                              <a:tailEnd/>
                            </a:ln>
                          </wps:spPr>
                          <wps:txbx>
                            <w:txbxContent>
                              <w:p w14:paraId="53B59D24" w14:textId="7259DA9B" w:rsidR="00130599" w:rsidRDefault="00A43C03" w:rsidP="000120E4">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281E19">
                                  <w:rPr>
                                    <w:sz w:val="20"/>
                                  </w:rPr>
                                  <w:t>meeting – From 1</w:t>
                                </w:r>
                                <w:r w:rsidR="00281E19">
                                  <w:rPr>
                                    <w:sz w:val="20"/>
                                  </w:rPr>
                                  <w:t>0 (p.m.)</w:t>
                                </w:r>
                                <w:r w:rsidRPr="00281E19">
                                  <w:rPr>
                                    <w:sz w:val="20"/>
                                  </w:rPr>
                                  <w:t xml:space="preserve"> to 1</w:t>
                                </w:r>
                                <w:r w:rsidR="00281E19">
                                  <w:rPr>
                                    <w:sz w:val="20"/>
                                  </w:rPr>
                                  <w:t>2</w:t>
                                </w:r>
                                <w:r w:rsidRPr="00281E19">
                                  <w:rPr>
                                    <w:sz w:val="20"/>
                                  </w:rPr>
                                  <w:t xml:space="preserve"> </w:t>
                                </w:r>
                                <w:r w:rsidR="00281E19">
                                  <w:rPr>
                                    <w:sz w:val="20"/>
                                  </w:rPr>
                                  <w:t xml:space="preserve">September </w:t>
                                </w:r>
                                <w:r w:rsidRPr="00281E19">
                                  <w:rPr>
                                    <w:sz w:val="20"/>
                                  </w:rPr>
                                  <w:t>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8AED90" id="_x0000_t202" coordsize="21600,21600" o:spt="202" path="m,l,21600r21600,l21600,xe">
                    <v:stroke joinstyle="miter"/>
                    <v:path gradientshapeok="t" o:connecttype="rect"/>
                  </v:shapetype>
                  <v:shape id="Text Box 2" o:spid="_x0000_s1026" type="#_x0000_t202" style="position:absolute;margin-left:112.85pt;margin-top:.4pt;width:346.4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KuEQ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" fillcolor="white [3212]" stroked="f">
                    <v:textbox style="mso-fit-shape-to-text:t" inset="1mm">
                      <w:txbxContent>
                        <w:p w14:paraId="53B59D24" w14:textId="7259DA9B" w:rsidR="00130599" w:rsidRDefault="00A43C03" w:rsidP="000120E4">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281E19">
                            <w:rPr>
                              <w:sz w:val="20"/>
                            </w:rPr>
                            <w:t>meeting – From 1</w:t>
                          </w:r>
                          <w:r w:rsidR="00281E19">
                            <w:rPr>
                              <w:sz w:val="20"/>
                            </w:rPr>
                            <w:t>0 (p.m.)</w:t>
                          </w:r>
                          <w:r w:rsidRPr="00281E19">
                            <w:rPr>
                              <w:sz w:val="20"/>
                            </w:rPr>
                            <w:t xml:space="preserve"> to 1</w:t>
                          </w:r>
                          <w:r w:rsidR="00281E19">
                            <w:rPr>
                              <w:sz w:val="20"/>
                            </w:rPr>
                            <w:t>2</w:t>
                          </w:r>
                          <w:r w:rsidRPr="00281E19">
                            <w:rPr>
                              <w:sz w:val="20"/>
                            </w:rPr>
                            <w:t xml:space="preserve"> </w:t>
                          </w:r>
                          <w:r w:rsidR="00281E19">
                            <w:rPr>
                              <w:sz w:val="20"/>
                            </w:rPr>
                            <w:t xml:space="preserve">September </w:t>
                          </w:r>
                          <w:r w:rsidRPr="00281E19">
                            <w:rPr>
                              <w:sz w:val="20"/>
                            </w:rPr>
                            <w:t>2025</w:t>
                          </w:r>
                        </w:p>
                      </w:txbxContent>
                    </v:textbox>
                  </v:shape>
                </w:pict>
              </mc:Fallback>
            </mc:AlternateContent>
          </w:r>
          <w:r>
            <w:rPr>
              <w:rFonts w:ascii="Arial" w:hAnsi="Arial" w:cs="Arial"/>
              <w:b/>
              <w:bCs/>
              <w:noProof/>
              <w:color w:val="009CD6"/>
              <w:sz w:val="36"/>
              <w:szCs w:val="36"/>
            </w:rPr>
            <w:drawing>
              <wp:inline distT="0" distB="0" distL="0" distR="0" wp14:anchorId="25FF8506" wp14:editId="569F0CBF">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B5458B7" w14:textId="77777777" w:rsidR="00AD3606" w:rsidRDefault="00AD3606" w:rsidP="00AD3606">
          <w:pPr>
            <w:pStyle w:val="Header"/>
            <w:jc w:val="right"/>
            <w:rPr>
              <w:rFonts w:ascii="Arial" w:hAnsi="Arial" w:cs="Arial"/>
              <w:b/>
              <w:bCs/>
              <w:color w:val="009CD6"/>
              <w:szCs w:val="18"/>
            </w:rPr>
          </w:pPr>
        </w:p>
        <w:p w14:paraId="2DDC2E10" w14:textId="77777777" w:rsidR="00AD3606" w:rsidRDefault="00AD3606" w:rsidP="00AD3606">
          <w:pPr>
            <w:pStyle w:val="Header"/>
            <w:jc w:val="right"/>
            <w:rPr>
              <w:rFonts w:ascii="Arial" w:hAnsi="Arial" w:cs="Arial"/>
              <w:b/>
              <w:bCs/>
              <w:color w:val="009CD6"/>
              <w:szCs w:val="18"/>
            </w:rPr>
          </w:pPr>
        </w:p>
        <w:p w14:paraId="72DFDD8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6108734"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EB8E5DC" wp14:editId="0657070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6C1C3"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3CB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AE85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A9B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523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54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0E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281A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80D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EEE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C25B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95EF3"/>
    <w:multiLevelType w:val="multilevel"/>
    <w:tmpl w:val="B616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8C7768"/>
    <w:multiLevelType w:val="multilevel"/>
    <w:tmpl w:val="F4A6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E2C3B"/>
    <w:multiLevelType w:val="hybridMultilevel"/>
    <w:tmpl w:val="F49A77FE"/>
    <w:lvl w:ilvl="0" w:tplc="D93A07EE">
      <w:start w:val="1"/>
      <w:numFmt w:val="bullet"/>
      <w:lvlText w:val=""/>
      <w:lvlJc w:val="left"/>
      <w:pPr>
        <w:ind w:left="720" w:hanging="360"/>
      </w:pPr>
      <w:rPr>
        <w:rFonts w:ascii="Symbol" w:hAnsi="Symbol" w:hint="default"/>
      </w:rPr>
    </w:lvl>
    <w:lvl w:ilvl="1" w:tplc="AC18C274">
      <w:start w:val="1"/>
      <w:numFmt w:val="bullet"/>
      <w:lvlText w:val="o"/>
      <w:lvlJc w:val="left"/>
      <w:pPr>
        <w:ind w:left="1440" w:hanging="360"/>
      </w:pPr>
      <w:rPr>
        <w:rFonts w:ascii="Courier New" w:hAnsi="Courier New" w:hint="default"/>
      </w:rPr>
    </w:lvl>
    <w:lvl w:ilvl="2" w:tplc="94AE3E34">
      <w:start w:val="1"/>
      <w:numFmt w:val="bullet"/>
      <w:lvlText w:val=""/>
      <w:lvlJc w:val="left"/>
      <w:pPr>
        <w:ind w:left="2160" w:hanging="360"/>
      </w:pPr>
      <w:rPr>
        <w:rFonts w:ascii="Wingdings" w:hAnsi="Wingdings" w:hint="default"/>
      </w:rPr>
    </w:lvl>
    <w:lvl w:ilvl="3" w:tplc="B0D0B2F6">
      <w:start w:val="1"/>
      <w:numFmt w:val="bullet"/>
      <w:lvlText w:val=""/>
      <w:lvlJc w:val="left"/>
      <w:pPr>
        <w:ind w:left="2880" w:hanging="360"/>
      </w:pPr>
      <w:rPr>
        <w:rFonts w:ascii="Symbol" w:hAnsi="Symbol" w:hint="default"/>
      </w:rPr>
    </w:lvl>
    <w:lvl w:ilvl="4" w:tplc="1750C1A4">
      <w:start w:val="1"/>
      <w:numFmt w:val="bullet"/>
      <w:lvlText w:val="o"/>
      <w:lvlJc w:val="left"/>
      <w:pPr>
        <w:ind w:left="3600" w:hanging="360"/>
      </w:pPr>
      <w:rPr>
        <w:rFonts w:ascii="Courier New" w:hAnsi="Courier New" w:hint="default"/>
      </w:rPr>
    </w:lvl>
    <w:lvl w:ilvl="5" w:tplc="473C5D76">
      <w:start w:val="1"/>
      <w:numFmt w:val="bullet"/>
      <w:lvlText w:val=""/>
      <w:lvlJc w:val="left"/>
      <w:pPr>
        <w:ind w:left="4320" w:hanging="360"/>
      </w:pPr>
      <w:rPr>
        <w:rFonts w:ascii="Wingdings" w:hAnsi="Wingdings" w:hint="default"/>
      </w:rPr>
    </w:lvl>
    <w:lvl w:ilvl="6" w:tplc="CD608B7E">
      <w:start w:val="1"/>
      <w:numFmt w:val="bullet"/>
      <w:lvlText w:val=""/>
      <w:lvlJc w:val="left"/>
      <w:pPr>
        <w:ind w:left="5040" w:hanging="360"/>
      </w:pPr>
      <w:rPr>
        <w:rFonts w:ascii="Symbol" w:hAnsi="Symbol" w:hint="default"/>
      </w:rPr>
    </w:lvl>
    <w:lvl w:ilvl="7" w:tplc="C70EFBD4">
      <w:start w:val="1"/>
      <w:numFmt w:val="bullet"/>
      <w:lvlText w:val="o"/>
      <w:lvlJc w:val="left"/>
      <w:pPr>
        <w:ind w:left="5760" w:hanging="360"/>
      </w:pPr>
      <w:rPr>
        <w:rFonts w:ascii="Courier New" w:hAnsi="Courier New" w:hint="default"/>
      </w:rPr>
    </w:lvl>
    <w:lvl w:ilvl="8" w:tplc="866C46E2">
      <w:start w:val="1"/>
      <w:numFmt w:val="bullet"/>
      <w:lvlText w:val=""/>
      <w:lvlJc w:val="left"/>
      <w:pPr>
        <w:ind w:left="6480" w:hanging="360"/>
      </w:pPr>
      <w:rPr>
        <w:rFonts w:ascii="Wingdings" w:hAnsi="Wingdings" w:hint="default"/>
      </w:rPr>
    </w:lvl>
  </w:abstractNum>
  <w:abstractNum w:abstractNumId="13" w15:restartNumberingAfterBreak="0">
    <w:nsid w:val="28C720F0"/>
    <w:multiLevelType w:val="hybridMultilevel"/>
    <w:tmpl w:val="040CA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F7B02"/>
    <w:multiLevelType w:val="hybridMultilevel"/>
    <w:tmpl w:val="901E4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4A00B0"/>
    <w:multiLevelType w:val="multilevel"/>
    <w:tmpl w:val="0E06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B620DB"/>
    <w:multiLevelType w:val="multilevel"/>
    <w:tmpl w:val="374C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B3B4F"/>
    <w:multiLevelType w:val="multilevel"/>
    <w:tmpl w:val="F4A6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A4EA8"/>
    <w:multiLevelType w:val="multilevel"/>
    <w:tmpl w:val="8A3A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807886"/>
    <w:multiLevelType w:val="hybridMultilevel"/>
    <w:tmpl w:val="28801810"/>
    <w:lvl w:ilvl="0" w:tplc="93E2D82A">
      <w:start w:val="1"/>
      <w:numFmt w:val="bullet"/>
      <w:lvlText w:val=""/>
      <w:lvlJc w:val="left"/>
      <w:pPr>
        <w:ind w:left="720" w:hanging="360"/>
      </w:pPr>
      <w:rPr>
        <w:rFonts w:ascii="Symbol" w:hAnsi="Symbol" w:hint="default"/>
      </w:rPr>
    </w:lvl>
    <w:lvl w:ilvl="1" w:tplc="685C140C">
      <w:start w:val="1"/>
      <w:numFmt w:val="bullet"/>
      <w:lvlText w:val="o"/>
      <w:lvlJc w:val="left"/>
      <w:pPr>
        <w:ind w:left="1440" w:hanging="360"/>
      </w:pPr>
      <w:rPr>
        <w:rFonts w:ascii="Courier New" w:hAnsi="Courier New" w:hint="default"/>
      </w:rPr>
    </w:lvl>
    <w:lvl w:ilvl="2" w:tplc="98F8C8BA">
      <w:start w:val="1"/>
      <w:numFmt w:val="bullet"/>
      <w:lvlText w:val=""/>
      <w:lvlJc w:val="left"/>
      <w:pPr>
        <w:ind w:left="2160" w:hanging="360"/>
      </w:pPr>
      <w:rPr>
        <w:rFonts w:ascii="Wingdings" w:hAnsi="Wingdings" w:hint="default"/>
      </w:rPr>
    </w:lvl>
    <w:lvl w:ilvl="3" w:tplc="0372A858">
      <w:start w:val="1"/>
      <w:numFmt w:val="bullet"/>
      <w:lvlText w:val=""/>
      <w:lvlJc w:val="left"/>
      <w:pPr>
        <w:ind w:left="2880" w:hanging="360"/>
      </w:pPr>
      <w:rPr>
        <w:rFonts w:ascii="Symbol" w:hAnsi="Symbol" w:hint="default"/>
      </w:rPr>
    </w:lvl>
    <w:lvl w:ilvl="4" w:tplc="E5300A9E">
      <w:start w:val="1"/>
      <w:numFmt w:val="bullet"/>
      <w:lvlText w:val="o"/>
      <w:lvlJc w:val="left"/>
      <w:pPr>
        <w:ind w:left="3600" w:hanging="360"/>
      </w:pPr>
      <w:rPr>
        <w:rFonts w:ascii="Courier New" w:hAnsi="Courier New" w:hint="default"/>
      </w:rPr>
    </w:lvl>
    <w:lvl w:ilvl="5" w:tplc="D30AE3BE">
      <w:start w:val="1"/>
      <w:numFmt w:val="bullet"/>
      <w:lvlText w:val=""/>
      <w:lvlJc w:val="left"/>
      <w:pPr>
        <w:ind w:left="4320" w:hanging="360"/>
      </w:pPr>
      <w:rPr>
        <w:rFonts w:ascii="Wingdings" w:hAnsi="Wingdings" w:hint="default"/>
      </w:rPr>
    </w:lvl>
    <w:lvl w:ilvl="6" w:tplc="7860A12A">
      <w:start w:val="1"/>
      <w:numFmt w:val="bullet"/>
      <w:lvlText w:val=""/>
      <w:lvlJc w:val="left"/>
      <w:pPr>
        <w:ind w:left="5040" w:hanging="360"/>
      </w:pPr>
      <w:rPr>
        <w:rFonts w:ascii="Symbol" w:hAnsi="Symbol" w:hint="default"/>
      </w:rPr>
    </w:lvl>
    <w:lvl w:ilvl="7" w:tplc="7616A35A">
      <w:start w:val="1"/>
      <w:numFmt w:val="bullet"/>
      <w:lvlText w:val="o"/>
      <w:lvlJc w:val="left"/>
      <w:pPr>
        <w:ind w:left="5760" w:hanging="360"/>
      </w:pPr>
      <w:rPr>
        <w:rFonts w:ascii="Courier New" w:hAnsi="Courier New" w:hint="default"/>
      </w:rPr>
    </w:lvl>
    <w:lvl w:ilvl="8" w:tplc="3DECECE8">
      <w:start w:val="1"/>
      <w:numFmt w:val="bullet"/>
      <w:lvlText w:val=""/>
      <w:lvlJc w:val="left"/>
      <w:pPr>
        <w:ind w:left="6480" w:hanging="360"/>
      </w:pPr>
      <w:rPr>
        <w:rFonts w:ascii="Wingdings" w:hAnsi="Wingdings" w:hint="default"/>
      </w:rPr>
    </w:lvl>
  </w:abstractNum>
  <w:abstractNum w:abstractNumId="20" w15:restartNumberingAfterBreak="0">
    <w:nsid w:val="6C53739A"/>
    <w:multiLevelType w:val="hybridMultilevel"/>
    <w:tmpl w:val="61765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307DF8"/>
    <w:multiLevelType w:val="hybridMultilevel"/>
    <w:tmpl w:val="A02AD1B2"/>
    <w:lvl w:ilvl="0" w:tplc="53CAF1DE">
      <w:start w:val="1"/>
      <w:numFmt w:val="bullet"/>
      <w:lvlText w:val=""/>
      <w:lvlJc w:val="left"/>
      <w:pPr>
        <w:ind w:left="720" w:hanging="360"/>
      </w:pPr>
      <w:rPr>
        <w:rFonts w:ascii="Symbol" w:hAnsi="Symbol" w:hint="default"/>
      </w:rPr>
    </w:lvl>
    <w:lvl w:ilvl="1" w:tplc="7974E0FA">
      <w:start w:val="1"/>
      <w:numFmt w:val="bullet"/>
      <w:lvlText w:val="o"/>
      <w:lvlJc w:val="left"/>
      <w:pPr>
        <w:ind w:left="1440" w:hanging="360"/>
      </w:pPr>
      <w:rPr>
        <w:rFonts w:ascii="Courier New" w:hAnsi="Courier New" w:hint="default"/>
      </w:rPr>
    </w:lvl>
    <w:lvl w:ilvl="2" w:tplc="872C30EC">
      <w:start w:val="1"/>
      <w:numFmt w:val="bullet"/>
      <w:lvlText w:val=""/>
      <w:lvlJc w:val="left"/>
      <w:pPr>
        <w:ind w:left="2160" w:hanging="360"/>
      </w:pPr>
      <w:rPr>
        <w:rFonts w:ascii="Wingdings" w:hAnsi="Wingdings" w:hint="default"/>
      </w:rPr>
    </w:lvl>
    <w:lvl w:ilvl="3" w:tplc="2196D9F2">
      <w:start w:val="1"/>
      <w:numFmt w:val="bullet"/>
      <w:lvlText w:val=""/>
      <w:lvlJc w:val="left"/>
      <w:pPr>
        <w:ind w:left="2880" w:hanging="360"/>
      </w:pPr>
      <w:rPr>
        <w:rFonts w:ascii="Symbol" w:hAnsi="Symbol" w:hint="default"/>
      </w:rPr>
    </w:lvl>
    <w:lvl w:ilvl="4" w:tplc="CD967962">
      <w:start w:val="1"/>
      <w:numFmt w:val="bullet"/>
      <w:lvlText w:val="o"/>
      <w:lvlJc w:val="left"/>
      <w:pPr>
        <w:ind w:left="3600" w:hanging="360"/>
      </w:pPr>
      <w:rPr>
        <w:rFonts w:ascii="Courier New" w:hAnsi="Courier New" w:hint="default"/>
      </w:rPr>
    </w:lvl>
    <w:lvl w:ilvl="5" w:tplc="41B675B0">
      <w:start w:val="1"/>
      <w:numFmt w:val="bullet"/>
      <w:lvlText w:val=""/>
      <w:lvlJc w:val="left"/>
      <w:pPr>
        <w:ind w:left="4320" w:hanging="360"/>
      </w:pPr>
      <w:rPr>
        <w:rFonts w:ascii="Wingdings" w:hAnsi="Wingdings" w:hint="default"/>
      </w:rPr>
    </w:lvl>
    <w:lvl w:ilvl="6" w:tplc="832A428C">
      <w:start w:val="1"/>
      <w:numFmt w:val="bullet"/>
      <w:lvlText w:val=""/>
      <w:lvlJc w:val="left"/>
      <w:pPr>
        <w:ind w:left="5040" w:hanging="360"/>
      </w:pPr>
      <w:rPr>
        <w:rFonts w:ascii="Symbol" w:hAnsi="Symbol" w:hint="default"/>
      </w:rPr>
    </w:lvl>
    <w:lvl w:ilvl="7" w:tplc="658ADBD6">
      <w:start w:val="1"/>
      <w:numFmt w:val="bullet"/>
      <w:lvlText w:val="o"/>
      <w:lvlJc w:val="left"/>
      <w:pPr>
        <w:ind w:left="5760" w:hanging="360"/>
      </w:pPr>
      <w:rPr>
        <w:rFonts w:ascii="Courier New" w:hAnsi="Courier New" w:hint="default"/>
      </w:rPr>
    </w:lvl>
    <w:lvl w:ilvl="8" w:tplc="2E0CE510">
      <w:start w:val="1"/>
      <w:numFmt w:val="bullet"/>
      <w:lvlText w:val=""/>
      <w:lvlJc w:val="left"/>
      <w:pPr>
        <w:ind w:left="6480" w:hanging="360"/>
      </w:pPr>
      <w:rPr>
        <w:rFonts w:ascii="Wingdings" w:hAnsi="Wingdings" w:hint="default"/>
      </w:rPr>
    </w:lvl>
  </w:abstractNum>
  <w:abstractNum w:abstractNumId="22" w15:restartNumberingAfterBreak="0">
    <w:nsid w:val="78314F51"/>
    <w:multiLevelType w:val="multilevel"/>
    <w:tmpl w:val="51DE4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44937">
    <w:abstractNumId w:val="21"/>
  </w:num>
  <w:num w:numId="2" w16cid:durableId="511262213">
    <w:abstractNumId w:val="19"/>
  </w:num>
  <w:num w:numId="3" w16cid:durableId="1603490344">
    <w:abstractNumId w:val="12"/>
  </w:num>
  <w:num w:numId="4" w16cid:durableId="1374816267">
    <w:abstractNumId w:val="9"/>
  </w:num>
  <w:num w:numId="5" w16cid:durableId="1865902391">
    <w:abstractNumId w:val="7"/>
  </w:num>
  <w:num w:numId="6" w16cid:durableId="559444507">
    <w:abstractNumId w:val="6"/>
  </w:num>
  <w:num w:numId="7" w16cid:durableId="1808742026">
    <w:abstractNumId w:val="5"/>
  </w:num>
  <w:num w:numId="8" w16cid:durableId="1592086726">
    <w:abstractNumId w:val="4"/>
  </w:num>
  <w:num w:numId="9" w16cid:durableId="1683579996">
    <w:abstractNumId w:val="8"/>
  </w:num>
  <w:num w:numId="10" w16cid:durableId="140275429">
    <w:abstractNumId w:val="3"/>
  </w:num>
  <w:num w:numId="11" w16cid:durableId="2105761152">
    <w:abstractNumId w:val="2"/>
  </w:num>
  <w:num w:numId="12" w16cid:durableId="463238892">
    <w:abstractNumId w:val="1"/>
  </w:num>
  <w:num w:numId="13" w16cid:durableId="2051613411">
    <w:abstractNumId w:val="0"/>
  </w:num>
  <w:num w:numId="14" w16cid:durableId="1744912177">
    <w:abstractNumId w:val="8"/>
  </w:num>
  <w:num w:numId="15" w16cid:durableId="1121804825">
    <w:abstractNumId w:val="3"/>
  </w:num>
  <w:num w:numId="16" w16cid:durableId="196285695">
    <w:abstractNumId w:val="2"/>
  </w:num>
  <w:num w:numId="17" w16cid:durableId="1944993330">
    <w:abstractNumId w:val="1"/>
  </w:num>
  <w:num w:numId="18" w16cid:durableId="1833257664">
    <w:abstractNumId w:val="0"/>
  </w:num>
  <w:num w:numId="19" w16cid:durableId="616184638">
    <w:abstractNumId w:val="13"/>
  </w:num>
  <w:num w:numId="20" w16cid:durableId="1436905851">
    <w:abstractNumId w:val="22"/>
  </w:num>
  <w:num w:numId="21" w16cid:durableId="149174416">
    <w:abstractNumId w:val="10"/>
  </w:num>
  <w:num w:numId="22" w16cid:durableId="1799109709">
    <w:abstractNumId w:val="16"/>
  </w:num>
  <w:num w:numId="23" w16cid:durableId="98648790">
    <w:abstractNumId w:val="10"/>
  </w:num>
  <w:num w:numId="24" w16cid:durableId="1313410082">
    <w:abstractNumId w:val="16"/>
  </w:num>
  <w:num w:numId="25" w16cid:durableId="408701432">
    <w:abstractNumId w:val="20"/>
  </w:num>
  <w:num w:numId="26" w16cid:durableId="1530878413">
    <w:abstractNumId w:val="18"/>
  </w:num>
  <w:num w:numId="27" w16cid:durableId="982319983">
    <w:abstractNumId w:val="15"/>
  </w:num>
  <w:num w:numId="28" w16cid:durableId="1102996464">
    <w:abstractNumId w:val="14"/>
  </w:num>
  <w:num w:numId="29" w16cid:durableId="325209448">
    <w:abstractNumId w:val="17"/>
  </w:num>
  <w:num w:numId="30" w16cid:durableId="902450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5"/>
    <w:rsid w:val="00003A54"/>
    <w:rsid w:val="000120E4"/>
    <w:rsid w:val="00016CBB"/>
    <w:rsid w:val="000210D4"/>
    <w:rsid w:val="0003209F"/>
    <w:rsid w:val="00046146"/>
    <w:rsid w:val="00050FF8"/>
    <w:rsid w:val="000575B8"/>
    <w:rsid w:val="00061B93"/>
    <w:rsid w:val="00063016"/>
    <w:rsid w:val="00066795"/>
    <w:rsid w:val="00076AF6"/>
    <w:rsid w:val="00077045"/>
    <w:rsid w:val="00085CF2"/>
    <w:rsid w:val="00087159"/>
    <w:rsid w:val="000872C5"/>
    <w:rsid w:val="000931C0"/>
    <w:rsid w:val="000A3E15"/>
    <w:rsid w:val="000B1705"/>
    <w:rsid w:val="000C5EE6"/>
    <w:rsid w:val="000D3914"/>
    <w:rsid w:val="000D75B2"/>
    <w:rsid w:val="000F45B2"/>
    <w:rsid w:val="000F6AB8"/>
    <w:rsid w:val="001014D1"/>
    <w:rsid w:val="001121F5"/>
    <w:rsid w:val="00130599"/>
    <w:rsid w:val="001400DC"/>
    <w:rsid w:val="00140CE1"/>
    <w:rsid w:val="00147569"/>
    <w:rsid w:val="00147C54"/>
    <w:rsid w:val="00156D8F"/>
    <w:rsid w:val="00173231"/>
    <w:rsid w:val="0017539C"/>
    <w:rsid w:val="00175AC2"/>
    <w:rsid w:val="0017609F"/>
    <w:rsid w:val="001837AF"/>
    <w:rsid w:val="001863E4"/>
    <w:rsid w:val="001A7D1D"/>
    <w:rsid w:val="001B51DD"/>
    <w:rsid w:val="001C3A6A"/>
    <w:rsid w:val="001C5135"/>
    <w:rsid w:val="001C628E"/>
    <w:rsid w:val="001D4B9A"/>
    <w:rsid w:val="001E0F7B"/>
    <w:rsid w:val="001E0FBE"/>
    <w:rsid w:val="001E14EB"/>
    <w:rsid w:val="001E5FE7"/>
    <w:rsid w:val="002051C1"/>
    <w:rsid w:val="002119FD"/>
    <w:rsid w:val="002130E0"/>
    <w:rsid w:val="00244F7F"/>
    <w:rsid w:val="0025197E"/>
    <w:rsid w:val="0025570E"/>
    <w:rsid w:val="002614D4"/>
    <w:rsid w:val="00264425"/>
    <w:rsid w:val="00265875"/>
    <w:rsid w:val="0027303B"/>
    <w:rsid w:val="0028109B"/>
    <w:rsid w:val="00281E19"/>
    <w:rsid w:val="002825F3"/>
    <w:rsid w:val="00294C70"/>
    <w:rsid w:val="002A2188"/>
    <w:rsid w:val="002B1F58"/>
    <w:rsid w:val="002C1C7A"/>
    <w:rsid w:val="002C54E2"/>
    <w:rsid w:val="002D4E23"/>
    <w:rsid w:val="002D5C7D"/>
    <w:rsid w:val="002E0AC3"/>
    <w:rsid w:val="002F5CD0"/>
    <w:rsid w:val="002F6F78"/>
    <w:rsid w:val="0030160F"/>
    <w:rsid w:val="00301AEE"/>
    <w:rsid w:val="003145DF"/>
    <w:rsid w:val="00320223"/>
    <w:rsid w:val="00322D0D"/>
    <w:rsid w:val="0032560A"/>
    <w:rsid w:val="003270EF"/>
    <w:rsid w:val="00330A81"/>
    <w:rsid w:val="0034233D"/>
    <w:rsid w:val="00342684"/>
    <w:rsid w:val="00361465"/>
    <w:rsid w:val="00370241"/>
    <w:rsid w:val="0037A128"/>
    <w:rsid w:val="003877F5"/>
    <w:rsid w:val="003942D4"/>
    <w:rsid w:val="0039514F"/>
    <w:rsid w:val="003958A8"/>
    <w:rsid w:val="003A6A62"/>
    <w:rsid w:val="003B29C2"/>
    <w:rsid w:val="003C20CA"/>
    <w:rsid w:val="003C2533"/>
    <w:rsid w:val="003C35A4"/>
    <w:rsid w:val="003D26B6"/>
    <w:rsid w:val="003D5A7F"/>
    <w:rsid w:val="003D635C"/>
    <w:rsid w:val="003E29E9"/>
    <w:rsid w:val="004016E2"/>
    <w:rsid w:val="0040435A"/>
    <w:rsid w:val="00413539"/>
    <w:rsid w:val="00416A24"/>
    <w:rsid w:val="0042059E"/>
    <w:rsid w:val="00431D9E"/>
    <w:rsid w:val="00433CE8"/>
    <w:rsid w:val="004342C9"/>
    <w:rsid w:val="00434A5C"/>
    <w:rsid w:val="00440E56"/>
    <w:rsid w:val="0045193A"/>
    <w:rsid w:val="004544D9"/>
    <w:rsid w:val="00462E08"/>
    <w:rsid w:val="00472BAD"/>
    <w:rsid w:val="00484009"/>
    <w:rsid w:val="00490E72"/>
    <w:rsid w:val="00491157"/>
    <w:rsid w:val="004921C8"/>
    <w:rsid w:val="00495B0B"/>
    <w:rsid w:val="004A1B8B"/>
    <w:rsid w:val="004A424D"/>
    <w:rsid w:val="004D1851"/>
    <w:rsid w:val="004D3B0A"/>
    <w:rsid w:val="004D599D"/>
    <w:rsid w:val="004D6123"/>
    <w:rsid w:val="004E2EA5"/>
    <w:rsid w:val="004E3AEB"/>
    <w:rsid w:val="00502157"/>
    <w:rsid w:val="0050223C"/>
    <w:rsid w:val="005026D2"/>
    <w:rsid w:val="005039C5"/>
    <w:rsid w:val="005076BD"/>
    <w:rsid w:val="00507750"/>
    <w:rsid w:val="00514234"/>
    <w:rsid w:val="005243FF"/>
    <w:rsid w:val="005311D6"/>
    <w:rsid w:val="00536422"/>
    <w:rsid w:val="00547667"/>
    <w:rsid w:val="00564FBC"/>
    <w:rsid w:val="005800BC"/>
    <w:rsid w:val="00582442"/>
    <w:rsid w:val="00585513"/>
    <w:rsid w:val="005A335D"/>
    <w:rsid w:val="005C13D4"/>
    <w:rsid w:val="005C6F1C"/>
    <w:rsid w:val="005D7230"/>
    <w:rsid w:val="005E2BD5"/>
    <w:rsid w:val="005F0790"/>
    <w:rsid w:val="005F3269"/>
    <w:rsid w:val="005F4FDF"/>
    <w:rsid w:val="00604C16"/>
    <w:rsid w:val="00611541"/>
    <w:rsid w:val="00615961"/>
    <w:rsid w:val="00623AE3"/>
    <w:rsid w:val="006261F4"/>
    <w:rsid w:val="00630BD3"/>
    <w:rsid w:val="0064737F"/>
    <w:rsid w:val="00647F27"/>
    <w:rsid w:val="006535F1"/>
    <w:rsid w:val="0065557D"/>
    <w:rsid w:val="00660D50"/>
    <w:rsid w:val="00662984"/>
    <w:rsid w:val="00667166"/>
    <w:rsid w:val="006716BB"/>
    <w:rsid w:val="006927E5"/>
    <w:rsid w:val="00693695"/>
    <w:rsid w:val="0069774E"/>
    <w:rsid w:val="00697AAD"/>
    <w:rsid w:val="006B1859"/>
    <w:rsid w:val="006B391D"/>
    <w:rsid w:val="006B6680"/>
    <w:rsid w:val="006B6DCC"/>
    <w:rsid w:val="006C63A6"/>
    <w:rsid w:val="00700042"/>
    <w:rsid w:val="00702DEF"/>
    <w:rsid w:val="00706861"/>
    <w:rsid w:val="00720DF3"/>
    <w:rsid w:val="00721501"/>
    <w:rsid w:val="00726B8C"/>
    <w:rsid w:val="007307E8"/>
    <w:rsid w:val="0075051B"/>
    <w:rsid w:val="00750F77"/>
    <w:rsid w:val="00753DD5"/>
    <w:rsid w:val="00772131"/>
    <w:rsid w:val="00775655"/>
    <w:rsid w:val="007821B6"/>
    <w:rsid w:val="00793188"/>
    <w:rsid w:val="00794D34"/>
    <w:rsid w:val="007A238B"/>
    <w:rsid w:val="007A39C8"/>
    <w:rsid w:val="007C2C2E"/>
    <w:rsid w:val="007F69C2"/>
    <w:rsid w:val="00806E3C"/>
    <w:rsid w:val="00813E5E"/>
    <w:rsid w:val="00814B73"/>
    <w:rsid w:val="00815F24"/>
    <w:rsid w:val="00816C2C"/>
    <w:rsid w:val="008206FE"/>
    <w:rsid w:val="0082432B"/>
    <w:rsid w:val="00832D73"/>
    <w:rsid w:val="0083581B"/>
    <w:rsid w:val="00837F46"/>
    <w:rsid w:val="00847834"/>
    <w:rsid w:val="00860EED"/>
    <w:rsid w:val="00863874"/>
    <w:rsid w:val="00864AFF"/>
    <w:rsid w:val="00865925"/>
    <w:rsid w:val="00891503"/>
    <w:rsid w:val="008A2247"/>
    <w:rsid w:val="008B4A6A"/>
    <w:rsid w:val="008B5ED9"/>
    <w:rsid w:val="008C7E27"/>
    <w:rsid w:val="008F3822"/>
    <w:rsid w:val="008F7448"/>
    <w:rsid w:val="0090147A"/>
    <w:rsid w:val="00901D9C"/>
    <w:rsid w:val="0090389B"/>
    <w:rsid w:val="009173EF"/>
    <w:rsid w:val="00932906"/>
    <w:rsid w:val="00933713"/>
    <w:rsid w:val="0094786C"/>
    <w:rsid w:val="00961860"/>
    <w:rsid w:val="00961B0B"/>
    <w:rsid w:val="00962D33"/>
    <w:rsid w:val="00965303"/>
    <w:rsid w:val="00967744"/>
    <w:rsid w:val="00967BE7"/>
    <w:rsid w:val="00974DD4"/>
    <w:rsid w:val="00975642"/>
    <w:rsid w:val="00991BEB"/>
    <w:rsid w:val="009928A2"/>
    <w:rsid w:val="00996BC2"/>
    <w:rsid w:val="009A0131"/>
    <w:rsid w:val="009B38C3"/>
    <w:rsid w:val="009C09AC"/>
    <w:rsid w:val="009C29A3"/>
    <w:rsid w:val="009C4F80"/>
    <w:rsid w:val="009D0F2E"/>
    <w:rsid w:val="009E17BD"/>
    <w:rsid w:val="009E3F42"/>
    <w:rsid w:val="009E485A"/>
    <w:rsid w:val="00A04CEC"/>
    <w:rsid w:val="00A12DB7"/>
    <w:rsid w:val="00A21594"/>
    <w:rsid w:val="00A27F92"/>
    <w:rsid w:val="00A32257"/>
    <w:rsid w:val="00A36D20"/>
    <w:rsid w:val="00A4369A"/>
    <w:rsid w:val="00A43C03"/>
    <w:rsid w:val="00A46981"/>
    <w:rsid w:val="00A46CD0"/>
    <w:rsid w:val="00A47411"/>
    <w:rsid w:val="00A47F35"/>
    <w:rsid w:val="00A514A4"/>
    <w:rsid w:val="00A52C84"/>
    <w:rsid w:val="00A55622"/>
    <w:rsid w:val="00A83502"/>
    <w:rsid w:val="00A86610"/>
    <w:rsid w:val="00A90A43"/>
    <w:rsid w:val="00AA45EB"/>
    <w:rsid w:val="00AA719E"/>
    <w:rsid w:val="00AB0F10"/>
    <w:rsid w:val="00AC61DD"/>
    <w:rsid w:val="00AD0337"/>
    <w:rsid w:val="00AD15B3"/>
    <w:rsid w:val="00AD3606"/>
    <w:rsid w:val="00AD4A3D"/>
    <w:rsid w:val="00AF6E49"/>
    <w:rsid w:val="00B04A67"/>
    <w:rsid w:val="00B0583C"/>
    <w:rsid w:val="00B07BEE"/>
    <w:rsid w:val="00B248BC"/>
    <w:rsid w:val="00B26B9F"/>
    <w:rsid w:val="00B358B2"/>
    <w:rsid w:val="00B40A81"/>
    <w:rsid w:val="00B44910"/>
    <w:rsid w:val="00B56F98"/>
    <w:rsid w:val="00B6009B"/>
    <w:rsid w:val="00B72267"/>
    <w:rsid w:val="00B73DD1"/>
    <w:rsid w:val="00B76EB6"/>
    <w:rsid w:val="00B7737B"/>
    <w:rsid w:val="00B824C8"/>
    <w:rsid w:val="00B849D3"/>
    <w:rsid w:val="00B84B9D"/>
    <w:rsid w:val="00B8507E"/>
    <w:rsid w:val="00B975F9"/>
    <w:rsid w:val="00BA3A51"/>
    <w:rsid w:val="00BC251A"/>
    <w:rsid w:val="00BC7850"/>
    <w:rsid w:val="00BD032B"/>
    <w:rsid w:val="00BD0614"/>
    <w:rsid w:val="00BD094B"/>
    <w:rsid w:val="00BD6432"/>
    <w:rsid w:val="00BE2640"/>
    <w:rsid w:val="00C01189"/>
    <w:rsid w:val="00C0614E"/>
    <w:rsid w:val="00C1628D"/>
    <w:rsid w:val="00C23AEB"/>
    <w:rsid w:val="00C24C67"/>
    <w:rsid w:val="00C36529"/>
    <w:rsid w:val="00C374DE"/>
    <w:rsid w:val="00C3796A"/>
    <w:rsid w:val="00C47AD4"/>
    <w:rsid w:val="00C52D81"/>
    <w:rsid w:val="00C55198"/>
    <w:rsid w:val="00C725C6"/>
    <w:rsid w:val="00C922C7"/>
    <w:rsid w:val="00CA15F6"/>
    <w:rsid w:val="00CA6393"/>
    <w:rsid w:val="00CB18FF"/>
    <w:rsid w:val="00CB24AA"/>
    <w:rsid w:val="00CD0C08"/>
    <w:rsid w:val="00CD3C91"/>
    <w:rsid w:val="00CE03FB"/>
    <w:rsid w:val="00CE38C1"/>
    <w:rsid w:val="00CE433C"/>
    <w:rsid w:val="00CF0161"/>
    <w:rsid w:val="00CF069B"/>
    <w:rsid w:val="00CF2F9F"/>
    <w:rsid w:val="00CF33F3"/>
    <w:rsid w:val="00D03F97"/>
    <w:rsid w:val="00D06183"/>
    <w:rsid w:val="00D1093B"/>
    <w:rsid w:val="00D22C42"/>
    <w:rsid w:val="00D34E73"/>
    <w:rsid w:val="00D37763"/>
    <w:rsid w:val="00D45669"/>
    <w:rsid w:val="00D464CC"/>
    <w:rsid w:val="00D522F6"/>
    <w:rsid w:val="00D65041"/>
    <w:rsid w:val="00DA1760"/>
    <w:rsid w:val="00DB00D5"/>
    <w:rsid w:val="00DB1936"/>
    <w:rsid w:val="00DB384B"/>
    <w:rsid w:val="00DC204E"/>
    <w:rsid w:val="00DD7382"/>
    <w:rsid w:val="00DE12E4"/>
    <w:rsid w:val="00DE5CB1"/>
    <w:rsid w:val="00DF0189"/>
    <w:rsid w:val="00DF476F"/>
    <w:rsid w:val="00E06FD5"/>
    <w:rsid w:val="00E10B9C"/>
    <w:rsid w:val="00E10E80"/>
    <w:rsid w:val="00E124F0"/>
    <w:rsid w:val="00E1337D"/>
    <w:rsid w:val="00E227F3"/>
    <w:rsid w:val="00E4064D"/>
    <w:rsid w:val="00E4728B"/>
    <w:rsid w:val="00E545C6"/>
    <w:rsid w:val="00E60F04"/>
    <w:rsid w:val="00E65B24"/>
    <w:rsid w:val="00E713A8"/>
    <w:rsid w:val="00E854E4"/>
    <w:rsid w:val="00E85FE1"/>
    <w:rsid w:val="00E86DBF"/>
    <w:rsid w:val="00E92FB9"/>
    <w:rsid w:val="00EA5171"/>
    <w:rsid w:val="00EB0D6F"/>
    <w:rsid w:val="00EB2232"/>
    <w:rsid w:val="00EC514F"/>
    <w:rsid w:val="00EC5337"/>
    <w:rsid w:val="00EE49E8"/>
    <w:rsid w:val="00EE6C9D"/>
    <w:rsid w:val="00EF348A"/>
    <w:rsid w:val="00EF6A33"/>
    <w:rsid w:val="00F05D53"/>
    <w:rsid w:val="00F10B59"/>
    <w:rsid w:val="00F16BAB"/>
    <w:rsid w:val="00F2150A"/>
    <w:rsid w:val="00F231D8"/>
    <w:rsid w:val="00F33176"/>
    <w:rsid w:val="00F3501D"/>
    <w:rsid w:val="00F44371"/>
    <w:rsid w:val="00F44C00"/>
    <w:rsid w:val="00F45D2C"/>
    <w:rsid w:val="00F46C5F"/>
    <w:rsid w:val="00F56F10"/>
    <w:rsid w:val="00F632C0"/>
    <w:rsid w:val="00F6342F"/>
    <w:rsid w:val="00F74694"/>
    <w:rsid w:val="00F86596"/>
    <w:rsid w:val="00F93FD4"/>
    <w:rsid w:val="00F94A63"/>
    <w:rsid w:val="00FA1C28"/>
    <w:rsid w:val="00FB1279"/>
    <w:rsid w:val="00FB6B76"/>
    <w:rsid w:val="00FB7596"/>
    <w:rsid w:val="00FD6740"/>
    <w:rsid w:val="00FE4077"/>
    <w:rsid w:val="00FE500D"/>
    <w:rsid w:val="00FE77D2"/>
    <w:rsid w:val="033EEFDC"/>
    <w:rsid w:val="05CE0FD6"/>
    <w:rsid w:val="06C8D80F"/>
    <w:rsid w:val="0CE9791E"/>
    <w:rsid w:val="0EA41FB3"/>
    <w:rsid w:val="0FFFEFA2"/>
    <w:rsid w:val="1133683F"/>
    <w:rsid w:val="129EBD93"/>
    <w:rsid w:val="13C80170"/>
    <w:rsid w:val="16CE5AFA"/>
    <w:rsid w:val="17AE79B0"/>
    <w:rsid w:val="1EDD2927"/>
    <w:rsid w:val="221CDAA2"/>
    <w:rsid w:val="24C5ABA2"/>
    <w:rsid w:val="2768F39D"/>
    <w:rsid w:val="279B3933"/>
    <w:rsid w:val="2800D8F1"/>
    <w:rsid w:val="295A36DE"/>
    <w:rsid w:val="2A054A32"/>
    <w:rsid w:val="2A912517"/>
    <w:rsid w:val="2BFA32E9"/>
    <w:rsid w:val="2D003133"/>
    <w:rsid w:val="2DF37391"/>
    <w:rsid w:val="2DFC699B"/>
    <w:rsid w:val="2F218BBA"/>
    <w:rsid w:val="2F7DD8D3"/>
    <w:rsid w:val="306F6199"/>
    <w:rsid w:val="308F6F39"/>
    <w:rsid w:val="32D49DD7"/>
    <w:rsid w:val="330A2506"/>
    <w:rsid w:val="35708FEE"/>
    <w:rsid w:val="3690E175"/>
    <w:rsid w:val="3694FF0A"/>
    <w:rsid w:val="36E17AB4"/>
    <w:rsid w:val="3959EB6A"/>
    <w:rsid w:val="3A8CBCEF"/>
    <w:rsid w:val="3AC064C3"/>
    <w:rsid w:val="3C46293E"/>
    <w:rsid w:val="3C51B1D2"/>
    <w:rsid w:val="3C979C64"/>
    <w:rsid w:val="3DF78051"/>
    <w:rsid w:val="3F4E9F75"/>
    <w:rsid w:val="42310450"/>
    <w:rsid w:val="43CB7C6E"/>
    <w:rsid w:val="43D1F5C1"/>
    <w:rsid w:val="44677FE5"/>
    <w:rsid w:val="49DE3374"/>
    <w:rsid w:val="4A2CE025"/>
    <w:rsid w:val="4C546371"/>
    <w:rsid w:val="4CCF9F9A"/>
    <w:rsid w:val="4D6D29F7"/>
    <w:rsid w:val="4F969131"/>
    <w:rsid w:val="534BEF3D"/>
    <w:rsid w:val="53FC3083"/>
    <w:rsid w:val="54F50F4F"/>
    <w:rsid w:val="55254D55"/>
    <w:rsid w:val="5670F355"/>
    <w:rsid w:val="56A1C175"/>
    <w:rsid w:val="56FC4342"/>
    <w:rsid w:val="5783F58A"/>
    <w:rsid w:val="586664D1"/>
    <w:rsid w:val="59972FCB"/>
    <w:rsid w:val="5A5E3487"/>
    <w:rsid w:val="5AA7C04B"/>
    <w:rsid w:val="5C0CBBED"/>
    <w:rsid w:val="5C5039FE"/>
    <w:rsid w:val="5CDB6172"/>
    <w:rsid w:val="5D33BB55"/>
    <w:rsid w:val="5EF49990"/>
    <w:rsid w:val="68EF7AF7"/>
    <w:rsid w:val="69F20774"/>
    <w:rsid w:val="6A5A9010"/>
    <w:rsid w:val="6ED33F62"/>
    <w:rsid w:val="6F706CF4"/>
    <w:rsid w:val="715B1988"/>
    <w:rsid w:val="765BC959"/>
    <w:rsid w:val="789A6B80"/>
    <w:rsid w:val="78C97A7C"/>
    <w:rsid w:val="79038CD3"/>
    <w:rsid w:val="7B14F2A7"/>
    <w:rsid w:val="7C4BBC50"/>
    <w:rsid w:val="7C642C09"/>
    <w:rsid w:val="7CB1D206"/>
    <w:rsid w:val="7E049A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7D12"/>
  <w15:docId w15:val="{9912B98E-A592-4095-B08F-F7C08A29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5C6F1C"/>
    <w:rPr>
      <w:color w:val="666666"/>
    </w:rPr>
  </w:style>
  <w:style w:type="paragraph" w:customStyle="1" w:styleId="Reasons">
    <w:name w:val="Reasons"/>
    <w:basedOn w:val="Normal"/>
    <w:qFormat/>
    <w:rsid w:val="00F44371"/>
  </w:style>
  <w:style w:type="character" w:styleId="Strong">
    <w:name w:val="Strong"/>
    <w:basedOn w:val="DefaultParagraphFont"/>
    <w:uiPriority w:val="22"/>
    <w:qFormat/>
    <w:rsid w:val="00901D9C"/>
    <w:rPr>
      <w:b/>
      <w:bCs/>
    </w:rPr>
  </w:style>
  <w:style w:type="paragraph" w:styleId="ListParagraph">
    <w:name w:val="List Paragraph"/>
    <w:basedOn w:val="Normal"/>
    <w:uiPriority w:val="34"/>
    <w:qFormat/>
    <w:rsid w:val="002825F3"/>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kern w:val="2"/>
      <w:sz w:val="22"/>
      <w:szCs w:val="22"/>
      <w:lang w:eastAsia="zh-CN"/>
      <w14:ligatures w14:val="standardContextual"/>
    </w:rPr>
  </w:style>
  <w:style w:type="paragraph" w:customStyle="1" w:styleId="paragraph">
    <w:name w:val="paragraph"/>
    <w:basedOn w:val="Normal"/>
    <w:rsid w:val="009C4F80"/>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9C4F80"/>
  </w:style>
  <w:style w:type="character" w:customStyle="1" w:styleId="eop">
    <w:name w:val="eop"/>
    <w:basedOn w:val="DefaultParagraphFont"/>
    <w:rsid w:val="009C4F80"/>
  </w:style>
  <w:style w:type="paragraph" w:styleId="Revision">
    <w:name w:val="Revision"/>
    <w:hidden/>
    <w:uiPriority w:val="99"/>
    <w:semiHidden/>
    <w:rsid w:val="009E3F42"/>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EF6A33"/>
    <w:rPr>
      <w:b/>
      <w:bCs/>
    </w:rPr>
  </w:style>
  <w:style w:type="character" w:customStyle="1" w:styleId="CommentSubjectChar">
    <w:name w:val="Comment Subject Char"/>
    <w:basedOn w:val="CommentTextChar"/>
    <w:link w:val="CommentSubject"/>
    <w:semiHidden/>
    <w:rsid w:val="00EF6A33"/>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48804">
      <w:bodyDiv w:val="1"/>
      <w:marLeft w:val="0"/>
      <w:marRight w:val="0"/>
      <w:marTop w:val="0"/>
      <w:marBottom w:val="0"/>
      <w:divBdr>
        <w:top w:val="none" w:sz="0" w:space="0" w:color="auto"/>
        <w:left w:val="none" w:sz="0" w:space="0" w:color="auto"/>
        <w:bottom w:val="none" w:sz="0" w:space="0" w:color="auto"/>
        <w:right w:val="none" w:sz="0" w:space="0" w:color="auto"/>
      </w:divBdr>
    </w:div>
    <w:div w:id="1156651109">
      <w:bodyDiv w:val="1"/>
      <w:marLeft w:val="0"/>
      <w:marRight w:val="0"/>
      <w:marTop w:val="0"/>
      <w:marBottom w:val="0"/>
      <w:divBdr>
        <w:top w:val="none" w:sz="0" w:space="0" w:color="auto"/>
        <w:left w:val="none" w:sz="0" w:space="0" w:color="auto"/>
        <w:bottom w:val="none" w:sz="0" w:space="0" w:color="auto"/>
        <w:right w:val="none" w:sz="0" w:space="0" w:color="auto"/>
      </w:divBdr>
    </w:div>
    <w:div w:id="1550066191">
      <w:bodyDiv w:val="1"/>
      <w:marLeft w:val="0"/>
      <w:marRight w:val="0"/>
      <w:marTop w:val="0"/>
      <w:marBottom w:val="0"/>
      <w:divBdr>
        <w:top w:val="none" w:sz="0" w:space="0" w:color="auto"/>
        <w:left w:val="none" w:sz="0" w:space="0" w:color="auto"/>
        <w:bottom w:val="none" w:sz="0" w:space="0" w:color="auto"/>
        <w:right w:val="none" w:sz="0" w:space="0" w:color="auto"/>
      </w:divBdr>
    </w:div>
    <w:div w:id="1641030961">
      <w:bodyDiv w:val="1"/>
      <w:marLeft w:val="0"/>
      <w:marRight w:val="0"/>
      <w:marTop w:val="0"/>
      <w:marBottom w:val="0"/>
      <w:divBdr>
        <w:top w:val="none" w:sz="0" w:space="0" w:color="auto"/>
        <w:left w:val="none" w:sz="0" w:space="0" w:color="auto"/>
        <w:bottom w:val="none" w:sz="0" w:space="0" w:color="auto"/>
        <w:right w:val="none" w:sz="0" w:space="0" w:color="auto"/>
      </w:divBdr>
    </w:div>
    <w:div w:id="1997489605">
      <w:bodyDiv w:val="1"/>
      <w:marLeft w:val="0"/>
      <w:marRight w:val="0"/>
      <w:marTop w:val="0"/>
      <w:marBottom w:val="0"/>
      <w:divBdr>
        <w:top w:val="none" w:sz="0" w:space="0" w:color="auto"/>
        <w:left w:val="none" w:sz="0" w:space="0" w:color="auto"/>
        <w:bottom w:val="none" w:sz="0" w:space="0" w:color="auto"/>
        <w:right w:val="none" w:sz="0" w:space="0" w:color="auto"/>
      </w:divBdr>
    </w:div>
    <w:div w:id="2012752065">
      <w:bodyDiv w:val="1"/>
      <w:marLeft w:val="0"/>
      <w:marRight w:val="0"/>
      <w:marTop w:val="0"/>
      <w:marBottom w:val="0"/>
      <w:divBdr>
        <w:top w:val="none" w:sz="0" w:space="0" w:color="auto"/>
        <w:left w:val="none" w:sz="0" w:space="0" w:color="auto"/>
        <w:bottom w:val="none" w:sz="0" w:space="0" w:color="auto"/>
        <w:right w:val="none" w:sz="0" w:space="0" w:color="auto"/>
      </w:divBdr>
    </w:div>
    <w:div w:id="208872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95/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council/cwg-fhr/Pages/defaul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95/en" TargetMode="External"/><Relationship Id="rId5" Type="http://schemas.openxmlformats.org/officeDocument/2006/relationships/numbering" Target="numbering.xml"/><Relationship Id="rId15" Type="http://schemas.openxmlformats.org/officeDocument/2006/relationships/hyperlink" Target="https://www.itu.int/md/S25-CL-C-0095/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0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3AA72-B6F2-4DF8-9A84-186306B87314}">
  <ds:schemaRefs>
    <ds:schemaRef ds:uri="http://schemas.microsoft.com/office/2006/metadata/properties"/>
    <ds:schemaRef ds:uri="http://schemas.microsoft.com/office/infopath/2007/PartnerControls"/>
    <ds:schemaRef ds:uri="a1cf676c-2816-4389-ad5d-0f2e7c7e67c4"/>
  </ds:schemaRefs>
</ds:datastoreItem>
</file>

<file path=customXml/itemProps2.xml><?xml version="1.0" encoding="utf-8"?>
<ds:datastoreItem xmlns:ds="http://schemas.openxmlformats.org/officeDocument/2006/customXml" ds:itemID="{091117DA-A7D6-4886-91B4-CA16C9AA3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42494-F8D4-46B5-BB8B-3C486B773CEF}">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1791</Words>
  <Characters>11292</Characters>
  <Application>Microsoft Office Word</Application>
  <DocSecurity>0</DocSecurity>
  <Lines>191</Lines>
  <Paragraphs>73</Paragraphs>
  <ScaleCrop>false</ScaleCrop>
  <HeadingPairs>
    <vt:vector size="2" baseType="variant">
      <vt:variant>
        <vt:lpstr>Title</vt:lpstr>
      </vt:variant>
      <vt:variant>
        <vt:i4>1</vt:i4>
      </vt:variant>
    </vt:vector>
  </HeadingPairs>
  <TitlesOfParts>
    <vt:vector size="1" baseType="lpstr">
      <vt:lpstr>Reducing financial burdens on host countries of ITU conferences, meetings and activities</vt:lpstr>
    </vt:vector>
  </TitlesOfParts>
  <Manager/>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financial burdens on host countries of ITU conferences, meetings and activities</dc:title>
  <dc:subject>ITU Council Working Group on financial and human resources</dc:subject>
  <cp:keywords>CWG-FHR</cp:keywords>
  <dc:description/>
  <dcterms:created xsi:type="dcterms:W3CDTF">2025-08-08T17:49:00Z</dcterms:created>
  <dcterms:modified xsi:type="dcterms:W3CDTF">2025-08-08T18:00:00Z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380f48d8275ac0b4c619f5905225f6dc65f1f8fd06a88d3bbad1033ac6bb9d89</vt:lpwstr>
  </property>
  <property fmtid="{D5CDD505-2E9C-101B-9397-08002B2CF9AE}" pid="3" name="ContentTypeId">
    <vt:lpwstr>0x01010096B2CC4DF5F10149B2E37F08EDC3AC3A</vt:lpwstr>
  </property>
  <property fmtid="{D5CDD505-2E9C-101B-9397-08002B2CF9AE}" pid="4" name="MediaServiceImageTags">
    <vt:lpwstr/>
  </property>
</Properties>
</file>