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301AEE" w14:paraId="5F1F81F2" w14:textId="77777777" w:rsidTr="315FC07C">
        <w:trPr>
          <w:cantSplit/>
          <w:trHeight w:val="23"/>
        </w:trPr>
        <w:tc>
          <w:tcPr>
            <w:tcW w:w="3969" w:type="dxa"/>
            <w:vMerge w:val="restart"/>
            <w:tcMar>
              <w:left w:w="0" w:type="dxa"/>
            </w:tcMar>
          </w:tcPr>
          <w:p w14:paraId="16DC194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4C18532" w14:textId="6258BF2A" w:rsidR="00AD3606" w:rsidRPr="00301AEE" w:rsidRDefault="00AD3606" w:rsidP="315FC07C">
            <w:pPr>
              <w:tabs>
                <w:tab w:val="left" w:pos="851"/>
              </w:tabs>
              <w:spacing w:before="0" w:line="240" w:lineRule="atLeast"/>
              <w:jc w:val="right"/>
              <w:rPr>
                <w:b/>
                <w:bCs/>
                <w:lang w:val="fr-FR"/>
              </w:rPr>
            </w:pPr>
            <w:r w:rsidRPr="00534C75">
              <w:rPr>
                <w:b/>
                <w:bCs/>
                <w:lang w:val="fr-FR"/>
              </w:rPr>
              <w:t xml:space="preserve">Document </w:t>
            </w:r>
            <w:proofErr w:type="spellStart"/>
            <w:r w:rsidRPr="00534C75">
              <w:rPr>
                <w:b/>
                <w:bCs/>
                <w:lang w:val="fr-FR"/>
              </w:rPr>
              <w:t>C</w:t>
            </w:r>
            <w:r w:rsidR="00A52C84" w:rsidRPr="00534C75">
              <w:rPr>
                <w:b/>
                <w:bCs/>
                <w:lang w:val="fr-FR"/>
              </w:rPr>
              <w:t>WG</w:t>
            </w:r>
            <w:proofErr w:type="spellEnd"/>
            <w:r w:rsidR="00A52C84" w:rsidRPr="00534C75">
              <w:rPr>
                <w:b/>
                <w:bCs/>
                <w:lang w:val="fr-FR"/>
              </w:rPr>
              <w:t>-</w:t>
            </w:r>
            <w:proofErr w:type="spellStart"/>
            <w:r w:rsidR="000F6AB8" w:rsidRPr="00534C75">
              <w:rPr>
                <w:b/>
                <w:bCs/>
                <w:lang w:val="fr-FR"/>
              </w:rPr>
              <w:t>FHR</w:t>
            </w:r>
            <w:proofErr w:type="spellEnd"/>
            <w:r w:rsidR="00A52C84" w:rsidRPr="00534C75">
              <w:rPr>
                <w:b/>
                <w:bCs/>
                <w:lang w:val="fr-FR"/>
              </w:rPr>
              <w:t>-</w:t>
            </w:r>
            <w:r w:rsidR="00101C44" w:rsidRPr="00534C75">
              <w:rPr>
                <w:b/>
                <w:bCs/>
                <w:lang w:val="fr-FR"/>
              </w:rPr>
              <w:t>21</w:t>
            </w:r>
            <w:r w:rsidR="00301AEE" w:rsidRPr="00534C75">
              <w:rPr>
                <w:b/>
                <w:bCs/>
                <w:lang w:val="fr-FR"/>
              </w:rPr>
              <w:t>/</w:t>
            </w:r>
            <w:r w:rsidR="7956AA65" w:rsidRPr="00534C75">
              <w:rPr>
                <w:b/>
                <w:bCs/>
                <w:lang w:val="fr-FR"/>
              </w:rPr>
              <w:t>7</w:t>
            </w:r>
          </w:p>
        </w:tc>
      </w:tr>
      <w:tr w:rsidR="00AD3606" w:rsidRPr="00147C54" w14:paraId="6E85BAE5" w14:textId="77777777" w:rsidTr="315FC07C">
        <w:trPr>
          <w:cantSplit/>
        </w:trPr>
        <w:tc>
          <w:tcPr>
            <w:tcW w:w="3969" w:type="dxa"/>
            <w:vMerge/>
          </w:tcPr>
          <w:p w14:paraId="56C90872"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7955E02B" w14:textId="21E9C81E" w:rsidR="00AD3606" w:rsidRPr="00147C54" w:rsidRDefault="008E3850" w:rsidP="00AD3606">
            <w:pPr>
              <w:tabs>
                <w:tab w:val="left" w:pos="851"/>
              </w:tabs>
              <w:spacing w:before="0"/>
              <w:jc w:val="right"/>
              <w:rPr>
                <w:b/>
              </w:rPr>
            </w:pPr>
            <w:r>
              <w:rPr>
                <w:b/>
              </w:rPr>
              <w:t>8</w:t>
            </w:r>
            <w:r w:rsidR="00534C75">
              <w:rPr>
                <w:b/>
              </w:rPr>
              <w:t xml:space="preserve"> August</w:t>
            </w:r>
            <w:r w:rsidR="00E710AF">
              <w:rPr>
                <w:b/>
              </w:rPr>
              <w:t xml:space="preserve"> 2025</w:t>
            </w:r>
          </w:p>
        </w:tc>
      </w:tr>
      <w:tr w:rsidR="00AD3606" w:rsidRPr="00147C54" w14:paraId="5CB1986F" w14:textId="77777777" w:rsidTr="315FC07C">
        <w:trPr>
          <w:cantSplit/>
          <w:trHeight w:val="23"/>
        </w:trPr>
        <w:tc>
          <w:tcPr>
            <w:tcW w:w="3969" w:type="dxa"/>
            <w:vMerge/>
          </w:tcPr>
          <w:p w14:paraId="1B5FC4FA"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44145F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83860DE" w14:textId="77777777" w:rsidTr="315FC07C">
        <w:trPr>
          <w:cantSplit/>
          <w:trHeight w:val="23"/>
        </w:trPr>
        <w:tc>
          <w:tcPr>
            <w:tcW w:w="3969" w:type="dxa"/>
          </w:tcPr>
          <w:p w14:paraId="2431CC24" w14:textId="77777777" w:rsidR="00472BAD" w:rsidRPr="00147C54" w:rsidRDefault="00472BAD" w:rsidP="00AD3606">
            <w:pPr>
              <w:tabs>
                <w:tab w:val="left" w:pos="851"/>
              </w:tabs>
              <w:spacing w:line="240" w:lineRule="atLeast"/>
              <w:rPr>
                <w:b/>
              </w:rPr>
            </w:pPr>
          </w:p>
        </w:tc>
        <w:tc>
          <w:tcPr>
            <w:tcW w:w="5245" w:type="dxa"/>
          </w:tcPr>
          <w:p w14:paraId="2571578C" w14:textId="77777777" w:rsidR="00472BAD" w:rsidRPr="00147C54" w:rsidRDefault="00472BAD" w:rsidP="00AD3606">
            <w:pPr>
              <w:tabs>
                <w:tab w:val="left" w:pos="851"/>
              </w:tabs>
              <w:spacing w:before="0" w:line="240" w:lineRule="atLeast"/>
              <w:jc w:val="right"/>
              <w:rPr>
                <w:b/>
              </w:rPr>
            </w:pPr>
          </w:p>
        </w:tc>
      </w:tr>
      <w:tr w:rsidR="00AD3606" w:rsidRPr="00147C54" w14:paraId="7FB28110" w14:textId="77777777" w:rsidTr="315FC07C">
        <w:trPr>
          <w:cantSplit/>
        </w:trPr>
        <w:tc>
          <w:tcPr>
            <w:tcW w:w="9214" w:type="dxa"/>
            <w:gridSpan w:val="2"/>
            <w:tcMar>
              <w:left w:w="0" w:type="dxa"/>
            </w:tcMar>
          </w:tcPr>
          <w:p w14:paraId="75E8D14E" w14:textId="08B3AFF1" w:rsidR="00AD3606" w:rsidRPr="00147C54" w:rsidRDefault="00E710AF" w:rsidP="00E4728B">
            <w:pPr>
              <w:pStyle w:val="Source"/>
              <w:framePr w:hSpace="0" w:wrap="auto" w:vAnchor="margin" w:hAnchor="text" w:xAlign="left" w:yAlign="inline"/>
            </w:pPr>
            <w:bookmarkStart w:id="8" w:name="dsource" w:colFirst="0" w:colLast="0"/>
            <w:bookmarkEnd w:id="7"/>
            <w:r w:rsidRPr="00E710AF">
              <w:t xml:space="preserve">Report by the Secretary-General </w:t>
            </w:r>
          </w:p>
        </w:tc>
      </w:tr>
      <w:tr w:rsidR="00AD3606" w:rsidRPr="00147C54" w14:paraId="02D4D1B9" w14:textId="77777777" w:rsidTr="315FC07C">
        <w:trPr>
          <w:cantSplit/>
        </w:trPr>
        <w:tc>
          <w:tcPr>
            <w:tcW w:w="9214" w:type="dxa"/>
            <w:gridSpan w:val="2"/>
            <w:tcMar>
              <w:left w:w="0" w:type="dxa"/>
            </w:tcMar>
          </w:tcPr>
          <w:p w14:paraId="7E0E3A05" w14:textId="417D45DD" w:rsidR="00AD3606" w:rsidRPr="00101C44" w:rsidRDefault="00A576A6" w:rsidP="00E4728B">
            <w:pPr>
              <w:pStyle w:val="Subtitle"/>
              <w:framePr w:hSpace="0" w:wrap="auto" w:xAlign="left" w:yAlign="inline"/>
              <w:rPr>
                <w:highlight w:val="yellow"/>
              </w:rPr>
            </w:pPr>
            <w:bookmarkStart w:id="9" w:name="dtitle1" w:colFirst="0" w:colLast="0"/>
            <w:bookmarkEnd w:id="8"/>
            <w:r w:rsidRPr="00E710AF">
              <w:t>BIDDING PROCESS FOR HOSTING ITU CONFERENCES</w:t>
            </w:r>
          </w:p>
        </w:tc>
      </w:tr>
      <w:tr w:rsidR="00AD3606" w:rsidRPr="00147C54" w14:paraId="22154373" w14:textId="77777777" w:rsidTr="315FC07C">
        <w:trPr>
          <w:cantSplit/>
        </w:trPr>
        <w:tc>
          <w:tcPr>
            <w:tcW w:w="9214" w:type="dxa"/>
            <w:gridSpan w:val="2"/>
            <w:tcBorders>
              <w:top w:val="single" w:sz="4" w:space="0" w:color="auto"/>
              <w:bottom w:val="single" w:sz="4" w:space="0" w:color="auto"/>
            </w:tcBorders>
            <w:tcMar>
              <w:left w:w="0" w:type="dxa"/>
            </w:tcMar>
          </w:tcPr>
          <w:p w14:paraId="397E5C15" w14:textId="77777777" w:rsidR="00AD3606" w:rsidRPr="00147C54" w:rsidRDefault="00F16BAB" w:rsidP="00F16BAB">
            <w:pPr>
              <w:spacing w:before="160"/>
              <w:rPr>
                <w:b/>
                <w:bCs/>
                <w:sz w:val="26"/>
                <w:szCs w:val="26"/>
              </w:rPr>
            </w:pPr>
            <w:r w:rsidRPr="00147C54">
              <w:rPr>
                <w:b/>
                <w:bCs/>
                <w:sz w:val="26"/>
                <w:szCs w:val="26"/>
              </w:rPr>
              <w:t>Purpose</w:t>
            </w:r>
          </w:p>
          <w:p w14:paraId="3AD2180E" w14:textId="276CFBA1" w:rsidR="3F2DF688" w:rsidRDefault="1DF76414" w:rsidP="41BDA677">
            <w:pPr>
              <w:spacing w:before="210" w:after="210"/>
              <w:rPr>
                <w:rFonts w:ascii="Segoe UI" w:eastAsia="Segoe UI" w:hAnsi="Segoe UI" w:cs="Segoe UI"/>
                <w:sz w:val="21"/>
                <w:szCs w:val="21"/>
                <w:lang w:val="en-US"/>
              </w:rPr>
            </w:pPr>
            <w:r w:rsidRPr="41BDA677">
              <w:rPr>
                <w:rFonts w:ascii="Segoe UI" w:eastAsia="Segoe UI" w:hAnsi="Segoe UI" w:cs="Segoe UI"/>
                <w:sz w:val="21"/>
                <w:szCs w:val="21"/>
                <w:lang w:val="en-US"/>
              </w:rPr>
              <w:t xml:space="preserve">Following the request of </w:t>
            </w:r>
            <w:r w:rsidRPr="220D81B8">
              <w:rPr>
                <w:rFonts w:ascii="Segoe UI" w:eastAsia="Segoe UI" w:hAnsi="Segoe UI" w:cs="Segoe UI"/>
                <w:sz w:val="21"/>
                <w:szCs w:val="21"/>
                <w:lang w:val="en-US"/>
              </w:rPr>
              <w:t>the</w:t>
            </w:r>
            <w:r w:rsidRPr="77FB47B7">
              <w:rPr>
                <w:rFonts w:ascii="Segoe UI" w:eastAsia="Segoe UI" w:hAnsi="Segoe UI" w:cs="Segoe UI"/>
                <w:sz w:val="21"/>
                <w:szCs w:val="21"/>
                <w:lang w:val="en-US"/>
              </w:rPr>
              <w:t xml:space="preserve"> </w:t>
            </w:r>
            <w:r w:rsidRPr="41BDA677">
              <w:rPr>
                <w:rFonts w:ascii="Segoe UI" w:eastAsia="Segoe UI" w:hAnsi="Segoe UI" w:cs="Segoe UI"/>
                <w:sz w:val="21"/>
                <w:szCs w:val="21"/>
                <w:lang w:val="en-US"/>
              </w:rPr>
              <w:t xml:space="preserve">Council in its June 2025 session </w:t>
            </w:r>
            <w:r w:rsidR="5126D19C" w:rsidRPr="59E9A011">
              <w:rPr>
                <w:rFonts w:ascii="Segoe UI" w:eastAsia="Segoe UI" w:hAnsi="Segoe UI" w:cs="Segoe UI"/>
                <w:sz w:val="21"/>
                <w:szCs w:val="21"/>
                <w:lang w:val="en-US"/>
              </w:rPr>
              <w:t xml:space="preserve">that </w:t>
            </w:r>
            <w:r w:rsidRPr="59E9A011">
              <w:rPr>
                <w:rFonts w:ascii="Segoe UI" w:eastAsia="Segoe UI" w:hAnsi="Segoe UI" w:cs="Segoe UI"/>
                <w:sz w:val="21"/>
                <w:szCs w:val="21"/>
                <w:lang w:val="en-US"/>
              </w:rPr>
              <w:t>the</w:t>
            </w:r>
            <w:r w:rsidRPr="41BDA677">
              <w:rPr>
                <w:rFonts w:ascii="Segoe UI" w:eastAsia="Segoe UI" w:hAnsi="Segoe UI" w:cs="Segoe UI"/>
                <w:sz w:val="21"/>
                <w:szCs w:val="21"/>
                <w:lang w:val="en-US"/>
              </w:rPr>
              <w:t xml:space="preserve"> secretariat </w:t>
            </w:r>
            <w:proofErr w:type="gramStart"/>
            <w:r w:rsidRPr="41BDA677">
              <w:rPr>
                <w:rFonts w:ascii="Segoe UI" w:eastAsia="Segoe UI" w:hAnsi="Segoe UI" w:cs="Segoe UI"/>
                <w:sz w:val="21"/>
                <w:szCs w:val="21"/>
                <w:lang w:val="en-US"/>
              </w:rPr>
              <w:t>propose</w:t>
            </w:r>
            <w:proofErr w:type="gramEnd"/>
            <w:r w:rsidRPr="41BDA677">
              <w:rPr>
                <w:rFonts w:ascii="Segoe UI" w:eastAsia="Segoe UI" w:hAnsi="Segoe UI" w:cs="Segoe UI"/>
                <w:sz w:val="21"/>
                <w:szCs w:val="21"/>
                <w:lang w:val="en-US"/>
              </w:rPr>
              <w:t xml:space="preserve"> a selection process for ITU conference host countries, this document provides an overview of existing practice in selecting host countries</w:t>
            </w:r>
            <w:r w:rsidRPr="75CE9DC7">
              <w:rPr>
                <w:rFonts w:ascii="Segoe UI" w:eastAsia="Segoe UI" w:hAnsi="Segoe UI" w:cs="Segoe UI"/>
                <w:sz w:val="21"/>
                <w:szCs w:val="21"/>
                <w:lang w:val="en-US"/>
              </w:rPr>
              <w:t xml:space="preserve"> </w:t>
            </w:r>
            <w:r w:rsidRPr="4837C42D">
              <w:rPr>
                <w:rFonts w:ascii="Segoe UI" w:eastAsia="Segoe UI" w:hAnsi="Segoe UI" w:cs="Segoe UI"/>
                <w:sz w:val="21"/>
                <w:szCs w:val="21"/>
                <w:lang w:val="en-US"/>
              </w:rPr>
              <w:t>as a first step.</w:t>
            </w:r>
            <w:r w:rsidRPr="41BDA677">
              <w:rPr>
                <w:rFonts w:ascii="Segoe UI" w:eastAsia="Segoe UI" w:hAnsi="Segoe UI" w:cs="Segoe UI"/>
                <w:sz w:val="21"/>
                <w:szCs w:val="21"/>
                <w:lang w:val="en-US"/>
              </w:rPr>
              <w:t xml:space="preserve"> It additionally includes an initial benchmarking of common practice in other UN-system organizations</w:t>
            </w:r>
            <w:r w:rsidRPr="0EFE62CD">
              <w:rPr>
                <w:rFonts w:ascii="Segoe UI" w:eastAsia="Segoe UI" w:hAnsi="Segoe UI" w:cs="Segoe UI"/>
                <w:sz w:val="21"/>
                <w:szCs w:val="21"/>
                <w:lang w:val="en-US"/>
              </w:rPr>
              <w:t>.</w:t>
            </w:r>
          </w:p>
          <w:p w14:paraId="37A161B2" w14:textId="7F0291B2" w:rsidR="3F2DF688" w:rsidRDefault="1DF76414" w:rsidP="08600F4A">
            <w:pPr>
              <w:spacing w:before="160"/>
              <w:rPr>
                <w:rFonts w:ascii="Segoe UI" w:eastAsia="Segoe UI" w:hAnsi="Segoe UI" w:cs="Segoe UI"/>
                <w:sz w:val="21"/>
                <w:szCs w:val="21"/>
                <w:lang w:val="en-US"/>
              </w:rPr>
            </w:pPr>
            <w:r w:rsidRPr="41BDA677">
              <w:rPr>
                <w:rFonts w:ascii="Segoe UI" w:eastAsia="Segoe UI" w:hAnsi="Segoe UI" w:cs="Segoe UI"/>
                <w:sz w:val="21"/>
                <w:szCs w:val="21"/>
                <w:lang w:val="en-US"/>
              </w:rPr>
              <w:t xml:space="preserve"> Based on the guidance provided by CWG FHR, the secretariat will then develop a proposed selection process for the consideration of CWG-FHR in its </w:t>
            </w:r>
            <w:r w:rsidR="6C02A2FF" w:rsidRPr="2F9B2068">
              <w:rPr>
                <w:rFonts w:ascii="Segoe UI" w:eastAsia="Segoe UI" w:hAnsi="Segoe UI" w:cs="Segoe UI"/>
                <w:sz w:val="21"/>
                <w:szCs w:val="21"/>
                <w:lang w:val="en-US"/>
              </w:rPr>
              <w:t xml:space="preserve">January </w:t>
            </w:r>
            <w:r w:rsidR="6C02A2FF" w:rsidRPr="4D5B5AF2">
              <w:rPr>
                <w:rFonts w:ascii="Segoe UI" w:eastAsia="Segoe UI" w:hAnsi="Segoe UI" w:cs="Segoe UI"/>
                <w:sz w:val="21"/>
                <w:szCs w:val="21"/>
                <w:lang w:val="en-US"/>
              </w:rPr>
              <w:t>2026</w:t>
            </w:r>
            <w:r w:rsidRPr="2F9B2068">
              <w:rPr>
                <w:rFonts w:ascii="Segoe UI" w:eastAsia="Segoe UI" w:hAnsi="Segoe UI" w:cs="Segoe UI"/>
                <w:sz w:val="21"/>
                <w:szCs w:val="21"/>
                <w:lang w:val="en-US"/>
              </w:rPr>
              <w:t xml:space="preserve"> </w:t>
            </w:r>
            <w:r w:rsidR="6C02A2FF" w:rsidRPr="1B249E7A">
              <w:rPr>
                <w:rFonts w:ascii="Segoe UI" w:eastAsia="Segoe UI" w:hAnsi="Segoe UI" w:cs="Segoe UI"/>
                <w:sz w:val="21"/>
                <w:szCs w:val="21"/>
                <w:lang w:val="en-US"/>
              </w:rPr>
              <w:t>session.</w:t>
            </w:r>
            <w:r w:rsidRPr="1B249E7A">
              <w:rPr>
                <w:rFonts w:ascii="Segoe UI" w:eastAsia="Segoe UI" w:hAnsi="Segoe UI" w:cs="Segoe UI"/>
                <w:sz w:val="21"/>
                <w:szCs w:val="21"/>
                <w:lang w:val="en-US"/>
              </w:rPr>
              <w:t xml:space="preserve"> </w:t>
            </w:r>
          </w:p>
          <w:p w14:paraId="5F9D7DC7" w14:textId="1C36CC6F" w:rsidR="00AD3606" w:rsidRPr="00147C54" w:rsidRDefault="00AD3606" w:rsidP="08600F4A">
            <w:pPr>
              <w:spacing w:before="210" w:after="210"/>
              <w:rPr>
                <w:b/>
                <w:bCs/>
                <w:sz w:val="26"/>
                <w:szCs w:val="26"/>
              </w:rPr>
            </w:pPr>
            <w:r w:rsidRPr="00147C54">
              <w:rPr>
                <w:b/>
                <w:bCs/>
                <w:sz w:val="26"/>
                <w:szCs w:val="26"/>
              </w:rPr>
              <w:t>Action required</w:t>
            </w:r>
          </w:p>
          <w:p w14:paraId="37EF32CE" w14:textId="1BC287CC" w:rsidR="0025570E" w:rsidRPr="004405AB" w:rsidRDefault="006973C8" w:rsidP="000F6AB8">
            <w:pPr>
              <w:spacing w:before="160"/>
            </w:pPr>
            <w:r w:rsidRPr="002D5DBD">
              <w:t>The Council Working Group on financial and human resources is invited to</w:t>
            </w:r>
            <w:r>
              <w:t xml:space="preserve"> </w:t>
            </w:r>
            <w:r w:rsidRPr="000F056A">
              <w:rPr>
                <w:b/>
                <w:bCs/>
              </w:rPr>
              <w:t>consider</w:t>
            </w:r>
            <w:r>
              <w:t xml:space="preserve"> this document</w:t>
            </w:r>
            <w:r w:rsidR="2B4C1ADF">
              <w:t xml:space="preserve"> and </w:t>
            </w:r>
            <w:r w:rsidR="2B4C1ADF" w:rsidRPr="00372ED9">
              <w:rPr>
                <w:b/>
                <w:bCs/>
              </w:rPr>
              <w:t>provide</w:t>
            </w:r>
            <w:r w:rsidR="2B4C1ADF">
              <w:t xml:space="preserve"> guidance on the way forward.</w:t>
            </w:r>
          </w:p>
          <w:p w14:paraId="6E7CD7CF" w14:textId="77777777" w:rsidR="00AD3606" w:rsidRPr="00CD3C91" w:rsidRDefault="00CD3C91" w:rsidP="00CD3C91">
            <w:r>
              <w:t>_______________</w:t>
            </w:r>
          </w:p>
          <w:p w14:paraId="46700B46" w14:textId="42A3CFF1"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536D45A2" w14:textId="4DF9C1D2" w:rsidR="00AD3606" w:rsidRPr="00CD3C91" w:rsidRDefault="00E710AF" w:rsidP="00F16BAB">
            <w:pPr>
              <w:spacing w:after="160"/>
              <w:rPr>
                <w:i/>
                <w:iCs/>
                <w:sz w:val="22"/>
                <w:szCs w:val="22"/>
              </w:rPr>
            </w:pPr>
            <w:hyperlink r:id="rId11" w:history="1">
              <w:r w:rsidRPr="00E710AF">
                <w:rPr>
                  <w:rStyle w:val="Hyperlink"/>
                  <w:i/>
                  <w:iCs/>
                  <w:sz w:val="22"/>
                  <w:szCs w:val="22"/>
                </w:rPr>
                <w:t>CWG-FHR website</w:t>
              </w:r>
            </w:hyperlink>
            <w:r w:rsidRPr="00E710AF">
              <w:rPr>
                <w:i/>
                <w:iCs/>
                <w:sz w:val="22"/>
                <w:szCs w:val="22"/>
              </w:rPr>
              <w:t xml:space="preserve">; </w:t>
            </w:r>
            <w:r>
              <w:rPr>
                <w:i/>
                <w:iCs/>
                <w:sz w:val="22"/>
                <w:szCs w:val="22"/>
              </w:rPr>
              <w:t xml:space="preserve">Council Document </w:t>
            </w:r>
            <w:hyperlink r:id="rId12" w:history="1">
              <w:proofErr w:type="spellStart"/>
              <w:r w:rsidRPr="00E710AF">
                <w:rPr>
                  <w:rStyle w:val="Hyperlink"/>
                  <w:i/>
                  <w:iCs/>
                  <w:sz w:val="22"/>
                  <w:szCs w:val="22"/>
                </w:rPr>
                <w:t>C25</w:t>
              </w:r>
              <w:proofErr w:type="spellEnd"/>
              <w:r w:rsidRPr="00E710AF">
                <w:rPr>
                  <w:rStyle w:val="Hyperlink"/>
                  <w:i/>
                  <w:iCs/>
                  <w:sz w:val="22"/>
                  <w:szCs w:val="22"/>
                </w:rPr>
                <w:t>/101</w:t>
              </w:r>
            </w:hyperlink>
            <w:r>
              <w:rPr>
                <w:i/>
                <w:iCs/>
                <w:sz w:val="22"/>
                <w:szCs w:val="22"/>
              </w:rPr>
              <w:t>.</w:t>
            </w:r>
          </w:p>
        </w:tc>
      </w:tr>
    </w:tbl>
    <w:p w14:paraId="24C9665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5D6745EF"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6F755E8E" w14:textId="77777777" w:rsidR="00E710AF" w:rsidRPr="00CF2F9F" w:rsidRDefault="00E710AF" w:rsidP="00A576A6">
      <w:pPr>
        <w:pStyle w:val="Headingb"/>
      </w:pPr>
      <w:r>
        <w:lastRenderedPageBreak/>
        <w:t>Background</w:t>
      </w:r>
    </w:p>
    <w:p w14:paraId="04B96733" w14:textId="0246F72E" w:rsidR="00E710AF" w:rsidRDefault="00E710AF">
      <w:pPr>
        <w:jc w:val="both"/>
      </w:pPr>
      <w:r w:rsidRPr="2864FA34">
        <w:rPr>
          <w:lang w:val="en-US"/>
        </w:rPr>
        <w:t xml:space="preserve">Following the presentation of Document </w:t>
      </w:r>
      <w:hyperlink r:id="rId13">
        <w:proofErr w:type="spellStart"/>
        <w:r w:rsidRPr="2864FA34">
          <w:rPr>
            <w:rStyle w:val="Hyperlink"/>
          </w:rPr>
          <w:t>C25</w:t>
        </w:r>
        <w:proofErr w:type="spellEnd"/>
        <w:r w:rsidRPr="2864FA34">
          <w:rPr>
            <w:rStyle w:val="Hyperlink"/>
          </w:rPr>
          <w:t>/101</w:t>
        </w:r>
      </w:hyperlink>
      <w:r w:rsidRPr="2864FA34">
        <w:rPr>
          <w:lang w:val="en-US"/>
        </w:rPr>
        <w:t xml:space="preserve"> on the location of the World Radiocommunication Conference 2027, the Council requested the secretariat to develop</w:t>
      </w:r>
      <w:r>
        <w:t xml:space="preserve"> a formal, collaborative, and transparent bidding process for hosting future ITU conferences, and for selecting amongst multiple candidatures, to be presented to the Council Working Group on financial and human resources. </w:t>
      </w:r>
    </w:p>
    <w:p w14:paraId="57B8BB82" w14:textId="77855F3F" w:rsidR="00E710AF" w:rsidRDefault="00E710AF">
      <w:pPr>
        <w:jc w:val="both"/>
        <w:rPr>
          <w:lang w:val="en-US"/>
        </w:rPr>
      </w:pPr>
      <w:r>
        <w:t xml:space="preserve">As </w:t>
      </w:r>
      <w:r w:rsidR="192FC118">
        <w:t xml:space="preserve">the </w:t>
      </w:r>
      <w:r>
        <w:t>important first step in this process, this document sets out the current practice in the selection of host countries for statutory conferences and assemblies held outside ITU’s headquarters in Geneva.</w:t>
      </w:r>
    </w:p>
    <w:p w14:paraId="64FE5BF7" w14:textId="77777777" w:rsidR="00E710AF" w:rsidRDefault="00E710AF" w:rsidP="00A576A6">
      <w:pPr>
        <w:pStyle w:val="Headingb"/>
        <w:rPr>
          <w:lang w:val="en-US"/>
        </w:rPr>
      </w:pPr>
      <w:r>
        <w:rPr>
          <w:lang w:val="en-US"/>
        </w:rPr>
        <w:t>Dates and locations of conferences and assemblies</w:t>
      </w:r>
    </w:p>
    <w:p w14:paraId="0D1B0899" w14:textId="77777777" w:rsidR="00E710AF" w:rsidRDefault="00E710AF">
      <w:pPr>
        <w:jc w:val="both"/>
        <w:rPr>
          <w:lang w:val="en-US"/>
        </w:rPr>
      </w:pPr>
      <w:r>
        <w:rPr>
          <w:lang w:val="en-US"/>
        </w:rPr>
        <w:t xml:space="preserve">In accordance with Article 1 (no. 2) and Article 3 (nos. 41 – 42) of the Convention, the precise location and dates of a conference or assembly may be fixed by the Plenipotentiary Conference. In the absence of such a decision, the Council shall determine the place and dates with the concurrence of </w:t>
      </w:r>
      <w:proofErr w:type="gramStart"/>
      <w:r>
        <w:rPr>
          <w:lang w:val="en-US"/>
        </w:rPr>
        <w:t>a majority of</w:t>
      </w:r>
      <w:proofErr w:type="gramEnd"/>
      <w:r>
        <w:rPr>
          <w:lang w:val="en-US"/>
        </w:rPr>
        <w:t xml:space="preserve"> Member States. The consultation with Member States to obtain this concurrence is conducted in accordance with Article 47 of the Convention. </w:t>
      </w:r>
    </w:p>
    <w:p w14:paraId="61257E57" w14:textId="7517F1F8" w:rsidR="00E710AF" w:rsidRDefault="00E710AF">
      <w:pPr>
        <w:jc w:val="both"/>
        <w:rPr>
          <w:lang w:val="en-US"/>
        </w:rPr>
      </w:pPr>
      <w:r w:rsidRPr="0045237B">
        <w:rPr>
          <w:lang w:val="en-US"/>
        </w:rPr>
        <w:t>This procedure applies whether the conference is held at the seat of the Union in Geneva, which is the default location in the absence of an inviting government (CS/Article 30 and GR</w:t>
      </w:r>
      <w:r w:rsidR="00A576A6">
        <w:rPr>
          <w:lang w:val="en-US"/>
        </w:rPr>
        <w:t> </w:t>
      </w:r>
      <w:r w:rsidRPr="0045237B">
        <w:rPr>
          <w:lang w:val="en-US"/>
        </w:rPr>
        <w:t>35</w:t>
      </w:r>
      <w:proofErr w:type="gramStart"/>
      <w:r w:rsidRPr="0045237B">
        <w:rPr>
          <w:lang w:val="en-US"/>
        </w:rPr>
        <w:t>)</w:t>
      </w:r>
      <w:r>
        <w:rPr>
          <w:lang w:val="en-US"/>
        </w:rPr>
        <w:t>, or</w:t>
      </w:r>
      <w:proofErr w:type="gramEnd"/>
      <w:r>
        <w:rPr>
          <w:lang w:val="en-US"/>
        </w:rPr>
        <w:t xml:space="preserve"> is held elsewhere </w:t>
      </w:r>
      <w:proofErr w:type="gramStart"/>
      <w:r>
        <w:rPr>
          <w:lang w:val="en-US"/>
        </w:rPr>
        <w:t>at</w:t>
      </w:r>
      <w:proofErr w:type="gramEnd"/>
      <w:r>
        <w:rPr>
          <w:lang w:val="en-US"/>
        </w:rPr>
        <w:t xml:space="preserve"> the invitation of a Member State.</w:t>
      </w:r>
    </w:p>
    <w:p w14:paraId="766CC89D" w14:textId="77777777" w:rsidR="00E710AF" w:rsidRPr="00BD00F6" w:rsidRDefault="00E710AF" w:rsidP="00A576A6">
      <w:pPr>
        <w:pStyle w:val="Headingb"/>
        <w:rPr>
          <w:lang w:val="en-US"/>
        </w:rPr>
      </w:pPr>
      <w:r w:rsidRPr="00BD00F6">
        <w:rPr>
          <w:lang w:val="en-US"/>
        </w:rPr>
        <w:t xml:space="preserve">Submission of </w:t>
      </w:r>
      <w:r>
        <w:rPr>
          <w:lang w:val="en-US"/>
        </w:rPr>
        <w:t>multiple candidatures</w:t>
      </w:r>
    </w:p>
    <w:p w14:paraId="46591649" w14:textId="77777777" w:rsidR="00E710AF" w:rsidRDefault="00E710AF">
      <w:pPr>
        <w:jc w:val="both"/>
        <w:rPr>
          <w:lang w:val="en-US"/>
        </w:rPr>
      </w:pPr>
      <w:r w:rsidRPr="000B4179">
        <w:rPr>
          <w:lang w:val="en-US"/>
        </w:rPr>
        <w:t>There is no</w:t>
      </w:r>
      <w:r>
        <w:rPr>
          <w:lang w:val="en-US"/>
        </w:rPr>
        <w:t xml:space="preserve"> codified formal process or specified </w:t>
      </w:r>
      <w:proofErr w:type="gramStart"/>
      <w:r>
        <w:rPr>
          <w:lang w:val="en-US"/>
        </w:rPr>
        <w:t>time period</w:t>
      </w:r>
      <w:proofErr w:type="gramEnd"/>
      <w:r>
        <w:rPr>
          <w:lang w:val="en-US"/>
        </w:rPr>
        <w:t xml:space="preserve"> for the submission of candidatures from Member States interested in hosting ITU conferences or assemblies. Any Member State may present its candidature for hosting a conference to the Plenipotentiary Conference or the Council. </w:t>
      </w:r>
    </w:p>
    <w:p w14:paraId="62B8D40C" w14:textId="3D6944DB" w:rsidR="00E710AF" w:rsidRDefault="00E710AF">
      <w:pPr>
        <w:jc w:val="both"/>
        <w:rPr>
          <w:lang w:val="en-US"/>
        </w:rPr>
      </w:pPr>
      <w:r>
        <w:rPr>
          <w:lang w:val="en-US"/>
        </w:rPr>
        <w:t xml:space="preserve">In the event of multiple expressions of interest, Member States typically conduct informal discussions with a view to narrowing the number of candidatures, if </w:t>
      </w:r>
      <w:r w:rsidR="00A576A6">
        <w:rPr>
          <w:lang w:val="en-US"/>
        </w:rPr>
        <w:t>possible,</w:t>
      </w:r>
      <w:r>
        <w:rPr>
          <w:lang w:val="en-US"/>
        </w:rPr>
        <w:t xml:space="preserve"> to a single candidate. </w:t>
      </w:r>
      <w:r w:rsidRPr="00981CCF">
        <w:t>As a matter of due diligence, and to assist the decision-maker (the Plenipotentiary Conference or the Council) in taking an informed decision, the secretariat conduct</w:t>
      </w:r>
      <w:r>
        <w:t>s</w:t>
      </w:r>
      <w:r w:rsidRPr="00981CCF">
        <w:t xml:space="preserve"> site visits to assess the suitability of proposed venues</w:t>
      </w:r>
      <w:r>
        <w:t>. This due diligence covers logistical capacity, security arrangements, ICT infrastructure, and other operational requirements</w:t>
      </w:r>
      <w:bookmarkStart w:id="11" w:name="OpenAt"/>
      <w:bookmarkEnd w:id="11"/>
      <w:r w:rsidRPr="00D552E8">
        <w:t>.</w:t>
      </w:r>
      <w:r>
        <w:t xml:space="preserve"> </w:t>
      </w:r>
      <w:r>
        <w:rPr>
          <w:lang w:val="en-US"/>
        </w:rPr>
        <w:t>The Plenipotentiary Conference or the Council is then called upon to decide on the dates and location, as per the procedure mentioned above.</w:t>
      </w:r>
    </w:p>
    <w:p w14:paraId="67ABAEEB" w14:textId="0044614B" w:rsidR="00E710AF" w:rsidRPr="00AB7F8A" w:rsidRDefault="00E710AF">
      <w:pPr>
        <w:jc w:val="both"/>
      </w:pPr>
      <w:r w:rsidRPr="00C97BD1">
        <w:rPr>
          <w:lang w:val="en-US"/>
        </w:rPr>
        <w:t>While no formal body exists for selecting among multiple bids, Resolution 144 (</w:t>
      </w:r>
      <w:r w:rsidR="00A576A6">
        <w:rPr>
          <w:lang w:val="en-US"/>
        </w:rPr>
        <w:t>R</w:t>
      </w:r>
      <w:r>
        <w:rPr>
          <w:lang w:val="en-US"/>
        </w:rPr>
        <w:t>ev</w:t>
      </w:r>
      <w:r w:rsidRPr="00C97BD1">
        <w:rPr>
          <w:lang w:val="en-US"/>
        </w:rPr>
        <w:t xml:space="preserve">. </w:t>
      </w:r>
      <w:r>
        <w:rPr>
          <w:lang w:val="en-US"/>
        </w:rPr>
        <w:t>Busan</w:t>
      </w:r>
      <w:r w:rsidRPr="00C97BD1">
        <w:rPr>
          <w:lang w:val="en-US"/>
        </w:rPr>
        <w:t>, 2014) instructs the Secretary-General to prepare and the Council to adopt model host country agreements in advance of conferences to facilitate the work of potential host countries.</w:t>
      </w:r>
      <w:r>
        <w:rPr>
          <w:lang w:val="en-US"/>
        </w:rPr>
        <w:t xml:space="preserve"> To this effect, the Council endorsed </w:t>
      </w:r>
      <w:r>
        <w:t xml:space="preserve">a model host country agreement at the 2007 session of the Council (Document </w:t>
      </w:r>
      <w:hyperlink r:id="rId14" w:history="1">
        <w:proofErr w:type="spellStart"/>
        <w:r w:rsidRPr="00A576A6">
          <w:rPr>
            <w:rStyle w:val="Hyperlink"/>
          </w:rPr>
          <w:t>C07</w:t>
        </w:r>
        <w:proofErr w:type="spellEnd"/>
        <w:r w:rsidRPr="00A576A6">
          <w:rPr>
            <w:rStyle w:val="Hyperlink"/>
          </w:rPr>
          <w:t>/22(</w:t>
        </w:r>
        <w:proofErr w:type="spellStart"/>
        <w:r w:rsidRPr="00A576A6">
          <w:rPr>
            <w:rStyle w:val="Hyperlink"/>
          </w:rPr>
          <w:t>Rev.1</w:t>
        </w:r>
        <w:proofErr w:type="spellEnd"/>
        <w:r w:rsidRPr="00A576A6">
          <w:rPr>
            <w:rStyle w:val="Hyperlink"/>
          </w:rPr>
          <w:t>)</w:t>
        </w:r>
      </w:hyperlink>
      <w:r w:rsidR="00A576A6">
        <w:t>)</w:t>
      </w:r>
      <w:r>
        <w:t>.</w:t>
      </w:r>
      <w:r w:rsidRPr="00C97BD1">
        <w:rPr>
          <w:lang w:val="en-US"/>
        </w:rPr>
        <w:t xml:space="preserve"> Th</w:t>
      </w:r>
      <w:r>
        <w:rPr>
          <w:lang w:val="en-US"/>
        </w:rPr>
        <w:t>is</w:t>
      </w:r>
      <w:r w:rsidRPr="00C97BD1">
        <w:rPr>
          <w:lang w:val="en-US"/>
        </w:rPr>
        <w:t xml:space="preserve"> model, along with final signed agreements from previous conferences</w:t>
      </w:r>
      <w:r>
        <w:rPr>
          <w:lang w:val="en-US"/>
        </w:rPr>
        <w:t xml:space="preserve"> (which are published as conference documents)</w:t>
      </w:r>
      <w:r w:rsidRPr="00C97BD1">
        <w:rPr>
          <w:lang w:val="en-US"/>
        </w:rPr>
        <w:t xml:space="preserve"> serve as key reference documents</w:t>
      </w:r>
      <w:r>
        <w:rPr>
          <w:lang w:val="en-US"/>
        </w:rPr>
        <w:t xml:space="preserve"> in terms of legal and operational expectations for the successful hosting of a conference or assembly</w:t>
      </w:r>
      <w:r w:rsidRPr="00AB7F8A">
        <w:t>.</w:t>
      </w:r>
      <w:r>
        <w:t xml:space="preserve"> </w:t>
      </w:r>
    </w:p>
    <w:p w14:paraId="4062500D" w14:textId="77777777" w:rsidR="00E710AF" w:rsidRPr="00750096" w:rsidRDefault="00E710AF" w:rsidP="00A576A6">
      <w:pPr>
        <w:pStyle w:val="Headingb"/>
      </w:pPr>
      <w:r w:rsidRPr="004B48F7">
        <w:lastRenderedPageBreak/>
        <w:t xml:space="preserve">Procedure for invitations to conferences and assemblies </w:t>
      </w:r>
      <w:r>
        <w:t>after a decision is taken</w:t>
      </w:r>
    </w:p>
    <w:p w14:paraId="16A5E508" w14:textId="5198FAE4" w:rsidR="00E710AF" w:rsidRPr="00A576A6" w:rsidRDefault="00E710AF">
      <w:pPr>
        <w:jc w:val="both"/>
        <w:rPr>
          <w:spacing w:val="-2"/>
        </w:rPr>
      </w:pPr>
      <w:r w:rsidRPr="00A576A6">
        <w:rPr>
          <w:spacing w:val="-2"/>
        </w:rPr>
        <w:t xml:space="preserve">Once the location of a conference or assembly outside Geneva has been determined, a formal procedure and timeline for the issuance of invitations by the inviting government or the Secretary-General is set out in Chapter I of the General Rules of </w:t>
      </w:r>
      <w:r w:rsidR="00A576A6" w:rsidRPr="00A576A6">
        <w:rPr>
          <w:spacing w:val="-2"/>
        </w:rPr>
        <w:t>Conference</w:t>
      </w:r>
      <w:r w:rsidRPr="00A576A6">
        <w:rPr>
          <w:spacing w:val="-2"/>
        </w:rPr>
        <w:t xml:space="preserve"> (namely GR 5–22).</w:t>
      </w:r>
    </w:p>
    <w:p w14:paraId="7550235E" w14:textId="77777777" w:rsidR="00E710AF" w:rsidRDefault="00E710AF" w:rsidP="00A576A6">
      <w:pPr>
        <w:pStyle w:val="Headingb"/>
      </w:pPr>
      <w:r>
        <w:t>Current practice in other UN agencies</w:t>
      </w:r>
    </w:p>
    <w:p w14:paraId="1E69C795" w14:textId="52A3F54A" w:rsidR="00E710AF" w:rsidRDefault="00E710AF">
      <w:pPr>
        <w:jc w:val="both"/>
      </w:pPr>
      <w:r>
        <w:t>A</w:t>
      </w:r>
      <w:r w:rsidR="6D66A880">
        <w:t xml:space="preserve">n initial </w:t>
      </w:r>
      <w:r>
        <w:t xml:space="preserve">benchmarking exercise aimed at understanding practices in the selection of Member State hosts for conferences held by sister UN agencies was carried out in July 2025. The responses of the seven organizations received to date are outlined below: </w:t>
      </w:r>
    </w:p>
    <w:p w14:paraId="5B1A7179" w14:textId="2BB412F6" w:rsidR="00E710AF" w:rsidRPr="00A576A6" w:rsidRDefault="000666C9" w:rsidP="00A576A6">
      <w:pPr>
        <w:pStyle w:val="enumlev1"/>
        <w:jc w:val="both"/>
      </w:pPr>
      <w:r>
        <w:t>–</w:t>
      </w:r>
      <w:r>
        <w:tab/>
      </w:r>
      <w:r w:rsidR="00E710AF">
        <w:t xml:space="preserve">The </w:t>
      </w:r>
      <w:r w:rsidR="00E710AF" w:rsidRPr="0235939A">
        <w:rPr>
          <w:b/>
          <w:bCs/>
        </w:rPr>
        <w:t>World Bank</w:t>
      </w:r>
      <w:r w:rsidR="00E710AF">
        <w:t xml:space="preserve"> holds its Annual Meetings in a host country every three years with hosts selected via a transparent bidding process. After a call for bids, countries have six weeks to express interest and twelve more to submit full proposals, which are then. evaluated by experts</w:t>
      </w:r>
      <w:r w:rsidR="1FB301D0">
        <w:t xml:space="preserve"> from the Secretariat,</w:t>
      </w:r>
      <w:r w:rsidR="00E710AF">
        <w:t xml:space="preserve"> based on defined logistical and technical criteria. When multiple countries compete, the final decision is made by vote by the Board of Governors.</w:t>
      </w:r>
    </w:p>
    <w:p w14:paraId="208020B3" w14:textId="7705FCF5" w:rsidR="00E710AF" w:rsidRPr="00A576A6" w:rsidRDefault="000666C9" w:rsidP="58C5731F">
      <w:pPr>
        <w:pStyle w:val="enumlev1"/>
        <w:jc w:val="both"/>
      </w:pPr>
      <w:r>
        <w:t>–</w:t>
      </w:r>
      <w:r>
        <w:tab/>
      </w:r>
      <w:r w:rsidR="00E710AF" w:rsidRPr="0235939A">
        <w:rPr>
          <w:b/>
          <w:bCs/>
        </w:rPr>
        <w:t>CITES</w:t>
      </w:r>
      <w:r w:rsidR="00E710AF">
        <w:t xml:space="preserve"> typically holds its Conferences of the Parties (CoPs) and some committee meetings in host countries. While general rules exist under Resolution Conf. 19.1, there is no fully formalized process. Hosts are usually announced at the </w:t>
      </w:r>
      <w:r w:rsidR="0B30B0B6">
        <w:t xml:space="preserve">preceding </w:t>
      </w:r>
      <w:r w:rsidR="00E710AF">
        <w:t xml:space="preserve"> CoP, and if no offers are received, Geneva is the default location. Host Country Agreements outline financial and logistical expectations. Competing bids are rare in recent years, with decisions made by consensus or vote at the </w:t>
      </w:r>
      <w:proofErr w:type="spellStart"/>
      <w:r w:rsidR="00E710AF">
        <w:t>CoP.</w:t>
      </w:r>
      <w:proofErr w:type="spellEnd"/>
    </w:p>
    <w:p w14:paraId="6E734286" w14:textId="059A4F15" w:rsidR="00E710AF" w:rsidRPr="00A576A6" w:rsidRDefault="000666C9" w:rsidP="00FF1FC2">
      <w:pPr>
        <w:pStyle w:val="enumlev1"/>
        <w:jc w:val="both"/>
        <w:rPr>
          <w:szCs w:val="24"/>
        </w:rPr>
      </w:pPr>
      <w:r>
        <w:t>–</w:t>
      </w:r>
      <w:r>
        <w:tab/>
      </w:r>
      <w:r w:rsidR="00E710AF" w:rsidRPr="00A576A6">
        <w:rPr>
          <w:b/>
          <w:bCs/>
          <w:szCs w:val="24"/>
        </w:rPr>
        <w:t>UN Women</w:t>
      </w:r>
      <w:r w:rsidR="00E710AF" w:rsidRPr="00A576A6">
        <w:rPr>
          <w:szCs w:val="24"/>
        </w:rPr>
        <w:t xml:space="preserve"> does not hold its large conferences or governing body meetings in host countries.</w:t>
      </w:r>
    </w:p>
    <w:p w14:paraId="56CC042B" w14:textId="48E07AC9" w:rsidR="00E710AF" w:rsidRPr="00A576A6" w:rsidRDefault="000666C9" w:rsidP="58C5731F">
      <w:pPr>
        <w:pStyle w:val="enumlev1"/>
        <w:jc w:val="both"/>
      </w:pPr>
      <w:r>
        <w:t>–</w:t>
      </w:r>
      <w:r>
        <w:tab/>
      </w:r>
      <w:r w:rsidR="00E710AF">
        <w:t xml:space="preserve">The </w:t>
      </w:r>
      <w:r w:rsidR="00E710AF" w:rsidRPr="0235939A">
        <w:rPr>
          <w:b/>
          <w:bCs/>
        </w:rPr>
        <w:t>ILO</w:t>
      </w:r>
      <w:r w:rsidR="00E710AF">
        <w:t xml:space="preserve"> organizes its large meetings in Geneva but holds one regional meeting per region every four years in various host countries. A call for hosts is issued within each region, and proposals must be submitted 18 months in advance. Logistical and financial criteria are shared with potential hosts. If multiple countries are interested, the region decides, and the proposal is then approved by the ILO Governing Body.</w:t>
      </w:r>
    </w:p>
    <w:p w14:paraId="6BC8B844" w14:textId="205D2729" w:rsidR="00E710AF" w:rsidRPr="00A576A6" w:rsidRDefault="000666C9" w:rsidP="00FF1FC2">
      <w:pPr>
        <w:pStyle w:val="enumlev1"/>
        <w:jc w:val="both"/>
        <w:rPr>
          <w:szCs w:val="24"/>
        </w:rPr>
      </w:pPr>
      <w:r>
        <w:t>–</w:t>
      </w:r>
      <w:r>
        <w:tab/>
      </w:r>
      <w:r w:rsidR="00E710AF" w:rsidRPr="00A576A6">
        <w:rPr>
          <w:b/>
          <w:bCs/>
          <w:szCs w:val="24"/>
        </w:rPr>
        <w:t>UNHCR</w:t>
      </w:r>
      <w:r w:rsidR="00E710AF" w:rsidRPr="00A576A6">
        <w:rPr>
          <w:szCs w:val="24"/>
        </w:rPr>
        <w:t xml:space="preserve"> holds its Executive Committee meetings and the Global Refugee Forum in Geneva, in accordance with established rules and the Global Compact on Refugees. Hosting in other locations is not standard </w:t>
      </w:r>
      <w:r w:rsidR="00E710AF" w:rsidRPr="00FF1FC2">
        <w:t>practice</w:t>
      </w:r>
      <w:r w:rsidR="00E710AF" w:rsidRPr="00A576A6">
        <w:rPr>
          <w:szCs w:val="24"/>
        </w:rPr>
        <w:t>.</w:t>
      </w:r>
    </w:p>
    <w:p w14:paraId="0E51EFF5" w14:textId="270B3E29" w:rsidR="00E710AF" w:rsidRPr="00A576A6" w:rsidRDefault="000666C9" w:rsidP="00FF1FC2">
      <w:pPr>
        <w:pStyle w:val="enumlev1"/>
        <w:jc w:val="both"/>
      </w:pPr>
      <w:r>
        <w:t>–</w:t>
      </w:r>
      <w:r>
        <w:tab/>
      </w:r>
      <w:r w:rsidR="00E710AF">
        <w:t xml:space="preserve">The </w:t>
      </w:r>
      <w:r w:rsidR="00E710AF" w:rsidRPr="00115CD4">
        <w:t>Conference of the Parties</w:t>
      </w:r>
      <w:r w:rsidR="00E710AF">
        <w:t xml:space="preserve"> to </w:t>
      </w:r>
      <w:r w:rsidR="00E710AF" w:rsidRPr="00115CD4">
        <w:rPr>
          <w:b/>
          <w:bCs/>
        </w:rPr>
        <w:t>FAO</w:t>
      </w:r>
      <w:r w:rsidR="00E710AF">
        <w:t xml:space="preserve"> treaties occasionally meets in host countries. A</w:t>
      </w:r>
      <w:r w:rsidR="00FF1FC2">
        <w:t> </w:t>
      </w:r>
      <w:r w:rsidR="00E710AF">
        <w:t>call for offers is made ahead of each meeting, and the decision</w:t>
      </w:r>
      <w:r w:rsidR="00FF1FC2">
        <w:t xml:space="preserve"> </w:t>
      </w:r>
      <w:r w:rsidR="00E710AF">
        <w:t>—based on whether a Host Country Agreement is reached—</w:t>
      </w:r>
      <w:r w:rsidR="00FF1FC2">
        <w:t xml:space="preserve"> </w:t>
      </w:r>
      <w:r w:rsidR="00E710AF">
        <w:t>is made by the governing bodies. The default location remains Rome or Geneva when no offers are received. Competing offers are rare.</w:t>
      </w:r>
    </w:p>
    <w:p w14:paraId="786F492A" w14:textId="2059BE9D" w:rsidR="00E710AF" w:rsidRPr="00A576A6" w:rsidRDefault="000666C9" w:rsidP="00FF1FC2">
      <w:pPr>
        <w:pStyle w:val="enumlev1"/>
        <w:jc w:val="both"/>
        <w:rPr>
          <w:szCs w:val="24"/>
        </w:rPr>
      </w:pPr>
      <w:r>
        <w:t>–</w:t>
      </w:r>
      <w:r>
        <w:tab/>
      </w:r>
      <w:r w:rsidR="00E710AF" w:rsidRPr="00A576A6">
        <w:rPr>
          <w:b/>
          <w:bCs/>
          <w:szCs w:val="24"/>
        </w:rPr>
        <w:t>UNODC</w:t>
      </w:r>
      <w:r w:rsidR="00E710AF" w:rsidRPr="00A576A6">
        <w:rPr>
          <w:szCs w:val="24"/>
        </w:rPr>
        <w:t xml:space="preserve"> holds conferences in host countries but does not follow a formal process or criteria, with selection made on a first-come, first-served basis.</w:t>
      </w:r>
    </w:p>
    <w:p w14:paraId="5DF2BC1C" w14:textId="4E6A2C69" w:rsidR="00A514A4" w:rsidRPr="00E710AF" w:rsidRDefault="00A514A4" w:rsidP="00147C54">
      <w:pPr>
        <w:tabs>
          <w:tab w:val="clear" w:pos="567"/>
          <w:tab w:val="clear" w:pos="1134"/>
          <w:tab w:val="clear" w:pos="1701"/>
          <w:tab w:val="clear" w:pos="2268"/>
          <w:tab w:val="clear" w:pos="2835"/>
        </w:tabs>
        <w:overflowPunct/>
        <w:autoSpaceDE/>
        <w:autoSpaceDN/>
        <w:adjustRightInd/>
        <w:spacing w:before="0"/>
        <w:textAlignment w:val="auto"/>
      </w:pPr>
    </w:p>
    <w:p w14:paraId="0BEFBF88" w14:textId="77777777" w:rsidR="00101C44" w:rsidRDefault="00101C44">
      <w:pPr>
        <w:pStyle w:val="Reasons"/>
      </w:pPr>
    </w:p>
    <w:p w14:paraId="69D7025F" w14:textId="74B5B0C8" w:rsidR="00101C44" w:rsidRPr="00101C44" w:rsidRDefault="00101C44" w:rsidP="00101C44">
      <w:pPr>
        <w:jc w:val="center"/>
      </w:pPr>
      <w:r>
        <w:t>______________</w:t>
      </w:r>
    </w:p>
    <w:sectPr w:rsidR="00101C44" w:rsidRPr="00101C44" w:rsidSect="00AD3606">
      <w:headerReference w:type="even" r:id="rId15"/>
      <w:headerReference w:type="default" r:id="rId16"/>
      <w:footerReference w:type="even" r:id="rId17"/>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C1414" w14:textId="77777777" w:rsidR="004A4A73" w:rsidRDefault="004A4A73">
      <w:r>
        <w:separator/>
      </w:r>
    </w:p>
  </w:endnote>
  <w:endnote w:type="continuationSeparator" w:id="0">
    <w:p w14:paraId="09DA4772" w14:textId="77777777" w:rsidR="004A4A73" w:rsidRDefault="004A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AD31" w14:textId="77777777" w:rsidR="00472CB4" w:rsidRDefault="00472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45D3022A" w14:textId="77777777">
      <w:trPr>
        <w:jc w:val="center"/>
      </w:trPr>
      <w:tc>
        <w:tcPr>
          <w:tcW w:w="1803" w:type="dxa"/>
          <w:vAlign w:val="center"/>
        </w:tcPr>
        <w:p w14:paraId="010561C0" w14:textId="77777777" w:rsidR="00EE49E8" w:rsidRDefault="00EE49E8" w:rsidP="00EE49E8">
          <w:pPr>
            <w:pStyle w:val="Header"/>
            <w:jc w:val="left"/>
            <w:rPr>
              <w:noProof/>
            </w:rPr>
          </w:pPr>
        </w:p>
      </w:tc>
      <w:tc>
        <w:tcPr>
          <w:tcW w:w="8261" w:type="dxa"/>
        </w:tcPr>
        <w:p w14:paraId="4683B567" w14:textId="3CCFE01A" w:rsidR="00EE49E8" w:rsidRPr="00BA3A51" w:rsidRDefault="00EE49E8" w:rsidP="000F6AB8">
          <w:pPr>
            <w:pStyle w:val="Header"/>
            <w:tabs>
              <w:tab w:val="left" w:pos="6309"/>
              <w:tab w:val="right" w:pos="8505"/>
              <w:tab w:val="right" w:pos="9639"/>
            </w:tabs>
            <w:jc w:val="left"/>
            <w:rPr>
              <w:rFonts w:ascii="Arial" w:hAnsi="Arial" w:cs="Arial"/>
              <w:b/>
              <w:bCs/>
              <w:szCs w:val="18"/>
              <w:lang w:val="fr-CH"/>
            </w:rPr>
          </w:pPr>
          <w:r w:rsidRPr="005C13D4">
            <w:rPr>
              <w:bCs/>
              <w:lang w:val="fr-CH"/>
            </w:rPr>
            <w:tab/>
          </w:r>
          <w:proofErr w:type="spellStart"/>
          <w:r w:rsidR="00A52C84" w:rsidRPr="00BA3A51">
            <w:rPr>
              <w:bCs/>
              <w:lang w:val="fr-CH"/>
            </w:rPr>
            <w:t>CWG</w:t>
          </w:r>
          <w:proofErr w:type="spellEnd"/>
          <w:r w:rsidR="00A52C84" w:rsidRPr="00BA3A51">
            <w:rPr>
              <w:bCs/>
              <w:lang w:val="fr-CH"/>
            </w:rPr>
            <w:t>-</w:t>
          </w:r>
          <w:proofErr w:type="spellStart"/>
          <w:r w:rsidR="000F6AB8">
            <w:rPr>
              <w:bCs/>
              <w:lang w:val="fr-CH"/>
            </w:rPr>
            <w:t>FHR</w:t>
          </w:r>
          <w:proofErr w:type="spellEnd"/>
          <w:r w:rsidR="00A52C84" w:rsidRPr="00BA3A51">
            <w:rPr>
              <w:bCs/>
              <w:lang w:val="fr-CH"/>
            </w:rPr>
            <w:t>-</w:t>
          </w:r>
          <w:r w:rsidR="00101C44">
            <w:rPr>
              <w:bCs/>
              <w:lang w:val="fr-CH"/>
            </w:rPr>
            <w:t>21</w:t>
          </w:r>
          <w:r w:rsidR="000F6AB8">
            <w:rPr>
              <w:bCs/>
              <w:lang w:val="fr-CH"/>
            </w:rPr>
            <w:t>/</w:t>
          </w:r>
          <w:r w:rsidR="00472CB4">
            <w:rPr>
              <w:bCs/>
              <w:lang w:val="fr-CH"/>
            </w:rPr>
            <w:t>7</w:t>
          </w:r>
          <w:r w:rsidR="00A52C84" w:rsidRPr="00BA3A51">
            <w:rPr>
              <w:bCs/>
              <w:lang w:val="fr-CH"/>
            </w:rPr>
            <w:t>-E</w:t>
          </w:r>
          <w:r w:rsidRPr="00BA3A51">
            <w:rPr>
              <w:bCs/>
              <w:lang w:val="fr-CH"/>
            </w:rPr>
            <w:tab/>
          </w:r>
          <w:r>
            <w:fldChar w:fldCharType="begin"/>
          </w:r>
          <w:r w:rsidRPr="00BA3A51">
            <w:rPr>
              <w:lang w:val="fr-CH"/>
            </w:rPr>
            <w:instrText>PAGE</w:instrText>
          </w:r>
          <w:r>
            <w:fldChar w:fldCharType="separate"/>
          </w:r>
          <w:r w:rsidRPr="00BA3A51">
            <w:rPr>
              <w:lang w:val="fr-CH"/>
            </w:rPr>
            <w:t>1</w:t>
          </w:r>
          <w:r>
            <w:rPr>
              <w:noProof/>
            </w:rPr>
            <w:fldChar w:fldCharType="end"/>
          </w:r>
        </w:p>
      </w:tc>
    </w:tr>
  </w:tbl>
  <w:p w14:paraId="4B06F114" w14:textId="77777777" w:rsidR="00EE49E8" w:rsidRPr="00BA3A51" w:rsidRDefault="00EE49E8" w:rsidP="00EE49E8">
    <w:pPr>
      <w:pStyle w:val="Header"/>
      <w:tabs>
        <w:tab w:val="left" w:pos="8080"/>
        <w:tab w:val="right" w:pos="9072"/>
      </w:tabs>
      <w:jc w:val="left"/>
      <w:rPr>
        <w:bCs/>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11309930" w14:textId="77777777" w:rsidTr="00A52C84">
      <w:trPr>
        <w:jc w:val="center"/>
      </w:trPr>
      <w:tc>
        <w:tcPr>
          <w:tcW w:w="3107" w:type="dxa"/>
          <w:vAlign w:val="center"/>
        </w:tcPr>
        <w:p w14:paraId="7CD2CDFA" w14:textId="4703D05A" w:rsidR="00EE49E8" w:rsidRPr="00191EA3" w:rsidRDefault="0025570E" w:rsidP="00EE49E8">
          <w:pPr>
            <w:pStyle w:val="Header"/>
            <w:jc w:val="left"/>
            <w:rPr>
              <w:noProof/>
            </w:rPr>
          </w:pPr>
          <w:hyperlink r:id="rId1" w:history="1">
            <w:proofErr w:type="spellStart"/>
            <w:r w:rsidRPr="00191EA3">
              <w:rPr>
                <w:rStyle w:val="Hyperlink"/>
                <w:u w:val="none"/>
              </w:rPr>
              <w:t>council.itu.int</w:t>
            </w:r>
            <w:proofErr w:type="spellEnd"/>
            <w:r w:rsidRPr="00191EA3">
              <w:rPr>
                <w:rStyle w:val="Hyperlink"/>
                <w:u w:val="none"/>
              </w:rPr>
              <w:t>/working-groups</w:t>
            </w:r>
          </w:hyperlink>
        </w:p>
      </w:tc>
      <w:tc>
        <w:tcPr>
          <w:tcW w:w="6957" w:type="dxa"/>
        </w:tcPr>
        <w:p w14:paraId="3E34F891" w14:textId="5D1FFAB8" w:rsidR="00EE49E8" w:rsidRPr="000F6AB8" w:rsidRDefault="00EE49E8" w:rsidP="000F6AB8">
          <w:pPr>
            <w:pStyle w:val="Header"/>
            <w:tabs>
              <w:tab w:val="left" w:pos="5008"/>
              <w:tab w:val="right" w:pos="8505"/>
              <w:tab w:val="right" w:pos="9639"/>
            </w:tabs>
            <w:jc w:val="left"/>
            <w:rPr>
              <w:rFonts w:ascii="Arial" w:hAnsi="Arial" w:cs="Arial"/>
              <w:b/>
              <w:bCs/>
              <w:szCs w:val="18"/>
              <w:lang w:val="es-ES"/>
            </w:rPr>
          </w:pPr>
          <w:r>
            <w:rPr>
              <w:bCs/>
            </w:rPr>
            <w:tab/>
          </w:r>
          <w:proofErr w:type="spellStart"/>
          <w:r w:rsidRPr="000F6AB8">
            <w:rPr>
              <w:bCs/>
              <w:lang w:val="es-ES"/>
            </w:rPr>
            <w:t>C</w:t>
          </w:r>
          <w:r w:rsidR="00A52C84" w:rsidRPr="000F6AB8">
            <w:rPr>
              <w:bCs/>
              <w:lang w:val="es-ES"/>
            </w:rPr>
            <w:t>WG</w:t>
          </w:r>
          <w:proofErr w:type="spellEnd"/>
          <w:r w:rsidR="00A52C84" w:rsidRPr="000F6AB8">
            <w:rPr>
              <w:bCs/>
              <w:lang w:val="es-ES"/>
            </w:rPr>
            <w:t>-</w:t>
          </w:r>
          <w:proofErr w:type="spellStart"/>
          <w:r w:rsidR="000F6AB8" w:rsidRPr="000F6AB8">
            <w:rPr>
              <w:bCs/>
              <w:lang w:val="es-ES"/>
            </w:rPr>
            <w:t>FHR</w:t>
          </w:r>
          <w:proofErr w:type="spellEnd"/>
          <w:r w:rsidR="00A52C84" w:rsidRPr="000F6AB8">
            <w:rPr>
              <w:bCs/>
              <w:lang w:val="es-ES"/>
            </w:rPr>
            <w:t>-</w:t>
          </w:r>
          <w:r w:rsidR="00101C44">
            <w:rPr>
              <w:bCs/>
              <w:lang w:val="es-ES"/>
            </w:rPr>
            <w:t>21</w:t>
          </w:r>
          <w:r w:rsidRPr="000F6AB8">
            <w:rPr>
              <w:bCs/>
              <w:lang w:val="es-ES"/>
            </w:rPr>
            <w:t>/</w:t>
          </w:r>
          <w:r w:rsidR="00472CB4">
            <w:rPr>
              <w:bCs/>
              <w:lang w:val="es-ES"/>
            </w:rPr>
            <w:t>7</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07176F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3BB3" w14:textId="77777777" w:rsidR="004A4A73" w:rsidRDefault="004A4A73">
      <w:r>
        <w:t>____________________</w:t>
      </w:r>
    </w:p>
  </w:footnote>
  <w:footnote w:type="continuationSeparator" w:id="0">
    <w:p w14:paraId="0126915A" w14:textId="77777777" w:rsidR="004A4A73" w:rsidRDefault="004A4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12D7" w14:textId="77777777" w:rsidR="00472CB4" w:rsidRDefault="00472C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AB0E" w14:textId="77777777" w:rsidR="00472CB4" w:rsidRDefault="00472C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3446C2" w14:textId="77777777" w:rsidTr="00F74694">
      <w:trPr>
        <w:trHeight w:val="1304"/>
        <w:jc w:val="center"/>
      </w:trPr>
      <w:tc>
        <w:tcPr>
          <w:tcW w:w="6546" w:type="dxa"/>
        </w:tcPr>
        <w:bookmarkStart w:id="12" w:name="_Hlk133422111"/>
        <w:p w14:paraId="23997244" w14:textId="77777777" w:rsidR="00AD3606" w:rsidRPr="009621F8" w:rsidRDefault="00191EA3"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42E1356A" wp14:editId="54CAED16">
                    <wp:simplePos x="0" y="0"/>
                    <wp:positionH relativeFrom="column">
                      <wp:posOffset>1436426</wp:posOffset>
                    </wp:positionH>
                    <wp:positionV relativeFrom="paragraph">
                      <wp:posOffset>5715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C2525B3" w14:textId="3DED7A1F" w:rsidR="00130599" w:rsidRDefault="00A43C03" w:rsidP="0060523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0060523F" w:rsidRPr="0060523F">
                                  <w:rPr>
                                    <w:sz w:val="20"/>
                                  </w:rPr>
                                  <w:t>From 10</w:t>
                                </w:r>
                                <w:r w:rsidR="00491A64">
                                  <w:rPr>
                                    <w:sz w:val="20"/>
                                  </w:rPr>
                                  <w:t xml:space="preserve"> (p.m.)</w:t>
                                </w:r>
                                <w:r w:rsidR="0060523F" w:rsidRPr="0060523F">
                                  <w:rPr>
                                    <w:sz w:val="20"/>
                                  </w:rPr>
                                  <w:t xml:space="preserve"> to 12 September 2025</w:t>
                                </w:r>
                              </w:p>
                            </w:txbxContent>
                          </wps:txbx>
                          <wps:bodyPr rot="0" vert="horz" wrap="square" lIns="36000" tIns="45720" rIns="3600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42E1356A">
                    <v:stroke joinstyle="miter"/>
                    <v:path gradientshapeok="t" o:connecttype="rect"/>
                  </v:shapetype>
                  <v:shape id="Text Box 2" style="position:absolute;margin-left:113.1pt;margin-top:.45pt;width:314.9pt;height:37.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">
                    <v:textbox style="mso-fit-shape-to-text:t" inset="1mm,,1mm">
                      <w:txbxContent>
                        <w:p w:rsidR="00130599" w:rsidP="0060523F" w:rsidRDefault="00A43C03" w14:paraId="5C2525B3" w14:textId="3DED7A1F">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sidR="00CB24AA">
                            <w:rPr>
                              <w:sz w:val="20"/>
                            </w:rPr>
                            <w:t>Twent</w:t>
                          </w:r>
                          <w:r w:rsidR="00101C44">
                            <w:rPr>
                              <w:sz w:val="20"/>
                            </w:rPr>
                            <w:t xml:space="preserve">y-first </w:t>
                          </w:r>
                          <w:r w:rsidRPr="0060523F">
                            <w:rPr>
                              <w:sz w:val="20"/>
                            </w:rPr>
                            <w:t xml:space="preserve">meeting – </w:t>
                          </w:r>
                          <w:r w:rsidRPr="0060523F" w:rsidR="0060523F">
                            <w:rPr>
                              <w:sz w:val="20"/>
                            </w:rPr>
                            <w:t>From 10</w:t>
                          </w:r>
                          <w:r w:rsidR="00491A64">
                            <w:rPr>
                              <w:sz w:val="20"/>
                            </w:rPr>
                            <w:t xml:space="preserve"> (p.m.)</w:t>
                          </w:r>
                          <w:r w:rsidRPr="0060523F" w:rsidR="0060523F">
                            <w:rPr>
                              <w:sz w:val="20"/>
                            </w:rPr>
                            <w:t xml:space="preserve"> to 12 September 2025</w:t>
                          </w:r>
                        </w:p>
                      </w:txbxContent>
                    </v:textbox>
                  </v:shape>
                </w:pict>
              </mc:Fallback>
            </mc:AlternateContent>
          </w:r>
          <w:r>
            <w:rPr>
              <w:rFonts w:ascii="Arial" w:hAnsi="Arial" w:cs="Arial"/>
              <w:b/>
              <w:bCs/>
              <w:noProof/>
              <w:color w:val="009CD6"/>
              <w:sz w:val="36"/>
              <w:szCs w:val="36"/>
            </w:rPr>
            <w:drawing>
              <wp:inline distT="0" distB="0" distL="0" distR="0" wp14:anchorId="07F64D12" wp14:editId="0EF76A7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0C14FC0" w14:textId="77777777" w:rsidR="00AD3606" w:rsidRDefault="00AD3606" w:rsidP="00AD3606">
          <w:pPr>
            <w:pStyle w:val="Header"/>
            <w:jc w:val="right"/>
            <w:rPr>
              <w:rFonts w:ascii="Arial" w:hAnsi="Arial" w:cs="Arial"/>
              <w:b/>
              <w:bCs/>
              <w:color w:val="009CD6"/>
              <w:szCs w:val="18"/>
            </w:rPr>
          </w:pPr>
        </w:p>
        <w:p w14:paraId="231D69AB" w14:textId="77777777" w:rsidR="00AD3606" w:rsidRDefault="00AD3606" w:rsidP="00AD3606">
          <w:pPr>
            <w:pStyle w:val="Header"/>
            <w:jc w:val="right"/>
            <w:rPr>
              <w:rFonts w:ascii="Arial" w:hAnsi="Arial" w:cs="Arial"/>
              <w:b/>
              <w:bCs/>
              <w:color w:val="009CD6"/>
              <w:szCs w:val="18"/>
            </w:rPr>
          </w:pPr>
        </w:p>
        <w:p w14:paraId="3A6B94B2"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0C8B4F0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44BCBA57" wp14:editId="1745644A">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0C071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27DA"/>
    <w:multiLevelType w:val="hybridMultilevel"/>
    <w:tmpl w:val="17E05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787D08"/>
    <w:multiLevelType w:val="hybridMultilevel"/>
    <w:tmpl w:val="F5763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816267">
    <w:abstractNumId w:val="0"/>
  </w:num>
  <w:num w:numId="2" w16cid:durableId="427313852">
    <w:abstractNumId w:val="2"/>
  </w:num>
  <w:num w:numId="3" w16cid:durableId="1394625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B55"/>
    <w:rsid w:val="0000696C"/>
    <w:rsid w:val="000120E4"/>
    <w:rsid w:val="000210D4"/>
    <w:rsid w:val="0002533F"/>
    <w:rsid w:val="00046146"/>
    <w:rsid w:val="000555C6"/>
    <w:rsid w:val="00063016"/>
    <w:rsid w:val="000666C9"/>
    <w:rsid w:val="00066795"/>
    <w:rsid w:val="00076AF6"/>
    <w:rsid w:val="00085CF2"/>
    <w:rsid w:val="000B1705"/>
    <w:rsid w:val="000C5D2A"/>
    <w:rsid w:val="000D59DF"/>
    <w:rsid w:val="000D75B2"/>
    <w:rsid w:val="000E5265"/>
    <w:rsid w:val="000F056A"/>
    <w:rsid w:val="000F6AB8"/>
    <w:rsid w:val="00101C44"/>
    <w:rsid w:val="00106F95"/>
    <w:rsid w:val="001121F5"/>
    <w:rsid w:val="00115CD4"/>
    <w:rsid w:val="001267A2"/>
    <w:rsid w:val="00130599"/>
    <w:rsid w:val="001400DC"/>
    <w:rsid w:val="00140CE1"/>
    <w:rsid w:val="00147C54"/>
    <w:rsid w:val="00163541"/>
    <w:rsid w:val="0017296D"/>
    <w:rsid w:val="0017539C"/>
    <w:rsid w:val="00175AC2"/>
    <w:rsid w:val="0017609F"/>
    <w:rsid w:val="001837AF"/>
    <w:rsid w:val="00185416"/>
    <w:rsid w:val="00191EA3"/>
    <w:rsid w:val="001A7D1D"/>
    <w:rsid w:val="001B11E5"/>
    <w:rsid w:val="001B51DD"/>
    <w:rsid w:val="001C628E"/>
    <w:rsid w:val="001E0F7B"/>
    <w:rsid w:val="001E0FBE"/>
    <w:rsid w:val="001E5FE7"/>
    <w:rsid w:val="001F5811"/>
    <w:rsid w:val="00200924"/>
    <w:rsid w:val="002041EC"/>
    <w:rsid w:val="002119FD"/>
    <w:rsid w:val="002130E0"/>
    <w:rsid w:val="00244F7F"/>
    <w:rsid w:val="0025197E"/>
    <w:rsid w:val="0025570E"/>
    <w:rsid w:val="002608B7"/>
    <w:rsid w:val="00264425"/>
    <w:rsid w:val="00265875"/>
    <w:rsid w:val="00272ADF"/>
    <w:rsid w:val="0027303B"/>
    <w:rsid w:val="002734E1"/>
    <w:rsid w:val="0028109B"/>
    <w:rsid w:val="00282A27"/>
    <w:rsid w:val="002A1585"/>
    <w:rsid w:val="002A2188"/>
    <w:rsid w:val="002A503A"/>
    <w:rsid w:val="002B1F58"/>
    <w:rsid w:val="002B305E"/>
    <w:rsid w:val="002B4C37"/>
    <w:rsid w:val="002C1C7A"/>
    <w:rsid w:val="002C54E2"/>
    <w:rsid w:val="002E0AC3"/>
    <w:rsid w:val="002E33F8"/>
    <w:rsid w:val="0030160F"/>
    <w:rsid w:val="00301AEE"/>
    <w:rsid w:val="003145DF"/>
    <w:rsid w:val="00320223"/>
    <w:rsid w:val="00322D0D"/>
    <w:rsid w:val="00327E21"/>
    <w:rsid w:val="003454DF"/>
    <w:rsid w:val="00361465"/>
    <w:rsid w:val="00372ED9"/>
    <w:rsid w:val="003877F5"/>
    <w:rsid w:val="003942D4"/>
    <w:rsid w:val="0039514F"/>
    <w:rsid w:val="003958A8"/>
    <w:rsid w:val="003B29C2"/>
    <w:rsid w:val="003C20CA"/>
    <w:rsid w:val="003C2533"/>
    <w:rsid w:val="003D5A7F"/>
    <w:rsid w:val="003D635C"/>
    <w:rsid w:val="003E49D1"/>
    <w:rsid w:val="004016E2"/>
    <w:rsid w:val="0040435A"/>
    <w:rsid w:val="0040598E"/>
    <w:rsid w:val="00416A24"/>
    <w:rsid w:val="0042059E"/>
    <w:rsid w:val="00431D9E"/>
    <w:rsid w:val="00433CE8"/>
    <w:rsid w:val="00434A5C"/>
    <w:rsid w:val="004544D9"/>
    <w:rsid w:val="0046721B"/>
    <w:rsid w:val="00472BAD"/>
    <w:rsid w:val="00472CB4"/>
    <w:rsid w:val="00484009"/>
    <w:rsid w:val="00490E72"/>
    <w:rsid w:val="00491157"/>
    <w:rsid w:val="00491A64"/>
    <w:rsid w:val="004921C8"/>
    <w:rsid w:val="00495B0B"/>
    <w:rsid w:val="004A1B8B"/>
    <w:rsid w:val="004A4A73"/>
    <w:rsid w:val="004D1851"/>
    <w:rsid w:val="004D599D"/>
    <w:rsid w:val="004E2EA5"/>
    <w:rsid w:val="004E3AEB"/>
    <w:rsid w:val="004E7163"/>
    <w:rsid w:val="004F3819"/>
    <w:rsid w:val="005009C6"/>
    <w:rsid w:val="0050223C"/>
    <w:rsid w:val="00507750"/>
    <w:rsid w:val="005243FF"/>
    <w:rsid w:val="005311D6"/>
    <w:rsid w:val="00534C75"/>
    <w:rsid w:val="00536422"/>
    <w:rsid w:val="0053738E"/>
    <w:rsid w:val="0054188E"/>
    <w:rsid w:val="00564FBC"/>
    <w:rsid w:val="00572338"/>
    <w:rsid w:val="005800BC"/>
    <w:rsid w:val="00582442"/>
    <w:rsid w:val="005A335D"/>
    <w:rsid w:val="005C13D4"/>
    <w:rsid w:val="005C77C0"/>
    <w:rsid w:val="005D400E"/>
    <w:rsid w:val="005E2BD5"/>
    <w:rsid w:val="005F3269"/>
    <w:rsid w:val="0060523F"/>
    <w:rsid w:val="00613B55"/>
    <w:rsid w:val="00615961"/>
    <w:rsid w:val="00623AE3"/>
    <w:rsid w:val="006261F4"/>
    <w:rsid w:val="00631CAF"/>
    <w:rsid w:val="00634542"/>
    <w:rsid w:val="0064737F"/>
    <w:rsid w:val="006520C9"/>
    <w:rsid w:val="006535F1"/>
    <w:rsid w:val="0065557D"/>
    <w:rsid w:val="006561FF"/>
    <w:rsid w:val="00660D50"/>
    <w:rsid w:val="00662984"/>
    <w:rsid w:val="006716BB"/>
    <w:rsid w:val="006973C8"/>
    <w:rsid w:val="006A4313"/>
    <w:rsid w:val="006A4900"/>
    <w:rsid w:val="006B1859"/>
    <w:rsid w:val="006B6680"/>
    <w:rsid w:val="006B6DCC"/>
    <w:rsid w:val="006D2FF5"/>
    <w:rsid w:val="006D7978"/>
    <w:rsid w:val="00702DEF"/>
    <w:rsid w:val="00706861"/>
    <w:rsid w:val="0071202A"/>
    <w:rsid w:val="00726B8C"/>
    <w:rsid w:val="00726DAE"/>
    <w:rsid w:val="00733D87"/>
    <w:rsid w:val="00734F1A"/>
    <w:rsid w:val="007501EC"/>
    <w:rsid w:val="0075051B"/>
    <w:rsid w:val="00755220"/>
    <w:rsid w:val="0075669F"/>
    <w:rsid w:val="00762760"/>
    <w:rsid w:val="00766ADF"/>
    <w:rsid w:val="0077110E"/>
    <w:rsid w:val="00775655"/>
    <w:rsid w:val="00793188"/>
    <w:rsid w:val="00794D34"/>
    <w:rsid w:val="0080544B"/>
    <w:rsid w:val="00806E3C"/>
    <w:rsid w:val="00813423"/>
    <w:rsid w:val="00813E5E"/>
    <w:rsid w:val="00816C2C"/>
    <w:rsid w:val="0083581B"/>
    <w:rsid w:val="00845DA4"/>
    <w:rsid w:val="008603D5"/>
    <w:rsid w:val="00860EED"/>
    <w:rsid w:val="00863874"/>
    <w:rsid w:val="00864AFF"/>
    <w:rsid w:val="00865925"/>
    <w:rsid w:val="0088145A"/>
    <w:rsid w:val="00891503"/>
    <w:rsid w:val="0089723D"/>
    <w:rsid w:val="008A2A31"/>
    <w:rsid w:val="008B180C"/>
    <w:rsid w:val="008B4A6A"/>
    <w:rsid w:val="008C7E27"/>
    <w:rsid w:val="008D6F47"/>
    <w:rsid w:val="008E3850"/>
    <w:rsid w:val="008F3822"/>
    <w:rsid w:val="008F7448"/>
    <w:rsid w:val="0090147A"/>
    <w:rsid w:val="0090389B"/>
    <w:rsid w:val="00905234"/>
    <w:rsid w:val="009173EF"/>
    <w:rsid w:val="00932906"/>
    <w:rsid w:val="00956A1B"/>
    <w:rsid w:val="00961860"/>
    <w:rsid w:val="00961B0B"/>
    <w:rsid w:val="00962D33"/>
    <w:rsid w:val="009A5B77"/>
    <w:rsid w:val="009B38C3"/>
    <w:rsid w:val="009D6845"/>
    <w:rsid w:val="009D6CA6"/>
    <w:rsid w:val="009E09F2"/>
    <w:rsid w:val="009E17BD"/>
    <w:rsid w:val="009E485A"/>
    <w:rsid w:val="00A04CEC"/>
    <w:rsid w:val="00A16331"/>
    <w:rsid w:val="00A27F92"/>
    <w:rsid w:val="00A32257"/>
    <w:rsid w:val="00A36D20"/>
    <w:rsid w:val="00A42EDE"/>
    <w:rsid w:val="00A43C03"/>
    <w:rsid w:val="00A46342"/>
    <w:rsid w:val="00A46CD0"/>
    <w:rsid w:val="00A514A4"/>
    <w:rsid w:val="00A52C84"/>
    <w:rsid w:val="00A55622"/>
    <w:rsid w:val="00A576A6"/>
    <w:rsid w:val="00A83502"/>
    <w:rsid w:val="00A92C48"/>
    <w:rsid w:val="00AD15B3"/>
    <w:rsid w:val="00AD3606"/>
    <w:rsid w:val="00AD4A3D"/>
    <w:rsid w:val="00AE054A"/>
    <w:rsid w:val="00AF6386"/>
    <w:rsid w:val="00AF6E49"/>
    <w:rsid w:val="00B04A67"/>
    <w:rsid w:val="00B0583C"/>
    <w:rsid w:val="00B10AF0"/>
    <w:rsid w:val="00B248BC"/>
    <w:rsid w:val="00B358B2"/>
    <w:rsid w:val="00B40A81"/>
    <w:rsid w:val="00B44910"/>
    <w:rsid w:val="00B6350C"/>
    <w:rsid w:val="00B72267"/>
    <w:rsid w:val="00B732B2"/>
    <w:rsid w:val="00B73DD1"/>
    <w:rsid w:val="00B76EB6"/>
    <w:rsid w:val="00B7737B"/>
    <w:rsid w:val="00B824C8"/>
    <w:rsid w:val="00B849D3"/>
    <w:rsid w:val="00B84B9D"/>
    <w:rsid w:val="00B9007F"/>
    <w:rsid w:val="00BA1096"/>
    <w:rsid w:val="00BA3A51"/>
    <w:rsid w:val="00BC251A"/>
    <w:rsid w:val="00BD032B"/>
    <w:rsid w:val="00BD0614"/>
    <w:rsid w:val="00BD094B"/>
    <w:rsid w:val="00BE2640"/>
    <w:rsid w:val="00BE4C42"/>
    <w:rsid w:val="00BF06F0"/>
    <w:rsid w:val="00BF0A22"/>
    <w:rsid w:val="00BF2A83"/>
    <w:rsid w:val="00C01189"/>
    <w:rsid w:val="00C10139"/>
    <w:rsid w:val="00C3402E"/>
    <w:rsid w:val="00C374DE"/>
    <w:rsid w:val="00C464FE"/>
    <w:rsid w:val="00C47AD4"/>
    <w:rsid w:val="00C52D81"/>
    <w:rsid w:val="00C55198"/>
    <w:rsid w:val="00C629EB"/>
    <w:rsid w:val="00C725C6"/>
    <w:rsid w:val="00C922C7"/>
    <w:rsid w:val="00CA6393"/>
    <w:rsid w:val="00CB06E1"/>
    <w:rsid w:val="00CB18FF"/>
    <w:rsid w:val="00CB24AA"/>
    <w:rsid w:val="00CB76D2"/>
    <w:rsid w:val="00CD0C08"/>
    <w:rsid w:val="00CD3C91"/>
    <w:rsid w:val="00CE03FB"/>
    <w:rsid w:val="00CE433C"/>
    <w:rsid w:val="00CF0161"/>
    <w:rsid w:val="00CF33F3"/>
    <w:rsid w:val="00D06183"/>
    <w:rsid w:val="00D07AFD"/>
    <w:rsid w:val="00D218D9"/>
    <w:rsid w:val="00D22C42"/>
    <w:rsid w:val="00D27332"/>
    <w:rsid w:val="00D353DD"/>
    <w:rsid w:val="00D45669"/>
    <w:rsid w:val="00D46480"/>
    <w:rsid w:val="00D464CC"/>
    <w:rsid w:val="00D522F6"/>
    <w:rsid w:val="00D56A64"/>
    <w:rsid w:val="00D65041"/>
    <w:rsid w:val="00D71F8B"/>
    <w:rsid w:val="00D83E86"/>
    <w:rsid w:val="00DA756C"/>
    <w:rsid w:val="00DB00D5"/>
    <w:rsid w:val="00DB1936"/>
    <w:rsid w:val="00DB384B"/>
    <w:rsid w:val="00DB63E0"/>
    <w:rsid w:val="00DC4329"/>
    <w:rsid w:val="00DE6F33"/>
    <w:rsid w:val="00DF0189"/>
    <w:rsid w:val="00DF27DD"/>
    <w:rsid w:val="00E06FD5"/>
    <w:rsid w:val="00E10E80"/>
    <w:rsid w:val="00E124F0"/>
    <w:rsid w:val="00E14780"/>
    <w:rsid w:val="00E227F3"/>
    <w:rsid w:val="00E27AD0"/>
    <w:rsid w:val="00E33B91"/>
    <w:rsid w:val="00E4728B"/>
    <w:rsid w:val="00E47C71"/>
    <w:rsid w:val="00E545C6"/>
    <w:rsid w:val="00E60F04"/>
    <w:rsid w:val="00E63EFF"/>
    <w:rsid w:val="00E65B24"/>
    <w:rsid w:val="00E70DD7"/>
    <w:rsid w:val="00E710AF"/>
    <w:rsid w:val="00E854E4"/>
    <w:rsid w:val="00E86DBF"/>
    <w:rsid w:val="00E95485"/>
    <w:rsid w:val="00EA334C"/>
    <w:rsid w:val="00EB0D6F"/>
    <w:rsid w:val="00EB2232"/>
    <w:rsid w:val="00EB6D2C"/>
    <w:rsid w:val="00EC5337"/>
    <w:rsid w:val="00ED575C"/>
    <w:rsid w:val="00EE49E8"/>
    <w:rsid w:val="00EE514B"/>
    <w:rsid w:val="00F02A2A"/>
    <w:rsid w:val="00F07B43"/>
    <w:rsid w:val="00F10B59"/>
    <w:rsid w:val="00F16BAB"/>
    <w:rsid w:val="00F17047"/>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E4077"/>
    <w:rsid w:val="00FE500D"/>
    <w:rsid w:val="00FE77D2"/>
    <w:rsid w:val="00FF0018"/>
    <w:rsid w:val="00FF1FC2"/>
    <w:rsid w:val="0235939A"/>
    <w:rsid w:val="02983DAF"/>
    <w:rsid w:val="02DE5A78"/>
    <w:rsid w:val="02E8D0B8"/>
    <w:rsid w:val="068C5129"/>
    <w:rsid w:val="08600F4A"/>
    <w:rsid w:val="08C10E6F"/>
    <w:rsid w:val="0A969A7F"/>
    <w:rsid w:val="0B30B0B6"/>
    <w:rsid w:val="0C8BECBC"/>
    <w:rsid w:val="0EFE62CD"/>
    <w:rsid w:val="192FC118"/>
    <w:rsid w:val="195748A5"/>
    <w:rsid w:val="1B249E7A"/>
    <w:rsid w:val="1DF76414"/>
    <w:rsid w:val="1ED32861"/>
    <w:rsid w:val="1FB301D0"/>
    <w:rsid w:val="2016DBEF"/>
    <w:rsid w:val="220D81B8"/>
    <w:rsid w:val="22A0FFD2"/>
    <w:rsid w:val="2864FA34"/>
    <w:rsid w:val="2B4C1ADF"/>
    <w:rsid w:val="2C0B3FF5"/>
    <w:rsid w:val="2ECA1193"/>
    <w:rsid w:val="2F9B2068"/>
    <w:rsid w:val="30BB87E5"/>
    <w:rsid w:val="3131EF8C"/>
    <w:rsid w:val="315FC07C"/>
    <w:rsid w:val="317A1DDB"/>
    <w:rsid w:val="328811EB"/>
    <w:rsid w:val="37A80701"/>
    <w:rsid w:val="3A3564E6"/>
    <w:rsid w:val="3C1907BB"/>
    <w:rsid w:val="3F2DF688"/>
    <w:rsid w:val="41BDA677"/>
    <w:rsid w:val="42005FA2"/>
    <w:rsid w:val="43EAB531"/>
    <w:rsid w:val="47B70D34"/>
    <w:rsid w:val="4837C42D"/>
    <w:rsid w:val="4D5B5AF2"/>
    <w:rsid w:val="4FA5407E"/>
    <w:rsid w:val="5126D19C"/>
    <w:rsid w:val="56905A1B"/>
    <w:rsid w:val="58C5731F"/>
    <w:rsid w:val="59E9A011"/>
    <w:rsid w:val="5B88A89A"/>
    <w:rsid w:val="5D33F36B"/>
    <w:rsid w:val="5E02349D"/>
    <w:rsid w:val="6052EAD2"/>
    <w:rsid w:val="6C02A2FF"/>
    <w:rsid w:val="6D66A880"/>
    <w:rsid w:val="734EC2AA"/>
    <w:rsid w:val="75CE9DC7"/>
    <w:rsid w:val="77FB47B7"/>
    <w:rsid w:val="7956AA65"/>
    <w:rsid w:val="7C7AFB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EB8DF7"/>
  <w15:docId w15:val="{A25CD7EC-0BE6-42C0-A61D-AA8E1247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46480"/>
    <w:rPr>
      <w:color w:val="666666"/>
    </w:rPr>
  </w:style>
  <w:style w:type="paragraph" w:customStyle="1" w:styleId="Reasons">
    <w:name w:val="Reasons"/>
    <w:basedOn w:val="Normal"/>
    <w:qFormat/>
    <w:rsid w:val="00101C44"/>
  </w:style>
  <w:style w:type="paragraph" w:styleId="ListParagraph">
    <w:name w:val="List Paragraph"/>
    <w:basedOn w:val="Normal"/>
    <w:uiPriority w:val="34"/>
    <w:qFormat/>
    <w:rsid w:val="00E710AF"/>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kern w:val="2"/>
      <w:sz w:val="22"/>
      <w:szCs w:val="22"/>
      <w:lang w:eastAsia="zh-CN"/>
      <w14:ligatures w14:val="standardContextual"/>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D218D9"/>
    <w:rPr>
      <w:b/>
      <w:bCs/>
    </w:rPr>
  </w:style>
  <w:style w:type="character" w:customStyle="1" w:styleId="CommentSubjectChar">
    <w:name w:val="Comment Subject Char"/>
    <w:basedOn w:val="CommentTextChar"/>
    <w:link w:val="CommentSubject"/>
    <w:semiHidden/>
    <w:rsid w:val="00D218D9"/>
    <w:rPr>
      <w:rFonts w:ascii="Calibri" w:hAnsi="Calibri"/>
      <w:b/>
      <w:bCs/>
      <w:lang w:val="en-GB" w:eastAsia="en-US"/>
    </w:rPr>
  </w:style>
  <w:style w:type="character" w:styleId="Mention">
    <w:name w:val="Mention"/>
    <w:basedOn w:val="DefaultParagraphFont"/>
    <w:uiPriority w:val="99"/>
    <w:unhideWhenUsed/>
    <w:rsid w:val="0046721B"/>
    <w:rPr>
      <w:color w:val="2B579A"/>
      <w:shd w:val="clear" w:color="auto" w:fill="E1DFDD"/>
    </w:rPr>
  </w:style>
  <w:style w:type="paragraph" w:styleId="Revision">
    <w:name w:val="Revision"/>
    <w:hidden/>
    <w:uiPriority w:val="99"/>
    <w:semiHidden/>
    <w:rsid w:val="00DB63E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101/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S25-CL-C-0101/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fhr/Pages/default.asp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07-CL-C-0022/en"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C2DE7-1CD7-470C-86CC-7EAA017E5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52A5F-4396-4723-B368-03BE6B91B35F}">
  <ds:schemaRefs>
    <ds:schemaRef ds:uri="http://schemas.microsoft.com/office/2006/documentManagement/types"/>
    <ds:schemaRef ds:uri="http://schemas.microsoft.com/office/infopath/2007/PartnerControls"/>
    <ds:schemaRef ds:uri="http://purl.org/dc/elements/1.1/"/>
    <ds:schemaRef ds:uri="a1cf676c-2816-4389-ad5d-0f2e7c7e67c4"/>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44F90EF3-2B15-48E6-BB99-162B0A5C876D}">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1033</Words>
  <Characters>5664</Characters>
  <Application>Microsoft Office Word</Application>
  <DocSecurity>0</DocSecurity>
  <Lines>103</Lines>
  <Paragraphs>35</Paragraphs>
  <ScaleCrop>false</ScaleCrop>
  <HeadingPairs>
    <vt:vector size="2" baseType="variant">
      <vt:variant>
        <vt:lpstr>Title</vt:lpstr>
      </vt:variant>
      <vt:variant>
        <vt:i4>1</vt:i4>
      </vt:variant>
    </vt:vector>
  </HeadingPairs>
  <TitlesOfParts>
    <vt:vector size="1" baseType="lpstr">
      <vt:lpstr>Bidding process for hosting ITU conferences</vt:lpstr>
    </vt:vector>
  </TitlesOfParts>
  <Manager/>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Bidding process for hosting ITU conferences</dc:title>
  <dc:subject>ITU Council Working Group on financial and human resources</dc:subject>
  <cp:keywords>CWG-FHR</cp:keywords>
  <dc:description/>
  <dcterms:created xsi:type="dcterms:W3CDTF">2025-08-08T11:19:00Z</dcterms:created>
  <dcterms:modified xsi:type="dcterms:W3CDTF">2025-08-08T11:29:00Z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f10a40ccae586a037d9ce0f9a3c7d5248109506ccc1659366decf52b717f794e</vt:lpwstr>
  </property>
  <property fmtid="{D5CDD505-2E9C-101B-9397-08002B2CF9AE}" pid="3" name="ContentTypeId">
    <vt:lpwstr>0x01010096B2CC4DF5F10149B2E37F08EDC3AC3A</vt:lpwstr>
  </property>
  <property fmtid="{D5CDD505-2E9C-101B-9397-08002B2CF9AE}" pid="4" name="MediaServiceImageTags">
    <vt:lpwstr/>
  </property>
</Properties>
</file>