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B70B29" w14:paraId="06988536" w14:textId="77777777" w:rsidTr="057B328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09139E8F" w14:textId="1D5F0D8B" w:rsidR="00AD3606" w:rsidRPr="00B70B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50B68EFE" w14:textId="29CC08C0" w:rsidR="00AD3606" w:rsidRPr="00B70B29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B70B29">
              <w:rPr>
                <w:b/>
              </w:rPr>
              <w:t>Document C</w:t>
            </w:r>
            <w:r w:rsidR="00A52C84" w:rsidRPr="00B70B29">
              <w:rPr>
                <w:b/>
              </w:rPr>
              <w:t>WG-</w:t>
            </w:r>
            <w:r w:rsidR="000F6AB8" w:rsidRPr="00B70B29">
              <w:rPr>
                <w:b/>
              </w:rPr>
              <w:t>FHR</w:t>
            </w:r>
            <w:r w:rsidR="00A52C84" w:rsidRPr="00B70B29">
              <w:rPr>
                <w:b/>
              </w:rPr>
              <w:t>-</w:t>
            </w:r>
            <w:r w:rsidR="00AC61DD" w:rsidRPr="00B70B29">
              <w:rPr>
                <w:b/>
              </w:rPr>
              <w:t>21</w:t>
            </w:r>
            <w:r w:rsidR="00301AEE" w:rsidRPr="00B70B29">
              <w:rPr>
                <w:b/>
              </w:rPr>
              <w:t>/</w:t>
            </w:r>
            <w:r w:rsidR="00F03FDC" w:rsidRPr="00B70B29">
              <w:rPr>
                <w:b/>
              </w:rPr>
              <w:t>4</w:t>
            </w:r>
          </w:p>
        </w:tc>
      </w:tr>
      <w:tr w:rsidR="00AD3606" w:rsidRPr="00B70B29" w14:paraId="6F6AB1F4" w14:textId="77777777" w:rsidTr="057B3289">
        <w:trPr>
          <w:cantSplit/>
        </w:trPr>
        <w:tc>
          <w:tcPr>
            <w:tcW w:w="3969" w:type="dxa"/>
            <w:vMerge/>
          </w:tcPr>
          <w:p w14:paraId="243B216A" w14:textId="77777777" w:rsidR="00AD3606" w:rsidRPr="00B70B29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B7DAD36" w14:textId="440C7AF5" w:rsidR="00AD3606" w:rsidRPr="00B70B29" w:rsidRDefault="00556015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B70B29">
              <w:rPr>
                <w:b/>
              </w:rPr>
              <w:t>8 August 2025</w:t>
            </w:r>
          </w:p>
        </w:tc>
      </w:tr>
      <w:tr w:rsidR="00AD3606" w:rsidRPr="00B70B29" w14:paraId="15660587" w14:textId="77777777" w:rsidTr="057B3289">
        <w:trPr>
          <w:cantSplit/>
          <w:trHeight w:val="23"/>
        </w:trPr>
        <w:tc>
          <w:tcPr>
            <w:tcW w:w="3969" w:type="dxa"/>
            <w:vMerge/>
          </w:tcPr>
          <w:p w14:paraId="6B39C677" w14:textId="77777777" w:rsidR="00AD3606" w:rsidRPr="00B70B29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227FA191" w14:textId="77777777" w:rsidR="00AD3606" w:rsidRPr="00B70B29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B70B29">
              <w:rPr>
                <w:b/>
              </w:rPr>
              <w:t>English only</w:t>
            </w:r>
          </w:p>
        </w:tc>
      </w:tr>
      <w:tr w:rsidR="00472BAD" w:rsidRPr="00B70B29" w14:paraId="0EF492BD" w14:textId="77777777" w:rsidTr="057B3289">
        <w:trPr>
          <w:cantSplit/>
          <w:trHeight w:val="23"/>
        </w:trPr>
        <w:tc>
          <w:tcPr>
            <w:tcW w:w="3969" w:type="dxa"/>
          </w:tcPr>
          <w:p w14:paraId="05EEDB52" w14:textId="77777777" w:rsidR="00472BAD" w:rsidRPr="00B70B29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7609302" w14:textId="77777777" w:rsidR="00472BAD" w:rsidRPr="00B70B29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B70B29" w14:paraId="4D854B2D" w14:textId="77777777" w:rsidTr="057B328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7AE1C6C" w14:textId="5CE57145" w:rsidR="00AD3606" w:rsidRPr="00B70B29" w:rsidRDefault="000F6AB8" w:rsidP="00E4728B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B70B29">
              <w:t xml:space="preserve">Report by the </w:t>
            </w:r>
            <w:r w:rsidR="004D3B0A" w:rsidRPr="00B70B29">
              <w:t>Secretary-General</w:t>
            </w:r>
          </w:p>
        </w:tc>
      </w:tr>
      <w:tr w:rsidR="00AD3606" w:rsidRPr="00B70B29" w14:paraId="16EB458A" w14:textId="77777777" w:rsidTr="057B328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DA1E56D" w14:textId="648BD805" w:rsidR="00AD3606" w:rsidRPr="00B70B29" w:rsidRDefault="00556015" w:rsidP="00E4728B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 w:rsidRPr="00B70B29">
              <w:rPr>
                <w:rFonts w:asciiTheme="minorHAnsi" w:hAnsiTheme="minorHAnsi" w:cstheme="minorHAnsi"/>
                <w:bCs/>
                <w:szCs w:val="22"/>
              </w:rPr>
              <w:t>INTERIM REPORT ON THE REVIEW OF ITU REGIONAL PRESENCE</w:t>
            </w:r>
          </w:p>
        </w:tc>
      </w:tr>
      <w:tr w:rsidR="00AD3606" w:rsidRPr="00B70B29" w14:paraId="5E1AA971" w14:textId="77777777" w:rsidTr="057B328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AD788C9" w14:textId="77777777" w:rsidR="00AD3606" w:rsidRPr="00B70B29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B70B29">
              <w:rPr>
                <w:b/>
                <w:bCs/>
                <w:sz w:val="26"/>
                <w:szCs w:val="26"/>
              </w:rPr>
              <w:t>Purpose</w:t>
            </w:r>
          </w:p>
          <w:p w14:paraId="19A77611" w14:textId="00BA4649" w:rsidR="00AD3606" w:rsidRPr="00B70B29" w:rsidRDefault="00641FA1" w:rsidP="406F74FA">
            <w:pPr>
              <w:jc w:val="both"/>
            </w:pPr>
            <w:r w:rsidRPr="00B70B29">
              <w:t>This document reports on the</w:t>
            </w:r>
            <w:r w:rsidR="00382A4E" w:rsidRPr="00B70B29">
              <w:t xml:space="preserve"> </w:t>
            </w:r>
            <w:r w:rsidR="001005D2" w:rsidRPr="00B70B29">
              <w:t>progress of</w:t>
            </w:r>
            <w:r w:rsidR="00382A4E" w:rsidRPr="00B70B29">
              <w:t xml:space="preserve"> the</w:t>
            </w:r>
            <w:r w:rsidRPr="00B70B29">
              <w:t xml:space="preserve"> </w:t>
            </w:r>
            <w:r w:rsidR="00E57DF4" w:rsidRPr="00B70B29">
              <w:t xml:space="preserve">review of </w:t>
            </w:r>
            <w:r w:rsidRPr="00B70B29">
              <w:t>ITU Regional Presence</w:t>
            </w:r>
            <w:r w:rsidR="00E57DF4" w:rsidRPr="00B70B29">
              <w:t xml:space="preserve"> that will be carried out per the recommendations from Council-25 </w:t>
            </w:r>
            <w:r w:rsidR="34CC2437" w:rsidRPr="00B70B29">
              <w:t>(Report</w:t>
            </w:r>
            <w:r w:rsidR="00552449" w:rsidRPr="00B70B29">
              <w:t xml:space="preserve"> by the Chair </w:t>
            </w:r>
            <w:r w:rsidR="00C373AD" w:rsidRPr="00B70B29">
              <w:t xml:space="preserve">of the Standing </w:t>
            </w:r>
            <w:r w:rsidR="006027C4" w:rsidRPr="00B70B29">
              <w:t>Committee on Administration and Management,</w:t>
            </w:r>
            <w:r w:rsidR="00556015" w:rsidRPr="00B70B29">
              <w:t xml:space="preserve"> Document</w:t>
            </w:r>
            <w:r w:rsidR="006027C4" w:rsidRPr="00B70B29">
              <w:t xml:space="preserve"> </w:t>
            </w:r>
            <w:hyperlink r:id="rId11">
              <w:proofErr w:type="spellStart"/>
              <w:r w:rsidR="00E57DF4" w:rsidRPr="00B70B29">
                <w:rPr>
                  <w:rStyle w:val="Hyperlink"/>
                </w:rPr>
                <w:t>C2</w:t>
              </w:r>
              <w:r w:rsidR="00556015" w:rsidRPr="00B70B29">
                <w:rPr>
                  <w:rStyle w:val="Hyperlink"/>
                </w:rPr>
                <w:t>5</w:t>
              </w:r>
              <w:proofErr w:type="spellEnd"/>
              <w:r w:rsidR="00977DA3" w:rsidRPr="00B70B29">
                <w:rPr>
                  <w:rStyle w:val="Hyperlink"/>
                </w:rPr>
                <w:t>/1</w:t>
              </w:r>
              <w:r w:rsidR="00E57DF4" w:rsidRPr="00B70B29">
                <w:rPr>
                  <w:rStyle w:val="Hyperlink"/>
                </w:rPr>
                <w:t>05</w:t>
              </w:r>
            </w:hyperlink>
            <w:r w:rsidR="00E57DF4" w:rsidRPr="00B70B29">
              <w:t>, p</w:t>
            </w:r>
            <w:r w:rsidR="00053E19" w:rsidRPr="00B70B29">
              <w:t>ara</w:t>
            </w:r>
            <w:r w:rsidR="00977DA3" w:rsidRPr="00B70B29">
              <w:t>graph</w:t>
            </w:r>
            <w:r w:rsidR="00053E19" w:rsidRPr="00B70B29">
              <w:t xml:space="preserve"> 26,</w:t>
            </w:r>
            <w:r w:rsidR="00E57DF4" w:rsidRPr="00B70B29">
              <w:t xml:space="preserve"> and Annex H)</w:t>
            </w:r>
            <w:r w:rsidRPr="00B70B29">
              <w:t xml:space="preserve">. </w:t>
            </w:r>
          </w:p>
          <w:p w14:paraId="486924FF" w14:textId="77777777" w:rsidR="00AD3606" w:rsidRPr="00B70B29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B70B29">
              <w:rPr>
                <w:b/>
                <w:bCs/>
                <w:sz w:val="26"/>
                <w:szCs w:val="26"/>
              </w:rPr>
              <w:t>Action required</w:t>
            </w:r>
          </w:p>
          <w:p w14:paraId="04BD14AB" w14:textId="2DEAA7D9" w:rsidR="0025570E" w:rsidRPr="00B70B29" w:rsidRDefault="000F6AB8" w:rsidP="000F6AB8">
            <w:pPr>
              <w:spacing w:before="160"/>
            </w:pPr>
            <w:r w:rsidRPr="00B70B29">
              <w:t xml:space="preserve">The Council Working Group on financial and human resources is invited to </w:t>
            </w:r>
            <w:r w:rsidR="00FA0C0A" w:rsidRPr="00B70B29">
              <w:rPr>
                <w:b/>
                <w:bCs/>
              </w:rPr>
              <w:t xml:space="preserve">note </w:t>
            </w:r>
            <w:r w:rsidR="00FA0C0A" w:rsidRPr="00B70B29">
              <w:t>this document</w:t>
            </w:r>
            <w:r w:rsidRPr="00B70B29">
              <w:t>.</w:t>
            </w:r>
          </w:p>
          <w:p w14:paraId="64CEA947" w14:textId="77777777" w:rsidR="00AD3606" w:rsidRPr="00B70B29" w:rsidRDefault="00CD3C91" w:rsidP="00CD3C91">
            <w:r w:rsidRPr="00B70B29">
              <w:t>_______________</w:t>
            </w:r>
          </w:p>
          <w:p w14:paraId="6740FBBB" w14:textId="77777777" w:rsidR="00AD3606" w:rsidRPr="00B70B29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B70B29">
              <w:rPr>
                <w:b/>
                <w:bCs/>
                <w:sz w:val="26"/>
                <w:szCs w:val="26"/>
              </w:rPr>
              <w:t>References</w:t>
            </w:r>
            <w:r w:rsidR="00301AEE" w:rsidRPr="00B70B29">
              <w:rPr>
                <w:b/>
                <w:bCs/>
                <w:sz w:val="26"/>
                <w:szCs w:val="26"/>
              </w:rPr>
              <w:t xml:space="preserve"> </w:t>
            </w:r>
          </w:p>
          <w:p w14:paraId="43062733" w14:textId="4718333E" w:rsidR="00071E4C" w:rsidRPr="00B70B29" w:rsidRDefault="00FA0C0A" w:rsidP="00F16BAB">
            <w:pPr>
              <w:spacing w:after="160"/>
              <w:rPr>
                <w:rFonts w:eastAsia="Calibri" w:cs="Calibri"/>
                <w:i/>
                <w:iCs/>
                <w:color w:val="0563C1"/>
                <w:sz w:val="22"/>
                <w:szCs w:val="22"/>
                <w:u w:val="single"/>
              </w:rPr>
            </w:pPr>
            <w:hyperlink r:id="rId12" w:history="1">
              <w:r w:rsidRPr="00B70B29">
                <w:rPr>
                  <w:rStyle w:val="Hyperlink"/>
                  <w:i/>
                  <w:iCs/>
                  <w:sz w:val="22"/>
                  <w:szCs w:val="22"/>
                </w:rPr>
                <w:t>Resolution 25 (Rev. Bucharest, 2022)</w:t>
              </w:r>
            </w:hyperlink>
            <w:r w:rsidRPr="00B70B29">
              <w:rPr>
                <w:i/>
                <w:iCs/>
                <w:sz w:val="22"/>
                <w:szCs w:val="22"/>
              </w:rPr>
              <w:t xml:space="preserve"> of the Plenipotentiary Conference; Council Documents: </w:t>
            </w:r>
            <w:hyperlink r:id="rId13" w:history="1">
              <w:proofErr w:type="spellStart"/>
              <w:r w:rsidRPr="00B70B29">
                <w:rPr>
                  <w:rStyle w:val="Hyperlink"/>
                  <w:i/>
                  <w:iCs/>
                  <w:sz w:val="22"/>
                  <w:szCs w:val="22"/>
                </w:rPr>
                <w:t>C25</w:t>
              </w:r>
              <w:proofErr w:type="spellEnd"/>
              <w:r w:rsidRPr="00B70B29">
                <w:rPr>
                  <w:rStyle w:val="Hyperlink"/>
                  <w:i/>
                  <w:iCs/>
                  <w:sz w:val="22"/>
                  <w:szCs w:val="22"/>
                </w:rPr>
                <w:t>/25</w:t>
              </w:r>
            </w:hyperlink>
            <w:r w:rsidRPr="00B70B29">
              <w:rPr>
                <w:i/>
                <w:iCs/>
                <w:sz w:val="22"/>
                <w:szCs w:val="22"/>
              </w:rPr>
              <w:t>;</w:t>
            </w:r>
            <w:r w:rsidR="00724FB0" w:rsidRPr="00B70B29">
              <w:rPr>
                <w:i/>
                <w:iCs/>
                <w:sz w:val="22"/>
                <w:szCs w:val="22"/>
              </w:rPr>
              <w:t xml:space="preserve"> </w:t>
            </w:r>
            <w:hyperlink r:id="rId14" w:history="1">
              <w:proofErr w:type="spellStart"/>
              <w:r w:rsidR="00724FB0" w:rsidRPr="00B70B29">
                <w:rPr>
                  <w:rStyle w:val="Hyperlink"/>
                  <w:i/>
                  <w:iCs/>
                  <w:sz w:val="22"/>
                  <w:szCs w:val="22"/>
                </w:rPr>
                <w:t>C25</w:t>
              </w:r>
              <w:proofErr w:type="spellEnd"/>
              <w:r w:rsidR="00724FB0" w:rsidRPr="00B70B29">
                <w:rPr>
                  <w:rStyle w:val="Hyperlink"/>
                  <w:i/>
                  <w:iCs/>
                  <w:sz w:val="22"/>
                  <w:szCs w:val="22"/>
                </w:rPr>
                <w:t>/50</w:t>
              </w:r>
            </w:hyperlink>
            <w:r w:rsidR="001B3F03" w:rsidRPr="00B70B29">
              <w:rPr>
                <w:i/>
                <w:iCs/>
                <w:sz w:val="22"/>
                <w:szCs w:val="22"/>
              </w:rPr>
              <w:t>;</w:t>
            </w:r>
            <w:hyperlink r:id="rId15" w:history="1">
              <w:r w:rsidR="00071E4C" w:rsidRPr="00B70B29">
                <w:rPr>
                  <w:rStyle w:val="Hyperlink"/>
                  <w:i/>
                  <w:iCs/>
                  <w:sz w:val="22"/>
                  <w:szCs w:val="22"/>
                </w:rPr>
                <w:t xml:space="preserve"> </w:t>
              </w:r>
              <w:proofErr w:type="spellStart"/>
              <w:r w:rsidR="00071E4C" w:rsidRPr="00B70B29">
                <w:rPr>
                  <w:rStyle w:val="Hyperlink"/>
                  <w:i/>
                  <w:iCs/>
                  <w:sz w:val="22"/>
                  <w:szCs w:val="22"/>
                </w:rPr>
                <w:t>C25</w:t>
              </w:r>
              <w:proofErr w:type="spellEnd"/>
              <w:r w:rsidR="00071E4C" w:rsidRPr="00B70B29">
                <w:rPr>
                  <w:rStyle w:val="Hyperlink"/>
                  <w:i/>
                  <w:iCs/>
                  <w:sz w:val="22"/>
                  <w:szCs w:val="22"/>
                </w:rPr>
                <w:t>/105</w:t>
              </w:r>
            </w:hyperlink>
            <w:r w:rsidR="00071E4C" w:rsidRPr="00B70B29">
              <w:rPr>
                <w:i/>
                <w:iCs/>
                <w:sz w:val="22"/>
                <w:szCs w:val="22"/>
              </w:rPr>
              <w:t xml:space="preserve"> (</w:t>
            </w:r>
            <w:r w:rsidR="00382A4E" w:rsidRPr="00B70B29">
              <w:rPr>
                <w:i/>
                <w:iCs/>
                <w:sz w:val="22"/>
                <w:szCs w:val="22"/>
              </w:rPr>
              <w:t>page</w:t>
            </w:r>
            <w:r w:rsidR="00071E4C" w:rsidRPr="00B70B29">
              <w:rPr>
                <w:i/>
                <w:iCs/>
                <w:sz w:val="22"/>
                <w:szCs w:val="22"/>
              </w:rPr>
              <w:t xml:space="preserve"> 33</w:t>
            </w:r>
            <w:r w:rsidR="00E57DF4" w:rsidRPr="00B70B29">
              <w:rPr>
                <w:i/>
                <w:iCs/>
                <w:sz w:val="22"/>
                <w:szCs w:val="22"/>
              </w:rPr>
              <w:t xml:space="preserve"> and Annex H</w:t>
            </w:r>
            <w:r w:rsidR="00071E4C" w:rsidRPr="00B70B29">
              <w:rPr>
                <w:i/>
                <w:iCs/>
                <w:sz w:val="22"/>
                <w:szCs w:val="22"/>
              </w:rPr>
              <w:t>)</w:t>
            </w:r>
            <w:r w:rsidR="00E57DF4" w:rsidRPr="00B70B29">
              <w:rPr>
                <w:i/>
                <w:iCs/>
                <w:sz w:val="22"/>
                <w:szCs w:val="22"/>
              </w:rPr>
              <w:t>;</w:t>
            </w:r>
            <w:r w:rsidR="00071E4C" w:rsidRPr="00B70B29">
              <w:rPr>
                <w:i/>
                <w:iCs/>
                <w:sz w:val="22"/>
                <w:szCs w:val="22"/>
              </w:rPr>
              <w:t xml:space="preserve"> </w:t>
            </w:r>
            <w:hyperlink r:id="rId16" w:history="1">
              <w:proofErr w:type="spellStart"/>
              <w:r w:rsidR="00071E4C" w:rsidRPr="00B70B29">
                <w:rPr>
                  <w:rStyle w:val="Hyperlink"/>
                  <w:i/>
                  <w:iCs/>
                  <w:sz w:val="22"/>
                  <w:szCs w:val="22"/>
                </w:rPr>
                <w:t>C25</w:t>
              </w:r>
              <w:proofErr w:type="spellEnd"/>
              <w:r w:rsidR="00071E4C" w:rsidRPr="00B70B29">
                <w:rPr>
                  <w:rStyle w:val="Hyperlink"/>
                  <w:i/>
                  <w:iCs/>
                  <w:sz w:val="22"/>
                  <w:szCs w:val="22"/>
                </w:rPr>
                <w:t>/69(</w:t>
              </w:r>
              <w:proofErr w:type="spellStart"/>
              <w:r w:rsidR="00071E4C" w:rsidRPr="00B70B29">
                <w:rPr>
                  <w:rStyle w:val="Hyperlink"/>
                  <w:i/>
                  <w:iCs/>
                  <w:sz w:val="22"/>
                  <w:szCs w:val="22"/>
                </w:rPr>
                <w:t>Rev.1</w:t>
              </w:r>
              <w:proofErr w:type="spellEnd"/>
              <w:r w:rsidR="00071E4C" w:rsidRPr="00B70B29">
                <w:rPr>
                  <w:rStyle w:val="Hyperlink"/>
                  <w:i/>
                  <w:iCs/>
                  <w:sz w:val="22"/>
                  <w:szCs w:val="22"/>
                </w:rPr>
                <w:t>)</w:t>
              </w:r>
            </w:hyperlink>
            <w:r w:rsidR="00556015" w:rsidRPr="00B70B29">
              <w:t>.</w:t>
            </w:r>
          </w:p>
        </w:tc>
      </w:tr>
    </w:tbl>
    <w:p w14:paraId="09365793" w14:textId="77777777" w:rsidR="0090147A" w:rsidRPr="00B70B29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bookmarkStart w:id="10" w:name="_Hlk133421428"/>
      <w:bookmarkEnd w:id="2"/>
      <w:bookmarkEnd w:id="3"/>
      <w:bookmarkEnd w:id="4"/>
      <w:bookmarkEnd w:id="9"/>
      <w:r w:rsidRPr="00B70B29">
        <w:br w:type="page"/>
      </w:r>
    </w:p>
    <w:bookmarkEnd w:id="5"/>
    <w:bookmarkEnd w:id="10"/>
    <w:p w14:paraId="60D9876F" w14:textId="125446BC" w:rsidR="00F44371" w:rsidRPr="00B70B29" w:rsidRDefault="008F29A7" w:rsidP="009519D0">
      <w:pPr>
        <w:pStyle w:val="Heading1"/>
      </w:pPr>
      <w:r w:rsidRPr="00B70B29">
        <w:lastRenderedPageBreak/>
        <w:t>1</w:t>
      </w:r>
      <w:r w:rsidRPr="00B70B29">
        <w:tab/>
      </w:r>
      <w:r w:rsidR="00C6000C" w:rsidRPr="00B70B29">
        <w:t>Background</w:t>
      </w:r>
    </w:p>
    <w:p w14:paraId="40984AB5" w14:textId="3FE5D127" w:rsidR="00C6000C" w:rsidRPr="00B70B29" w:rsidRDefault="00E57DF4" w:rsidP="00890DEA">
      <w:pPr>
        <w:jc w:val="both"/>
      </w:pPr>
      <w:r w:rsidRPr="00B70B29">
        <w:t>At its 19</w:t>
      </w:r>
      <w:r w:rsidRPr="00B70B29">
        <w:rPr>
          <w:vertAlign w:val="superscript"/>
        </w:rPr>
        <w:t>th</w:t>
      </w:r>
      <w:r w:rsidR="00382A4E" w:rsidRPr="00B70B29">
        <w:t xml:space="preserve"> </w:t>
      </w:r>
      <w:r w:rsidRPr="00B70B29">
        <w:t>meeting (30 September</w:t>
      </w:r>
      <w:r w:rsidR="002C009C" w:rsidRPr="00B70B29">
        <w:t xml:space="preserve"> </w:t>
      </w:r>
      <w:r w:rsidRPr="00B70B29">
        <w:t>–</w:t>
      </w:r>
      <w:r w:rsidR="002C009C" w:rsidRPr="00B70B29">
        <w:t xml:space="preserve"> </w:t>
      </w:r>
      <w:r w:rsidRPr="00B70B29">
        <w:t>11 October 2024), the Council Working Group on Financial and Human Resources (CWG-FHR) established an Online Correspondence Group (</w:t>
      </w:r>
      <w:proofErr w:type="spellStart"/>
      <w:r w:rsidRPr="00B70B29">
        <w:t>OCG</w:t>
      </w:r>
      <w:proofErr w:type="spellEnd"/>
      <w:r w:rsidRPr="00B70B29">
        <w:t>) to draft Terms of Reference (</w:t>
      </w:r>
      <w:proofErr w:type="spellStart"/>
      <w:r w:rsidRPr="00B70B29">
        <w:t>ToR</w:t>
      </w:r>
      <w:proofErr w:type="spellEnd"/>
      <w:r w:rsidRPr="00B70B29">
        <w:t xml:space="preserve">) for reviewing ITU’s regional presence. The revised </w:t>
      </w:r>
      <w:proofErr w:type="spellStart"/>
      <w:r w:rsidRPr="00B70B29">
        <w:t>ToR</w:t>
      </w:r>
      <w:proofErr w:type="spellEnd"/>
      <w:r w:rsidRPr="00B70B29" w:rsidDel="00AA1943">
        <w:t xml:space="preserve"> </w:t>
      </w:r>
      <w:r w:rsidR="00AA1943" w:rsidRPr="00B70B29">
        <w:t xml:space="preserve">were </w:t>
      </w:r>
      <w:r w:rsidRPr="00B70B29">
        <w:t>reviewed at the 20</w:t>
      </w:r>
      <w:r w:rsidRPr="00B70B29">
        <w:rPr>
          <w:vertAlign w:val="superscript"/>
        </w:rPr>
        <w:t>th</w:t>
      </w:r>
      <w:r w:rsidR="00382A4E" w:rsidRPr="00B70B29">
        <w:t xml:space="preserve"> </w:t>
      </w:r>
      <w:r w:rsidRPr="00B70B29">
        <w:t xml:space="preserve">meeting </w:t>
      </w:r>
      <w:r w:rsidR="003D568A" w:rsidRPr="00B70B29">
        <w:t xml:space="preserve">of the CWG-FHR </w:t>
      </w:r>
      <w:r w:rsidRPr="00B70B29">
        <w:t>(10</w:t>
      </w:r>
      <w:r w:rsidR="002C009C" w:rsidRPr="00B70B29">
        <w:t>-</w:t>
      </w:r>
      <w:r w:rsidRPr="00B70B29">
        <w:t>21 February 2025). T</w:t>
      </w:r>
      <w:r w:rsidR="00112322" w:rsidRPr="00B70B29">
        <w:t>hese meeting</w:t>
      </w:r>
      <w:r w:rsidRPr="00B70B29">
        <w:t xml:space="preserve"> report</w:t>
      </w:r>
      <w:r w:rsidR="00112322" w:rsidRPr="00B70B29">
        <w:t xml:space="preserve">s </w:t>
      </w:r>
      <w:r w:rsidR="00071E4C" w:rsidRPr="00B70B29">
        <w:t xml:space="preserve">are available at </w:t>
      </w:r>
      <w:r w:rsidR="002C009C" w:rsidRPr="00B70B29">
        <w:t xml:space="preserve">Documents </w:t>
      </w:r>
      <w:hyperlink r:id="rId17" w:history="1">
        <w:r w:rsidR="00112322" w:rsidRPr="00B70B29">
          <w:rPr>
            <w:rStyle w:val="Hyperlink"/>
            <w:szCs w:val="24"/>
          </w:rPr>
          <w:t>CWG</w:t>
        </w:r>
        <w:r w:rsidR="00112322" w:rsidRPr="00B70B29">
          <w:rPr>
            <w:rStyle w:val="Hyperlink"/>
            <w:szCs w:val="24"/>
          </w:rPr>
          <w:noBreakHyphen/>
          <w:t>FHR-19/15</w:t>
        </w:r>
      </w:hyperlink>
      <w:r w:rsidR="00112322" w:rsidRPr="00B70B29">
        <w:t xml:space="preserve"> </w:t>
      </w:r>
      <w:bookmarkStart w:id="11" w:name="_Int_2nb8iWVd"/>
      <w:r w:rsidR="00112322" w:rsidRPr="00B70B29">
        <w:t>and</w:t>
      </w:r>
      <w:bookmarkEnd w:id="11"/>
      <w:r w:rsidR="00112322" w:rsidRPr="00B70B29">
        <w:t xml:space="preserve"> </w:t>
      </w:r>
      <w:hyperlink r:id="rId18" w:history="1">
        <w:r w:rsidR="00112322" w:rsidRPr="00B70B29">
          <w:rPr>
            <w:rStyle w:val="Hyperlink"/>
            <w:szCs w:val="24"/>
          </w:rPr>
          <w:t>CWG-FHR-20/32</w:t>
        </w:r>
      </w:hyperlink>
      <w:r w:rsidR="00112322" w:rsidRPr="00B70B29">
        <w:t>.</w:t>
      </w:r>
    </w:p>
    <w:p w14:paraId="6EF2BABD" w14:textId="7B867277" w:rsidR="00382A4E" w:rsidRPr="00B70B29" w:rsidRDefault="00C6000C" w:rsidP="00890DEA">
      <w:pPr>
        <w:jc w:val="both"/>
        <w:rPr>
          <w:szCs w:val="24"/>
        </w:rPr>
      </w:pPr>
      <w:r w:rsidRPr="00B70B29">
        <w:rPr>
          <w:szCs w:val="24"/>
        </w:rPr>
        <w:t xml:space="preserve">The </w:t>
      </w:r>
      <w:proofErr w:type="spellStart"/>
      <w:r w:rsidRPr="00B70B29">
        <w:rPr>
          <w:szCs w:val="24"/>
        </w:rPr>
        <w:t>ToR</w:t>
      </w:r>
      <w:proofErr w:type="spellEnd"/>
      <w:r w:rsidRPr="00B70B29" w:rsidDel="003C5BE6">
        <w:rPr>
          <w:szCs w:val="24"/>
        </w:rPr>
        <w:t xml:space="preserve"> </w:t>
      </w:r>
      <w:r w:rsidR="003C5BE6" w:rsidRPr="00B70B29">
        <w:t>were</w:t>
      </w:r>
      <w:r w:rsidR="003C5BE6" w:rsidRPr="00B70B29">
        <w:rPr>
          <w:szCs w:val="24"/>
        </w:rPr>
        <w:t xml:space="preserve"> </w:t>
      </w:r>
      <w:r w:rsidR="00E57DF4" w:rsidRPr="00B70B29">
        <w:rPr>
          <w:szCs w:val="24"/>
        </w:rPr>
        <w:t xml:space="preserve">subsequently </w:t>
      </w:r>
      <w:r w:rsidRPr="00B70B29">
        <w:rPr>
          <w:szCs w:val="24"/>
        </w:rPr>
        <w:t>submitted for the consideration of Council-25 (</w:t>
      </w:r>
      <w:r w:rsidR="002C009C" w:rsidRPr="00B70B29">
        <w:rPr>
          <w:szCs w:val="24"/>
        </w:rPr>
        <w:t xml:space="preserve">Document </w:t>
      </w:r>
      <w:hyperlink r:id="rId19" w:history="1">
        <w:proofErr w:type="spellStart"/>
        <w:r w:rsidRPr="00B70B29">
          <w:rPr>
            <w:rStyle w:val="Hyperlink"/>
            <w:szCs w:val="24"/>
          </w:rPr>
          <w:t>C25</w:t>
        </w:r>
        <w:proofErr w:type="spellEnd"/>
        <w:r w:rsidRPr="00B70B29">
          <w:rPr>
            <w:rStyle w:val="Hyperlink"/>
            <w:szCs w:val="24"/>
          </w:rPr>
          <w:t>/50</w:t>
        </w:r>
      </w:hyperlink>
      <w:r w:rsidR="00A16028" w:rsidRPr="00B70B29">
        <w:rPr>
          <w:szCs w:val="24"/>
        </w:rPr>
        <w:t>, Annex A</w:t>
      </w:r>
      <w:r w:rsidRPr="00B70B29">
        <w:rPr>
          <w:szCs w:val="24"/>
        </w:rPr>
        <w:t>).</w:t>
      </w:r>
      <w:r w:rsidR="00724FB0" w:rsidRPr="00B70B29">
        <w:rPr>
          <w:szCs w:val="24"/>
        </w:rPr>
        <w:t xml:space="preserve"> </w:t>
      </w:r>
      <w:r w:rsidR="00382A4E" w:rsidRPr="00B70B29">
        <w:rPr>
          <w:szCs w:val="24"/>
        </w:rPr>
        <w:t>After some</w:t>
      </w:r>
      <w:r w:rsidR="00E57DF4" w:rsidRPr="00B70B29">
        <w:rPr>
          <w:szCs w:val="24"/>
        </w:rPr>
        <w:t xml:space="preserve"> deliberation, </w:t>
      </w:r>
      <w:r w:rsidR="00112322" w:rsidRPr="00B70B29">
        <w:rPr>
          <w:szCs w:val="24"/>
        </w:rPr>
        <w:t xml:space="preserve">Council-25 </w:t>
      </w:r>
      <w:r w:rsidR="00382A4E" w:rsidRPr="00B70B29">
        <w:rPr>
          <w:szCs w:val="24"/>
        </w:rPr>
        <w:t xml:space="preserve">provided </w:t>
      </w:r>
      <w:r w:rsidR="008F1B4A" w:rsidRPr="00B70B29">
        <w:rPr>
          <w:szCs w:val="24"/>
        </w:rPr>
        <w:t xml:space="preserve">the following </w:t>
      </w:r>
      <w:r w:rsidR="0051288D" w:rsidRPr="00B70B29">
        <w:rPr>
          <w:szCs w:val="24"/>
        </w:rPr>
        <w:t xml:space="preserve">instructions </w:t>
      </w:r>
      <w:r w:rsidR="0023638D" w:rsidRPr="00B70B29">
        <w:rPr>
          <w:szCs w:val="24"/>
        </w:rPr>
        <w:t xml:space="preserve">to </w:t>
      </w:r>
      <w:r w:rsidR="00382A4E" w:rsidRPr="00B70B29">
        <w:rPr>
          <w:szCs w:val="24"/>
        </w:rPr>
        <w:t xml:space="preserve">the </w:t>
      </w:r>
      <w:r w:rsidR="00D90120" w:rsidRPr="00B70B29">
        <w:rPr>
          <w:szCs w:val="24"/>
        </w:rPr>
        <w:t>I</w:t>
      </w:r>
      <w:r w:rsidR="0051288D" w:rsidRPr="00B70B29">
        <w:rPr>
          <w:szCs w:val="24"/>
        </w:rPr>
        <w:t xml:space="preserve">TU </w:t>
      </w:r>
      <w:r w:rsidR="0023638D" w:rsidRPr="00B70B29">
        <w:rPr>
          <w:szCs w:val="24"/>
        </w:rPr>
        <w:t>S</w:t>
      </w:r>
      <w:r w:rsidR="0051288D" w:rsidRPr="00B70B29">
        <w:rPr>
          <w:szCs w:val="24"/>
        </w:rPr>
        <w:t xml:space="preserve">ecretariat </w:t>
      </w:r>
      <w:r w:rsidR="00D90120" w:rsidRPr="00B70B29">
        <w:rPr>
          <w:szCs w:val="24"/>
        </w:rPr>
        <w:t>in accordance with</w:t>
      </w:r>
      <w:r w:rsidR="002C009C" w:rsidRPr="00B70B29">
        <w:rPr>
          <w:szCs w:val="24"/>
        </w:rPr>
        <w:t xml:space="preserve"> Document</w:t>
      </w:r>
      <w:r w:rsidR="00D90120" w:rsidRPr="00B70B29">
        <w:rPr>
          <w:szCs w:val="24"/>
        </w:rPr>
        <w:t xml:space="preserve"> </w:t>
      </w:r>
      <w:hyperlink r:id="rId20" w:history="1">
        <w:proofErr w:type="spellStart"/>
        <w:r w:rsidR="00E57DF4" w:rsidRPr="00B70B29">
          <w:rPr>
            <w:rStyle w:val="Hyperlink"/>
            <w:szCs w:val="24"/>
          </w:rPr>
          <w:t>C25</w:t>
        </w:r>
        <w:proofErr w:type="spellEnd"/>
        <w:r w:rsidR="00E57DF4" w:rsidRPr="00B70B29">
          <w:rPr>
            <w:rStyle w:val="Hyperlink"/>
            <w:szCs w:val="24"/>
          </w:rPr>
          <w:t>/105</w:t>
        </w:r>
      </w:hyperlink>
      <w:r w:rsidR="00E57DF4" w:rsidRPr="00B70B29">
        <w:rPr>
          <w:szCs w:val="24"/>
        </w:rPr>
        <w:t xml:space="preserve"> (pa</w:t>
      </w:r>
      <w:r w:rsidR="00EC1B35" w:rsidRPr="00B70B29">
        <w:rPr>
          <w:szCs w:val="24"/>
        </w:rPr>
        <w:t>ragraph 26</w:t>
      </w:r>
      <w:r w:rsidR="0054380F" w:rsidRPr="00B70B29">
        <w:rPr>
          <w:szCs w:val="24"/>
        </w:rPr>
        <w:t>,</w:t>
      </w:r>
      <w:r w:rsidR="00E57DF4" w:rsidRPr="00B70B29">
        <w:rPr>
          <w:szCs w:val="24"/>
        </w:rPr>
        <w:t xml:space="preserve"> </w:t>
      </w:r>
      <w:r w:rsidR="0054380F" w:rsidRPr="00B70B29">
        <w:rPr>
          <w:szCs w:val="24"/>
        </w:rPr>
        <w:t>Annexe H, Annex A and Annex 1</w:t>
      </w:r>
      <w:r w:rsidR="00E57DF4" w:rsidRPr="00B70B29">
        <w:rPr>
          <w:szCs w:val="24"/>
        </w:rPr>
        <w:t xml:space="preserve">), </w:t>
      </w:r>
      <w:r w:rsidR="00D90120" w:rsidRPr="00B70B29">
        <w:rPr>
          <w:szCs w:val="24"/>
        </w:rPr>
        <w:t>considering</w:t>
      </w:r>
      <w:r w:rsidR="0051288D" w:rsidRPr="00B70B29">
        <w:rPr>
          <w:szCs w:val="24"/>
        </w:rPr>
        <w:t xml:space="preserve"> the Secretariat’s Inception Report in </w:t>
      </w:r>
      <w:r w:rsidR="009519D0" w:rsidRPr="00B70B29">
        <w:rPr>
          <w:szCs w:val="24"/>
        </w:rPr>
        <w:t>D</w:t>
      </w:r>
      <w:r w:rsidR="0051288D" w:rsidRPr="00B70B29">
        <w:rPr>
          <w:szCs w:val="24"/>
        </w:rPr>
        <w:t xml:space="preserve">ocument </w:t>
      </w:r>
      <w:hyperlink r:id="rId21" w:history="1">
        <w:proofErr w:type="spellStart"/>
        <w:r w:rsidR="0051288D" w:rsidRPr="00B70B29">
          <w:rPr>
            <w:rStyle w:val="Hyperlink"/>
            <w:szCs w:val="24"/>
          </w:rPr>
          <w:t>C25</w:t>
        </w:r>
        <w:proofErr w:type="spellEnd"/>
        <w:r w:rsidR="0051288D" w:rsidRPr="00B70B29">
          <w:rPr>
            <w:rStyle w:val="Hyperlink"/>
            <w:szCs w:val="24"/>
          </w:rPr>
          <w:t>/69(</w:t>
        </w:r>
        <w:proofErr w:type="spellStart"/>
        <w:r w:rsidR="0051288D" w:rsidRPr="00B70B29">
          <w:rPr>
            <w:rStyle w:val="Hyperlink"/>
            <w:szCs w:val="24"/>
          </w:rPr>
          <w:t>Rev.1</w:t>
        </w:r>
        <w:proofErr w:type="spellEnd"/>
        <w:r w:rsidR="0051288D" w:rsidRPr="00B70B29">
          <w:rPr>
            <w:rStyle w:val="Hyperlink"/>
            <w:szCs w:val="24"/>
          </w:rPr>
          <w:t>)</w:t>
        </w:r>
      </w:hyperlink>
      <w:r w:rsidR="00382A4E" w:rsidRPr="00B70B29">
        <w:rPr>
          <w:szCs w:val="24"/>
        </w:rPr>
        <w:t>:</w:t>
      </w:r>
    </w:p>
    <w:p w14:paraId="3822489A" w14:textId="729CDD73" w:rsidR="0051288D" w:rsidRPr="00B70B29" w:rsidRDefault="008F29A7" w:rsidP="00890DEA">
      <w:pPr>
        <w:pStyle w:val="enumlev1"/>
        <w:jc w:val="both"/>
      </w:pPr>
      <w:r w:rsidRPr="00B70B29">
        <w:rPr>
          <w:i/>
          <w:iCs/>
        </w:rPr>
        <w:t>a)</w:t>
      </w:r>
      <w:r w:rsidRPr="00B70B29">
        <w:tab/>
      </w:r>
      <w:r w:rsidR="0051288D" w:rsidRPr="00B70B29">
        <w:t xml:space="preserve">The review of ITU’s Regional Presence will be conducted by the Secretary-General and supported by the Inter-Sectoral Task Force comprising </w:t>
      </w:r>
      <w:r w:rsidR="0054288B" w:rsidRPr="00B70B29">
        <w:t xml:space="preserve">the Directors of three Bureaux and their nominees, and ITU Regional Directors, and will be chaired by the </w:t>
      </w:r>
      <w:r w:rsidR="0051288D" w:rsidRPr="00B70B29">
        <w:t xml:space="preserve">ITU Deputy Secretary General. </w:t>
      </w:r>
    </w:p>
    <w:p w14:paraId="164813FD" w14:textId="45324C77" w:rsidR="0051288D" w:rsidRPr="00B70B29" w:rsidRDefault="008F29A7" w:rsidP="00890DEA">
      <w:pPr>
        <w:pStyle w:val="enumlev1"/>
        <w:jc w:val="both"/>
        <w:rPr>
          <w:szCs w:val="24"/>
        </w:rPr>
      </w:pPr>
      <w:r w:rsidRPr="00B70B29">
        <w:rPr>
          <w:i/>
          <w:iCs/>
          <w:szCs w:val="24"/>
        </w:rPr>
        <w:t>b)</w:t>
      </w:r>
      <w:r w:rsidRPr="00B70B29">
        <w:rPr>
          <w:szCs w:val="24"/>
        </w:rPr>
        <w:tab/>
      </w:r>
      <w:r w:rsidR="0051288D" w:rsidRPr="00B70B29">
        <w:rPr>
          <w:szCs w:val="24"/>
        </w:rPr>
        <w:t xml:space="preserve">The review will be </w:t>
      </w:r>
      <w:r w:rsidR="0051288D" w:rsidRPr="00B70B29">
        <w:t>conducted</w:t>
      </w:r>
      <w:r w:rsidR="0051288D" w:rsidRPr="00B70B29">
        <w:rPr>
          <w:szCs w:val="24"/>
        </w:rPr>
        <w:t xml:space="preserve"> within the approved ITU budget and existing human resources of the ITU. No external consultancy will be engaged.</w:t>
      </w:r>
    </w:p>
    <w:p w14:paraId="663394CB" w14:textId="2AF2F1C8" w:rsidR="0051288D" w:rsidRPr="00B70B29" w:rsidRDefault="008F29A7" w:rsidP="00890DEA">
      <w:pPr>
        <w:pStyle w:val="enumlev1"/>
        <w:jc w:val="both"/>
        <w:rPr>
          <w:szCs w:val="24"/>
        </w:rPr>
      </w:pPr>
      <w:r w:rsidRPr="00B70B29">
        <w:rPr>
          <w:i/>
          <w:iCs/>
          <w:szCs w:val="24"/>
        </w:rPr>
        <w:t>c)</w:t>
      </w:r>
      <w:r w:rsidRPr="00B70B29">
        <w:rPr>
          <w:szCs w:val="24"/>
        </w:rPr>
        <w:tab/>
      </w:r>
      <w:r w:rsidR="0051288D" w:rsidRPr="00B70B29">
        <w:rPr>
          <w:szCs w:val="24"/>
        </w:rPr>
        <w:t>The Inter-</w:t>
      </w:r>
      <w:r w:rsidR="0051288D" w:rsidRPr="00B70B29">
        <w:t>Sectoral</w:t>
      </w:r>
      <w:r w:rsidR="0051288D" w:rsidRPr="00B70B29">
        <w:rPr>
          <w:szCs w:val="24"/>
        </w:rPr>
        <w:t xml:space="preserve"> Task Force will mainly rely on the input by BDT throughout the review. BDT shall be responsible for conducting Phase 2</w:t>
      </w:r>
      <w:r w:rsidR="00D26BB6" w:rsidRPr="00B70B29">
        <w:rPr>
          <w:szCs w:val="24"/>
        </w:rPr>
        <w:t xml:space="preserve"> (</w:t>
      </w:r>
      <w:r w:rsidR="00B45F18" w:rsidRPr="00B70B29">
        <w:rPr>
          <w:szCs w:val="24"/>
        </w:rPr>
        <w:t xml:space="preserve">Data </w:t>
      </w:r>
      <w:r w:rsidR="0051288D" w:rsidRPr="00B70B29">
        <w:rPr>
          <w:szCs w:val="24"/>
        </w:rPr>
        <w:t>collection</w:t>
      </w:r>
      <w:r w:rsidR="00B45F18" w:rsidRPr="00B70B29">
        <w:rPr>
          <w:szCs w:val="24"/>
        </w:rPr>
        <w:t xml:space="preserve"> </w:t>
      </w:r>
      <w:r w:rsidR="0051288D" w:rsidRPr="00B70B29">
        <w:rPr>
          <w:szCs w:val="24"/>
        </w:rPr>
        <w:t>and initial analysis</w:t>
      </w:r>
      <w:r w:rsidR="00D26BB6" w:rsidRPr="00B70B29">
        <w:rPr>
          <w:szCs w:val="24"/>
        </w:rPr>
        <w:t>)</w:t>
      </w:r>
      <w:r w:rsidR="0051288D" w:rsidRPr="00B70B29">
        <w:rPr>
          <w:szCs w:val="24"/>
        </w:rPr>
        <w:t xml:space="preserve"> of the review</w:t>
      </w:r>
      <w:r w:rsidR="00A130C6" w:rsidRPr="00B70B29">
        <w:rPr>
          <w:szCs w:val="24"/>
        </w:rPr>
        <w:t xml:space="preserve"> (see </w:t>
      </w:r>
      <w:r w:rsidR="00B502F8" w:rsidRPr="00B70B29">
        <w:rPr>
          <w:szCs w:val="24"/>
        </w:rPr>
        <w:t xml:space="preserve">Section 3 below </w:t>
      </w:r>
      <w:r w:rsidR="009604EB" w:rsidRPr="00B70B29">
        <w:rPr>
          <w:szCs w:val="24"/>
        </w:rPr>
        <w:t xml:space="preserve">for a description of </w:t>
      </w:r>
      <w:r w:rsidR="00B502F8" w:rsidRPr="00B70B29">
        <w:rPr>
          <w:szCs w:val="24"/>
        </w:rPr>
        <w:t xml:space="preserve">the four </w:t>
      </w:r>
      <w:r w:rsidR="009604EB" w:rsidRPr="00B70B29">
        <w:rPr>
          <w:szCs w:val="24"/>
        </w:rPr>
        <w:t>Phase</w:t>
      </w:r>
      <w:r w:rsidR="00B502F8" w:rsidRPr="00B70B29">
        <w:rPr>
          <w:szCs w:val="24"/>
        </w:rPr>
        <w:t>s</w:t>
      </w:r>
      <w:r w:rsidR="009604EB" w:rsidRPr="00B70B29">
        <w:rPr>
          <w:szCs w:val="24"/>
        </w:rPr>
        <w:t>)</w:t>
      </w:r>
      <w:r w:rsidR="0051288D" w:rsidRPr="00B70B29">
        <w:rPr>
          <w:szCs w:val="24"/>
        </w:rPr>
        <w:t>.</w:t>
      </w:r>
    </w:p>
    <w:p w14:paraId="63E01F50" w14:textId="6FE24606" w:rsidR="0051288D" w:rsidRPr="00B70B29" w:rsidRDefault="008F29A7" w:rsidP="00890DEA">
      <w:pPr>
        <w:pStyle w:val="enumlev1"/>
        <w:jc w:val="both"/>
        <w:rPr>
          <w:szCs w:val="24"/>
        </w:rPr>
      </w:pPr>
      <w:r w:rsidRPr="00B70B29">
        <w:rPr>
          <w:i/>
          <w:iCs/>
          <w:szCs w:val="24"/>
        </w:rPr>
        <w:t>d)</w:t>
      </w:r>
      <w:r w:rsidRPr="00B70B29">
        <w:rPr>
          <w:szCs w:val="24"/>
        </w:rPr>
        <w:tab/>
      </w:r>
      <w:r w:rsidR="0051288D" w:rsidRPr="00B70B29">
        <w:rPr>
          <w:szCs w:val="24"/>
        </w:rPr>
        <w:t xml:space="preserve">Member </w:t>
      </w:r>
      <w:r w:rsidR="0051288D" w:rsidRPr="00B70B29">
        <w:t>State</w:t>
      </w:r>
      <w:r w:rsidR="0051288D" w:rsidRPr="00B70B29">
        <w:rPr>
          <w:szCs w:val="24"/>
        </w:rPr>
        <w:t xml:space="preserve"> engagement is agreed as a critical component of the Review. The Secretary</w:t>
      </w:r>
      <w:r w:rsidR="00FF05C2" w:rsidRPr="00B70B29">
        <w:rPr>
          <w:szCs w:val="24"/>
        </w:rPr>
        <w:t>-</w:t>
      </w:r>
      <w:r w:rsidR="0051288D" w:rsidRPr="00B70B29">
        <w:rPr>
          <w:szCs w:val="24"/>
        </w:rPr>
        <w:t>General will report on the implementation of the Review to CWG-FHR and ITU Council as required.</w:t>
      </w:r>
    </w:p>
    <w:p w14:paraId="3A6EFA17" w14:textId="56A54BB0" w:rsidR="006136AE" w:rsidRPr="00B70B29" w:rsidRDefault="00C6000C" w:rsidP="00890DEA">
      <w:pPr>
        <w:jc w:val="both"/>
      </w:pPr>
      <w:r w:rsidRPr="00B70B29">
        <w:t>An Inter-Sectoral Task Force</w:t>
      </w:r>
      <w:r w:rsidR="00C73315" w:rsidRPr="00B70B29">
        <w:t xml:space="preserve"> (</w:t>
      </w:r>
      <w:proofErr w:type="spellStart"/>
      <w:r w:rsidR="00C73315" w:rsidRPr="00B70B29">
        <w:t>ISTF</w:t>
      </w:r>
      <w:proofErr w:type="spellEnd"/>
      <w:r w:rsidR="00C73315" w:rsidRPr="00B70B29">
        <w:t>)</w:t>
      </w:r>
      <w:r w:rsidRPr="00B70B29">
        <w:t xml:space="preserve"> </w:t>
      </w:r>
      <w:r w:rsidR="00D90120" w:rsidRPr="00B70B29">
        <w:t xml:space="preserve">has been </w:t>
      </w:r>
      <w:r w:rsidRPr="00B70B29">
        <w:t>established</w:t>
      </w:r>
      <w:r w:rsidR="00382A4E" w:rsidRPr="00B70B29">
        <w:t>,</w:t>
      </w:r>
      <w:r w:rsidRPr="00B70B29">
        <w:t xml:space="preserve"> </w:t>
      </w:r>
      <w:r w:rsidR="00382A4E" w:rsidRPr="00B70B29">
        <w:t>c</w:t>
      </w:r>
      <w:r w:rsidRPr="00B70B29">
        <w:t xml:space="preserve">haired by the Deputy Secretary-General, </w:t>
      </w:r>
      <w:r w:rsidR="00382A4E" w:rsidRPr="00B70B29">
        <w:t xml:space="preserve">and includes </w:t>
      </w:r>
      <w:r w:rsidR="07F5760D" w:rsidRPr="00B70B29">
        <w:t>Directors of the three Bureau</w:t>
      </w:r>
      <w:r w:rsidR="00FF05C2" w:rsidRPr="00B70B29">
        <w:t>x</w:t>
      </w:r>
      <w:r w:rsidR="07F5760D" w:rsidRPr="00B70B29">
        <w:t xml:space="preserve">, </w:t>
      </w:r>
      <w:r w:rsidR="00D90120" w:rsidRPr="00B70B29">
        <w:t xml:space="preserve">the </w:t>
      </w:r>
      <w:r w:rsidRPr="00B70B29">
        <w:t xml:space="preserve">Regional Directors, </w:t>
      </w:r>
      <w:r w:rsidR="003C1B5C" w:rsidRPr="00B70B29">
        <w:t xml:space="preserve">other </w:t>
      </w:r>
      <w:r w:rsidRPr="00B70B29">
        <w:t>representatives from the Development Bureau, Radiocommunication Bureau and Standardization Bureau</w:t>
      </w:r>
      <w:r w:rsidR="00C462CE" w:rsidRPr="00B70B29">
        <w:t>,</w:t>
      </w:r>
      <w:r w:rsidRPr="00B70B29">
        <w:t xml:space="preserve"> as well as the General Secretariat.</w:t>
      </w:r>
    </w:p>
    <w:p w14:paraId="17E52990" w14:textId="1DB878D2" w:rsidR="00FA1798" w:rsidRPr="00B70B29" w:rsidRDefault="006136AE" w:rsidP="00890DEA">
      <w:pPr>
        <w:jc w:val="both"/>
        <w:rPr>
          <w:szCs w:val="24"/>
        </w:rPr>
      </w:pPr>
      <w:r w:rsidRPr="00B70B29">
        <w:rPr>
          <w:szCs w:val="24"/>
        </w:rPr>
        <w:t xml:space="preserve">The </w:t>
      </w:r>
      <w:r w:rsidR="00B5461B" w:rsidRPr="00B70B29">
        <w:rPr>
          <w:szCs w:val="24"/>
        </w:rPr>
        <w:t xml:space="preserve">first </w:t>
      </w:r>
      <w:r w:rsidR="00B5461B" w:rsidRPr="00B70B29">
        <w:t>meeting</w:t>
      </w:r>
      <w:r w:rsidR="00B5461B" w:rsidRPr="00B70B29">
        <w:rPr>
          <w:szCs w:val="24"/>
        </w:rPr>
        <w:t xml:space="preserve"> of the </w:t>
      </w:r>
      <w:proofErr w:type="spellStart"/>
      <w:r w:rsidR="00B5461B" w:rsidRPr="00B70B29">
        <w:rPr>
          <w:szCs w:val="24"/>
        </w:rPr>
        <w:t>ISTF</w:t>
      </w:r>
      <w:proofErr w:type="spellEnd"/>
      <w:r w:rsidR="00B5461B" w:rsidRPr="00B70B29">
        <w:rPr>
          <w:szCs w:val="24"/>
        </w:rPr>
        <w:t xml:space="preserve"> was held on</w:t>
      </w:r>
      <w:r w:rsidR="001D43C2" w:rsidRPr="00B70B29">
        <w:rPr>
          <w:szCs w:val="24"/>
        </w:rPr>
        <w:t xml:space="preserve"> 17 July 2025.</w:t>
      </w:r>
      <w:r w:rsidR="00B5461B" w:rsidRPr="00B70B29">
        <w:rPr>
          <w:szCs w:val="24"/>
        </w:rPr>
        <w:t xml:space="preserve"> The </w:t>
      </w:r>
      <w:r w:rsidR="00FA1798" w:rsidRPr="00B70B29">
        <w:rPr>
          <w:szCs w:val="24"/>
        </w:rPr>
        <w:t>meeting concluded with agreement on the following key actions</w:t>
      </w:r>
      <w:r w:rsidR="00DE6DD3" w:rsidRPr="00B70B29">
        <w:rPr>
          <w:szCs w:val="24"/>
        </w:rPr>
        <w:t xml:space="preserve"> to be taken</w:t>
      </w:r>
      <w:r w:rsidR="00FA1798" w:rsidRPr="00B70B29">
        <w:rPr>
          <w:szCs w:val="24"/>
        </w:rPr>
        <w:t>:</w:t>
      </w:r>
    </w:p>
    <w:p w14:paraId="247DDDC2" w14:textId="64CCE709" w:rsidR="00B258FF" w:rsidRPr="00B70B29" w:rsidRDefault="008F29A7" w:rsidP="00890DEA">
      <w:pPr>
        <w:pStyle w:val="enumlev1"/>
        <w:jc w:val="both"/>
        <w:rPr>
          <w:szCs w:val="24"/>
        </w:rPr>
      </w:pPr>
      <w:proofErr w:type="spellStart"/>
      <w:r w:rsidRPr="00B70B29">
        <w:rPr>
          <w:szCs w:val="24"/>
        </w:rPr>
        <w:t>i</w:t>
      </w:r>
      <w:proofErr w:type="spellEnd"/>
      <w:r w:rsidRPr="00B70B29">
        <w:rPr>
          <w:szCs w:val="24"/>
        </w:rPr>
        <w:t>.</w:t>
      </w:r>
      <w:r w:rsidRPr="00B70B29">
        <w:rPr>
          <w:szCs w:val="24"/>
        </w:rPr>
        <w:tab/>
      </w:r>
      <w:r w:rsidR="00B258FF" w:rsidRPr="00B70B29">
        <w:rPr>
          <w:szCs w:val="24"/>
        </w:rPr>
        <w:t xml:space="preserve">BDT to develop a broad action plan with timelines, responsibilities, and resource allocations for Phase II of the </w:t>
      </w:r>
      <w:r w:rsidR="006A4186" w:rsidRPr="00B70B29">
        <w:rPr>
          <w:szCs w:val="24"/>
        </w:rPr>
        <w:t>Review.</w:t>
      </w:r>
    </w:p>
    <w:p w14:paraId="0BB12CED" w14:textId="70EDAF88" w:rsidR="00B258FF" w:rsidRPr="00B70B29" w:rsidRDefault="008F29A7" w:rsidP="00890DEA">
      <w:pPr>
        <w:pStyle w:val="enumlev1"/>
        <w:jc w:val="both"/>
        <w:rPr>
          <w:szCs w:val="24"/>
        </w:rPr>
      </w:pPr>
      <w:r w:rsidRPr="00B70B29">
        <w:rPr>
          <w:szCs w:val="24"/>
        </w:rPr>
        <w:t>ii.</w:t>
      </w:r>
      <w:r w:rsidRPr="00B70B29">
        <w:rPr>
          <w:szCs w:val="24"/>
        </w:rPr>
        <w:tab/>
      </w:r>
      <w:r w:rsidR="00B258FF" w:rsidRPr="00B70B29">
        <w:rPr>
          <w:szCs w:val="24"/>
        </w:rPr>
        <w:t xml:space="preserve">BDT to initiate the development of a survey to assess Member satisfaction with ITU's </w:t>
      </w:r>
      <w:r w:rsidR="006A4186" w:rsidRPr="00B70B29">
        <w:rPr>
          <w:szCs w:val="24"/>
        </w:rPr>
        <w:t>R</w:t>
      </w:r>
      <w:r w:rsidR="00B258FF" w:rsidRPr="00B70B29">
        <w:rPr>
          <w:szCs w:val="24"/>
        </w:rPr>
        <w:t xml:space="preserve">egional </w:t>
      </w:r>
      <w:r w:rsidR="006A4186" w:rsidRPr="00B70B29">
        <w:rPr>
          <w:szCs w:val="24"/>
        </w:rPr>
        <w:t>Presence.</w:t>
      </w:r>
    </w:p>
    <w:p w14:paraId="27154495" w14:textId="612F5C1D" w:rsidR="00B258FF" w:rsidRPr="00B70B29" w:rsidRDefault="008F29A7" w:rsidP="00890DEA">
      <w:pPr>
        <w:pStyle w:val="enumlev1"/>
        <w:jc w:val="both"/>
        <w:rPr>
          <w:szCs w:val="24"/>
        </w:rPr>
      </w:pPr>
      <w:r w:rsidRPr="00B70B29">
        <w:rPr>
          <w:szCs w:val="24"/>
        </w:rPr>
        <w:t>iii.</w:t>
      </w:r>
      <w:r w:rsidRPr="00B70B29">
        <w:rPr>
          <w:szCs w:val="24"/>
        </w:rPr>
        <w:tab/>
      </w:r>
      <w:r w:rsidR="00B258FF" w:rsidRPr="00B70B29">
        <w:rPr>
          <w:szCs w:val="24"/>
        </w:rPr>
        <w:t xml:space="preserve">BDT to </w:t>
      </w:r>
      <w:r w:rsidR="00B258FF" w:rsidRPr="00B70B29">
        <w:t>initiate</w:t>
      </w:r>
      <w:r w:rsidR="00B258FF" w:rsidRPr="00B70B29">
        <w:rPr>
          <w:szCs w:val="24"/>
        </w:rPr>
        <w:t xml:space="preserve"> the development of a self-assessment survey to evaluate ITU’s </w:t>
      </w:r>
      <w:r w:rsidR="006A4186" w:rsidRPr="00B70B29">
        <w:rPr>
          <w:szCs w:val="24"/>
        </w:rPr>
        <w:t>R</w:t>
      </w:r>
      <w:r w:rsidR="00B258FF" w:rsidRPr="00B70B29">
        <w:rPr>
          <w:szCs w:val="24"/>
        </w:rPr>
        <w:t xml:space="preserve">egional </w:t>
      </w:r>
      <w:r w:rsidR="006A4186" w:rsidRPr="00B70B29">
        <w:rPr>
          <w:szCs w:val="24"/>
        </w:rPr>
        <w:t>Presence</w:t>
      </w:r>
      <w:r w:rsidR="00C30936" w:rsidRPr="00B70B29">
        <w:rPr>
          <w:szCs w:val="24"/>
        </w:rPr>
        <w:t xml:space="preserve">. </w:t>
      </w:r>
    </w:p>
    <w:p w14:paraId="75F4E2B7" w14:textId="54290C5F" w:rsidR="00B258FF" w:rsidRPr="00B70B29" w:rsidRDefault="00B258FF" w:rsidP="00890DEA">
      <w:pPr>
        <w:jc w:val="both"/>
      </w:pPr>
      <w:r w:rsidRPr="00B70B29">
        <w:t>The progress on</w:t>
      </w:r>
      <w:r w:rsidR="00FF045C" w:rsidRPr="00B70B29">
        <w:t xml:space="preserve"> </w:t>
      </w:r>
      <w:r w:rsidRPr="00B70B29">
        <w:t xml:space="preserve">Items </w:t>
      </w:r>
      <w:proofErr w:type="spellStart"/>
      <w:r w:rsidR="1218A0E0" w:rsidRPr="00B70B29">
        <w:t>i</w:t>
      </w:r>
      <w:proofErr w:type="spellEnd"/>
      <w:r w:rsidR="1218A0E0" w:rsidRPr="00B70B29">
        <w:t>,</w:t>
      </w:r>
      <w:r w:rsidRPr="00B70B29">
        <w:t xml:space="preserve"> ii, and iii </w:t>
      </w:r>
      <w:r w:rsidR="00D614A1" w:rsidRPr="00B70B29">
        <w:t xml:space="preserve">was </w:t>
      </w:r>
      <w:r w:rsidR="00FA5266" w:rsidRPr="00B70B29">
        <w:t xml:space="preserve">shared </w:t>
      </w:r>
      <w:r w:rsidR="1BEE1C91" w:rsidRPr="00B70B29">
        <w:t>with</w:t>
      </w:r>
      <w:r w:rsidRPr="00B70B29">
        <w:t xml:space="preserve"> the </w:t>
      </w:r>
      <w:proofErr w:type="spellStart"/>
      <w:r w:rsidRPr="00B70B29">
        <w:t>ISTF</w:t>
      </w:r>
      <w:proofErr w:type="spellEnd"/>
      <w:r w:rsidR="00DE6DD3" w:rsidRPr="00B70B29">
        <w:t xml:space="preserve"> during its second meeting held on </w:t>
      </w:r>
      <w:r w:rsidR="00A82D4D" w:rsidRPr="00B70B29">
        <w:t>29 July 2025</w:t>
      </w:r>
      <w:r w:rsidR="456A7129" w:rsidRPr="00B70B29">
        <w:t xml:space="preserve"> and guidance was received on timelines</w:t>
      </w:r>
      <w:r w:rsidR="00593EF4" w:rsidRPr="00B70B29">
        <w:t>.</w:t>
      </w:r>
    </w:p>
    <w:p w14:paraId="40D25C77" w14:textId="51EC5A1B" w:rsidR="00B258FF" w:rsidRPr="00B70B29" w:rsidRDefault="00CD2BAC" w:rsidP="00890DEA">
      <w:pPr>
        <w:jc w:val="both"/>
      </w:pPr>
      <w:r w:rsidRPr="00B70B29">
        <w:t>Accordingly,</w:t>
      </w:r>
      <w:r w:rsidR="4B60A3A7" w:rsidRPr="00B70B29">
        <w:t xml:space="preserve"> </w:t>
      </w:r>
      <w:r w:rsidR="00227E4F" w:rsidRPr="00B70B29">
        <w:t xml:space="preserve">as per the guidance from the </w:t>
      </w:r>
      <w:proofErr w:type="spellStart"/>
      <w:r w:rsidR="00227E4F" w:rsidRPr="00B70B29">
        <w:t>ISTF</w:t>
      </w:r>
      <w:proofErr w:type="spellEnd"/>
      <w:r w:rsidR="00227E4F" w:rsidRPr="00B70B29">
        <w:t xml:space="preserve"> </w:t>
      </w:r>
      <w:r w:rsidR="002F31E8" w:rsidRPr="00B70B29">
        <w:t xml:space="preserve">and as set out in </w:t>
      </w:r>
      <w:r w:rsidR="00655D1C" w:rsidRPr="00B70B29">
        <w:t>D</w:t>
      </w:r>
      <w:r w:rsidR="002F31E8" w:rsidRPr="00B70B29">
        <w:t xml:space="preserve">ocument </w:t>
      </w:r>
      <w:hyperlink r:id="rId22">
        <w:proofErr w:type="spellStart"/>
        <w:r w:rsidR="002F31E8" w:rsidRPr="00B70B29">
          <w:rPr>
            <w:rStyle w:val="Hyperlink"/>
          </w:rPr>
          <w:t>C25</w:t>
        </w:r>
        <w:proofErr w:type="spellEnd"/>
        <w:r w:rsidR="002F31E8" w:rsidRPr="00B70B29">
          <w:rPr>
            <w:rStyle w:val="Hyperlink"/>
          </w:rPr>
          <w:t>/</w:t>
        </w:r>
        <w:r w:rsidR="00F740A2" w:rsidRPr="00B70B29">
          <w:rPr>
            <w:rStyle w:val="Hyperlink"/>
          </w:rPr>
          <w:t>69(</w:t>
        </w:r>
        <w:proofErr w:type="spellStart"/>
        <w:r w:rsidR="00F740A2" w:rsidRPr="00B70B29">
          <w:rPr>
            <w:rStyle w:val="Hyperlink"/>
          </w:rPr>
          <w:t>Rev.1</w:t>
        </w:r>
        <w:proofErr w:type="spellEnd"/>
        <w:r w:rsidR="00F740A2" w:rsidRPr="00B70B29">
          <w:rPr>
            <w:rStyle w:val="Hyperlink"/>
          </w:rPr>
          <w:t>),</w:t>
        </w:r>
      </w:hyperlink>
      <w:r w:rsidRPr="00B70B29">
        <w:t xml:space="preserve"> </w:t>
      </w:r>
      <w:r w:rsidR="00227E4F" w:rsidRPr="00B70B29">
        <w:t xml:space="preserve">work </w:t>
      </w:r>
      <w:r w:rsidRPr="00B70B29">
        <w:t>has commenced work on Phase</w:t>
      </w:r>
      <w:r w:rsidR="00EC14CE" w:rsidRPr="00B70B29">
        <w:t> </w:t>
      </w:r>
      <w:r w:rsidRPr="00B70B29">
        <w:t>1 (Preliminary assessment) of the review as follow</w:t>
      </w:r>
      <w:r w:rsidR="0054380F" w:rsidRPr="00B70B29">
        <w:t>s:</w:t>
      </w:r>
    </w:p>
    <w:p w14:paraId="2533269F" w14:textId="08633686" w:rsidR="006A1413" w:rsidRPr="00B70B29" w:rsidRDefault="008F29A7" w:rsidP="00890DEA">
      <w:pPr>
        <w:pStyle w:val="enumlev1"/>
        <w:jc w:val="both"/>
        <w:rPr>
          <w:szCs w:val="24"/>
        </w:rPr>
      </w:pPr>
      <w:r w:rsidRPr="00B70B29">
        <w:rPr>
          <w:i/>
          <w:iCs/>
          <w:szCs w:val="24"/>
        </w:rPr>
        <w:t>a)</w:t>
      </w:r>
      <w:r w:rsidRPr="00B70B29">
        <w:rPr>
          <w:szCs w:val="24"/>
        </w:rPr>
        <w:tab/>
      </w:r>
      <w:r w:rsidR="00782C50" w:rsidRPr="00B70B29">
        <w:rPr>
          <w:b/>
          <w:bCs/>
          <w:szCs w:val="24"/>
        </w:rPr>
        <w:t>Formation of the review team and establishment of working protocols</w:t>
      </w:r>
      <w:r w:rsidR="00F330C7" w:rsidRPr="00B70B29">
        <w:rPr>
          <w:b/>
          <w:bCs/>
          <w:szCs w:val="24"/>
        </w:rPr>
        <w:t>:</w:t>
      </w:r>
      <w:r w:rsidR="00F330C7" w:rsidRPr="00B70B29">
        <w:rPr>
          <w:szCs w:val="24"/>
        </w:rPr>
        <w:t xml:space="preserve"> </w:t>
      </w:r>
      <w:r w:rsidR="00E57136" w:rsidRPr="00B70B29">
        <w:rPr>
          <w:szCs w:val="24"/>
        </w:rPr>
        <w:t>At BDT level</w:t>
      </w:r>
      <w:r w:rsidR="00D30625" w:rsidRPr="00B70B29">
        <w:rPr>
          <w:szCs w:val="24"/>
        </w:rPr>
        <w:t>,</w:t>
      </w:r>
      <w:r w:rsidR="00E57136" w:rsidRPr="00B70B29">
        <w:rPr>
          <w:szCs w:val="24"/>
        </w:rPr>
        <w:t xml:space="preserve"> </w:t>
      </w:r>
      <w:r w:rsidR="00882ABB" w:rsidRPr="00B70B29">
        <w:rPr>
          <w:szCs w:val="24"/>
        </w:rPr>
        <w:t xml:space="preserve">a </w:t>
      </w:r>
      <w:r w:rsidR="00E57136" w:rsidRPr="00B70B29">
        <w:rPr>
          <w:szCs w:val="24"/>
        </w:rPr>
        <w:t xml:space="preserve">team </w:t>
      </w:r>
      <w:r w:rsidR="00882ABB" w:rsidRPr="00B70B29">
        <w:rPr>
          <w:szCs w:val="24"/>
        </w:rPr>
        <w:t xml:space="preserve">was established. It is led by the BDT Deputy Director </w:t>
      </w:r>
      <w:r w:rsidR="004A0122" w:rsidRPr="00B70B29">
        <w:rPr>
          <w:szCs w:val="24"/>
        </w:rPr>
        <w:t xml:space="preserve">who will work closely </w:t>
      </w:r>
      <w:r w:rsidR="00E57136" w:rsidRPr="00B70B29">
        <w:rPr>
          <w:szCs w:val="24"/>
        </w:rPr>
        <w:t xml:space="preserve">with the six (6) Regional Directors, and </w:t>
      </w:r>
      <w:r w:rsidR="00FB2013" w:rsidRPr="00B70B29">
        <w:rPr>
          <w:szCs w:val="24"/>
        </w:rPr>
        <w:t xml:space="preserve">relevant </w:t>
      </w:r>
      <w:r w:rsidR="00E57136" w:rsidRPr="00B70B29">
        <w:rPr>
          <w:szCs w:val="24"/>
        </w:rPr>
        <w:t>focal points</w:t>
      </w:r>
      <w:r w:rsidR="00824391" w:rsidRPr="00B70B29">
        <w:rPr>
          <w:szCs w:val="24"/>
        </w:rPr>
        <w:t xml:space="preserve"> from </w:t>
      </w:r>
      <w:r w:rsidR="00CD5D18" w:rsidRPr="00B70B29">
        <w:rPr>
          <w:szCs w:val="24"/>
        </w:rPr>
        <w:t xml:space="preserve">the </w:t>
      </w:r>
      <w:r w:rsidR="00824391" w:rsidRPr="00B70B29">
        <w:rPr>
          <w:szCs w:val="24"/>
        </w:rPr>
        <w:t>ITU</w:t>
      </w:r>
      <w:r w:rsidR="00E57136" w:rsidRPr="00B70B29">
        <w:rPr>
          <w:szCs w:val="24"/>
        </w:rPr>
        <w:t xml:space="preserve">. </w:t>
      </w:r>
      <w:r w:rsidR="00CB4A00" w:rsidRPr="00B70B29">
        <w:rPr>
          <w:szCs w:val="24"/>
        </w:rPr>
        <w:t>The team will</w:t>
      </w:r>
      <w:r w:rsidR="005E5406" w:rsidRPr="00B70B29">
        <w:rPr>
          <w:szCs w:val="24"/>
        </w:rPr>
        <w:t xml:space="preserve"> regularly</w:t>
      </w:r>
      <w:r w:rsidR="00CB4A00" w:rsidRPr="00B70B29">
        <w:rPr>
          <w:szCs w:val="24"/>
        </w:rPr>
        <w:t xml:space="preserve"> consult </w:t>
      </w:r>
      <w:r w:rsidR="00C84AFB" w:rsidRPr="00B70B29">
        <w:rPr>
          <w:szCs w:val="24"/>
        </w:rPr>
        <w:t xml:space="preserve">with </w:t>
      </w:r>
      <w:r w:rsidR="00CB4A00" w:rsidRPr="00B70B29">
        <w:rPr>
          <w:szCs w:val="24"/>
        </w:rPr>
        <w:t xml:space="preserve">and report to </w:t>
      </w:r>
      <w:proofErr w:type="spellStart"/>
      <w:r w:rsidR="00005BA9" w:rsidRPr="00B70B29">
        <w:rPr>
          <w:szCs w:val="24"/>
        </w:rPr>
        <w:t>ISTF</w:t>
      </w:r>
      <w:proofErr w:type="spellEnd"/>
      <w:r w:rsidR="00005BA9" w:rsidRPr="00B70B29">
        <w:rPr>
          <w:szCs w:val="24"/>
        </w:rPr>
        <w:t xml:space="preserve">. </w:t>
      </w:r>
    </w:p>
    <w:p w14:paraId="2DF29605" w14:textId="734991F3" w:rsidR="00E227EE" w:rsidRPr="00B70B29" w:rsidRDefault="008F29A7" w:rsidP="00890DEA">
      <w:pPr>
        <w:pStyle w:val="enumlev1"/>
        <w:jc w:val="both"/>
      </w:pPr>
      <w:r w:rsidRPr="00B70B29">
        <w:rPr>
          <w:i/>
          <w:iCs/>
        </w:rPr>
        <w:lastRenderedPageBreak/>
        <w:t>b)</w:t>
      </w:r>
      <w:r w:rsidRPr="00B70B29">
        <w:tab/>
      </w:r>
      <w:r w:rsidR="00782C50" w:rsidRPr="00B70B29">
        <w:rPr>
          <w:b/>
          <w:bCs/>
        </w:rPr>
        <w:t>Articulation</w:t>
      </w:r>
      <w:r w:rsidR="00782C50" w:rsidRPr="00B70B29">
        <w:rPr>
          <w:b/>
          <w:bCs/>
          <w:i/>
          <w:iCs/>
        </w:rPr>
        <w:t xml:space="preserve"> </w:t>
      </w:r>
      <w:r w:rsidR="00782C50" w:rsidRPr="00B70B29">
        <w:rPr>
          <w:b/>
          <w:bCs/>
        </w:rPr>
        <w:t>of the objective of the review with methodology</w:t>
      </w:r>
      <w:r w:rsidR="006A1413" w:rsidRPr="00B70B29">
        <w:rPr>
          <w:b/>
          <w:bCs/>
        </w:rPr>
        <w:t xml:space="preserve">: </w:t>
      </w:r>
      <w:r w:rsidR="00882ABB" w:rsidRPr="00B70B29">
        <w:t>Based on the guidance provided in Annex A of Document</w:t>
      </w:r>
      <w:hyperlink r:id="rId23">
        <w:r w:rsidR="001D66FD" w:rsidRPr="00B70B29">
          <w:rPr>
            <w:rStyle w:val="Hyperlink"/>
          </w:rPr>
          <w:t xml:space="preserve"> </w:t>
        </w:r>
        <w:proofErr w:type="spellStart"/>
        <w:r w:rsidR="001D66FD" w:rsidRPr="00B70B29">
          <w:rPr>
            <w:rStyle w:val="Hyperlink"/>
          </w:rPr>
          <w:t>C25</w:t>
        </w:r>
        <w:proofErr w:type="spellEnd"/>
        <w:r w:rsidR="001D66FD" w:rsidRPr="00B70B29">
          <w:rPr>
            <w:rStyle w:val="Hyperlink"/>
          </w:rPr>
          <w:t>/105</w:t>
        </w:r>
      </w:hyperlink>
      <w:r w:rsidR="00882ABB" w:rsidRPr="00B70B29">
        <w:t xml:space="preserve">, the </w:t>
      </w:r>
      <w:r w:rsidR="79E6B1B5" w:rsidRPr="00B70B29">
        <w:t xml:space="preserve">BDT </w:t>
      </w:r>
      <w:r w:rsidR="00882ABB" w:rsidRPr="00B70B29">
        <w:t>team</w:t>
      </w:r>
      <w:r w:rsidR="006215A2" w:rsidRPr="00B70B29">
        <w:t xml:space="preserve"> </w:t>
      </w:r>
      <w:r w:rsidR="003732A0" w:rsidRPr="00B70B29">
        <w:t>identified the information to be collected, determined how and from which sources it will be gathered, and</w:t>
      </w:r>
      <w:r w:rsidR="006215A2" w:rsidRPr="00B70B29">
        <w:t xml:space="preserve"> </w:t>
      </w:r>
      <w:r w:rsidR="001B2C97" w:rsidRPr="00B70B29">
        <w:t>will</w:t>
      </w:r>
      <w:r w:rsidR="003732A0" w:rsidRPr="00B70B29">
        <w:t xml:space="preserve"> assign</w:t>
      </w:r>
      <w:r w:rsidR="006215A2" w:rsidRPr="00B70B29">
        <w:t xml:space="preserve"> </w:t>
      </w:r>
      <w:r w:rsidR="003732A0" w:rsidRPr="00B70B29">
        <w:t>roles and responsibilities accordingly.</w:t>
      </w:r>
    </w:p>
    <w:p w14:paraId="58BC0529" w14:textId="4D905A75" w:rsidR="00820FF2" w:rsidRPr="00B70B29" w:rsidRDefault="008F29A7" w:rsidP="00890DEA">
      <w:pPr>
        <w:pStyle w:val="enumlev1"/>
        <w:jc w:val="both"/>
      </w:pPr>
      <w:r w:rsidRPr="00B70B29">
        <w:rPr>
          <w:i/>
          <w:iCs/>
        </w:rPr>
        <w:t>c)</w:t>
      </w:r>
      <w:r w:rsidRPr="00B70B29">
        <w:tab/>
      </w:r>
      <w:r w:rsidR="00E227EE" w:rsidRPr="00B70B29">
        <w:rPr>
          <w:b/>
        </w:rPr>
        <w:t xml:space="preserve">Development of tailored tools for data collection: </w:t>
      </w:r>
      <w:r w:rsidR="000B086A" w:rsidRPr="00B70B29">
        <w:t xml:space="preserve">The </w:t>
      </w:r>
      <w:r w:rsidR="12197832" w:rsidRPr="00B70B29">
        <w:t xml:space="preserve">BDT </w:t>
      </w:r>
      <w:r w:rsidR="000B086A" w:rsidRPr="00B70B29">
        <w:t>team</w:t>
      </w:r>
      <w:r w:rsidR="003B4AED" w:rsidRPr="00B70B29">
        <w:t xml:space="preserve"> has</w:t>
      </w:r>
      <w:r w:rsidR="000B086A" w:rsidRPr="00B70B29">
        <w:t xml:space="preserve"> </w:t>
      </w:r>
      <w:r w:rsidR="46DDF8CC" w:rsidRPr="00B70B29">
        <w:t xml:space="preserve">developed initial drafts of </w:t>
      </w:r>
      <w:r w:rsidR="00141CAB" w:rsidRPr="00B70B29">
        <w:t>questionnaires</w:t>
      </w:r>
      <w:r w:rsidR="000B086A" w:rsidRPr="00B70B29">
        <w:t xml:space="preserve"> </w:t>
      </w:r>
      <w:r w:rsidR="1D10D3B4" w:rsidRPr="00B70B29">
        <w:t xml:space="preserve">(to be reviewed and approved by the </w:t>
      </w:r>
      <w:proofErr w:type="spellStart"/>
      <w:r w:rsidR="1D10D3B4" w:rsidRPr="00B70B29">
        <w:t>ISTF</w:t>
      </w:r>
      <w:proofErr w:type="spellEnd"/>
      <w:r w:rsidR="1D10D3B4" w:rsidRPr="00B70B29">
        <w:t>)</w:t>
      </w:r>
      <w:r w:rsidR="000B086A" w:rsidRPr="00B70B29">
        <w:t xml:space="preserve"> to assess the satisfaction of ITU members and Regional Telecommunication Organizations (</w:t>
      </w:r>
      <w:r w:rsidR="4B224D2A" w:rsidRPr="00B70B29">
        <w:t>RTOs) and</w:t>
      </w:r>
      <w:r w:rsidR="001D66FD" w:rsidRPr="00B70B29">
        <w:t xml:space="preserve"> a self-assessment survey</w:t>
      </w:r>
      <w:r w:rsidR="0066512D" w:rsidRPr="00B70B29">
        <w:t>,</w:t>
      </w:r>
      <w:r w:rsidR="000870E2" w:rsidRPr="00B70B29">
        <w:t xml:space="preserve"> to evaluate ITU’s </w:t>
      </w:r>
      <w:r w:rsidR="00442ED7" w:rsidRPr="00B70B29">
        <w:t>R</w:t>
      </w:r>
      <w:r w:rsidR="000870E2" w:rsidRPr="00B70B29">
        <w:t xml:space="preserve">egional </w:t>
      </w:r>
      <w:r w:rsidR="03CE2FEA" w:rsidRPr="00B70B29">
        <w:t xml:space="preserve">Presence </w:t>
      </w:r>
      <w:r w:rsidR="0066512D" w:rsidRPr="00B70B29">
        <w:t>,</w:t>
      </w:r>
      <w:r w:rsidR="00D36ED0" w:rsidRPr="00B70B29">
        <w:t xml:space="preserve"> </w:t>
      </w:r>
      <w:r w:rsidR="000D117F" w:rsidRPr="00B70B29">
        <w:t xml:space="preserve">and selected the appropriate survey tool for </w:t>
      </w:r>
      <w:r w:rsidR="00D36ED0" w:rsidRPr="00B70B29">
        <w:t>their</w:t>
      </w:r>
      <w:r w:rsidR="000D117F" w:rsidRPr="00B70B29">
        <w:t xml:space="preserve"> deployment</w:t>
      </w:r>
      <w:r w:rsidR="00216A3A" w:rsidRPr="00B70B29">
        <w:t>.</w:t>
      </w:r>
    </w:p>
    <w:p w14:paraId="588DD746" w14:textId="1F02293B" w:rsidR="00900E53" w:rsidRPr="00B70B29" w:rsidRDefault="00B70B29" w:rsidP="00890DEA">
      <w:pPr>
        <w:pStyle w:val="enumlev1"/>
        <w:jc w:val="both"/>
      </w:pPr>
      <w:r w:rsidRPr="00B70B29">
        <w:rPr>
          <w:i/>
          <w:iCs/>
        </w:rPr>
        <w:t>d)</w:t>
      </w:r>
      <w:r w:rsidR="008F29A7" w:rsidRPr="00B70B29">
        <w:tab/>
      </w:r>
      <w:r w:rsidR="00900E53" w:rsidRPr="00B70B29">
        <w:rPr>
          <w:b/>
          <w:bCs/>
        </w:rPr>
        <w:t xml:space="preserve">Alignment of review metrics with ITU’s </w:t>
      </w:r>
      <w:proofErr w:type="spellStart"/>
      <w:r w:rsidR="00900E53" w:rsidRPr="00B70B29">
        <w:rPr>
          <w:b/>
          <w:bCs/>
        </w:rPr>
        <w:t>KPIs</w:t>
      </w:r>
      <w:proofErr w:type="spellEnd"/>
      <w:r w:rsidR="00900E53" w:rsidRPr="00B70B29">
        <w:rPr>
          <w:b/>
          <w:bCs/>
        </w:rPr>
        <w:t xml:space="preserve"> and strategic objectives</w:t>
      </w:r>
      <w:r w:rsidR="005E5ABF" w:rsidRPr="00B70B29">
        <w:t xml:space="preserve">: </w:t>
      </w:r>
      <w:r w:rsidR="000B086A" w:rsidRPr="00B70B29">
        <w:t xml:space="preserve">The </w:t>
      </w:r>
      <w:r w:rsidR="56A00231" w:rsidRPr="00B70B29">
        <w:t xml:space="preserve">BDT </w:t>
      </w:r>
      <w:r w:rsidR="000B086A" w:rsidRPr="00B70B29">
        <w:t>team has begun mapping the data to be collected against the 27 key performance indicators (</w:t>
      </w:r>
      <w:proofErr w:type="spellStart"/>
      <w:r w:rsidR="000B086A" w:rsidRPr="00B70B29">
        <w:t>KPIs</w:t>
      </w:r>
      <w:proofErr w:type="spellEnd"/>
      <w:r w:rsidR="000B086A" w:rsidRPr="00B70B29">
        <w:t>) listed in Annex 1 of Annex A</w:t>
      </w:r>
      <w:r w:rsidR="00B23AAA" w:rsidRPr="00B70B29">
        <w:t xml:space="preserve"> of Document </w:t>
      </w:r>
      <w:hyperlink r:id="rId24">
        <w:proofErr w:type="spellStart"/>
        <w:r w:rsidR="00FA2F73" w:rsidRPr="00B70B29">
          <w:rPr>
            <w:rStyle w:val="Hyperlink"/>
          </w:rPr>
          <w:t>C</w:t>
        </w:r>
        <w:r w:rsidR="00B23AAA" w:rsidRPr="00B70B29">
          <w:rPr>
            <w:rStyle w:val="Hyperlink"/>
          </w:rPr>
          <w:t>25</w:t>
        </w:r>
        <w:proofErr w:type="spellEnd"/>
        <w:r w:rsidR="00B23AAA" w:rsidRPr="00B70B29">
          <w:rPr>
            <w:rStyle w:val="Hyperlink"/>
          </w:rPr>
          <w:t>/105</w:t>
        </w:r>
      </w:hyperlink>
      <w:r w:rsidR="00866534" w:rsidRPr="00B70B29">
        <w:t xml:space="preserve">, </w:t>
      </w:r>
      <w:r w:rsidR="000B086A" w:rsidRPr="00B70B29">
        <w:t>aim</w:t>
      </w:r>
      <w:r w:rsidR="00546558" w:rsidRPr="00B70B29">
        <w:t xml:space="preserve">ing to </w:t>
      </w:r>
      <w:r w:rsidR="000B086A" w:rsidRPr="00B70B29">
        <w:t>measu</w:t>
      </w:r>
      <w:r w:rsidR="00546558" w:rsidRPr="00B70B29">
        <w:t xml:space="preserve">re </w:t>
      </w:r>
      <w:r w:rsidR="000B086A" w:rsidRPr="00B70B29">
        <w:t xml:space="preserve">as many </w:t>
      </w:r>
      <w:proofErr w:type="spellStart"/>
      <w:r w:rsidR="000B086A" w:rsidRPr="00B70B29">
        <w:t>KPIs</w:t>
      </w:r>
      <w:proofErr w:type="spellEnd"/>
      <w:r w:rsidR="000B086A" w:rsidRPr="00B70B29">
        <w:t xml:space="preserve"> as possible and establish a baseline.</w:t>
      </w:r>
    </w:p>
    <w:p w14:paraId="5B202140" w14:textId="2686B92F" w:rsidR="00724FB0" w:rsidRPr="00B70B29" w:rsidRDefault="00724FB0" w:rsidP="009519D0">
      <w:pPr>
        <w:pStyle w:val="Heading1"/>
      </w:pPr>
      <w:r w:rsidRPr="00B70B29">
        <w:t>2</w:t>
      </w:r>
      <w:r w:rsidRPr="00B70B29">
        <w:tab/>
        <w:t>Methodology of the review</w:t>
      </w:r>
    </w:p>
    <w:p w14:paraId="21592B49" w14:textId="35EB07AE" w:rsidR="00277F52" w:rsidRPr="00B70B29" w:rsidRDefault="00277F52" w:rsidP="00890DEA">
      <w:pPr>
        <w:jc w:val="both"/>
      </w:pPr>
      <w:r w:rsidRPr="00B70B29">
        <w:t xml:space="preserve">Based on the guidance provided in Annex A of Document </w:t>
      </w:r>
      <w:hyperlink r:id="rId25">
        <w:proofErr w:type="spellStart"/>
        <w:r w:rsidRPr="00B70B29">
          <w:rPr>
            <w:rStyle w:val="Hyperlink"/>
          </w:rPr>
          <w:t>C25</w:t>
        </w:r>
        <w:proofErr w:type="spellEnd"/>
        <w:r w:rsidRPr="00B70B29">
          <w:rPr>
            <w:rStyle w:val="Hyperlink"/>
          </w:rPr>
          <w:t>/</w:t>
        </w:r>
        <w:r w:rsidR="00B23AAA" w:rsidRPr="00B70B29">
          <w:rPr>
            <w:rStyle w:val="Hyperlink"/>
          </w:rPr>
          <w:t>105</w:t>
        </w:r>
      </w:hyperlink>
      <w:r w:rsidRPr="00B70B29">
        <w:t xml:space="preserve">, the </w:t>
      </w:r>
      <w:proofErr w:type="spellStart"/>
      <w:r w:rsidR="52197EFD" w:rsidRPr="00B70B29">
        <w:t>ISTF</w:t>
      </w:r>
      <w:proofErr w:type="spellEnd"/>
      <w:r w:rsidR="6FA59F7A" w:rsidRPr="00B70B29">
        <w:t>, having considered inputs from the BDT,</w:t>
      </w:r>
      <w:r w:rsidRPr="00B70B29">
        <w:t xml:space="preserve"> will conduct an analysis of foundational documents related to </w:t>
      </w:r>
      <w:r w:rsidR="00442ED7" w:rsidRPr="00B70B29">
        <w:t>ITU’s R</w:t>
      </w:r>
      <w:r w:rsidRPr="00B70B29">
        <w:t xml:space="preserve">egional </w:t>
      </w:r>
      <w:r w:rsidR="00442ED7" w:rsidRPr="00B70B29">
        <w:t>P</w:t>
      </w:r>
      <w:r w:rsidRPr="00B70B29">
        <w:t xml:space="preserve">resence and collect and </w:t>
      </w:r>
      <w:r w:rsidR="00B23AAA" w:rsidRPr="00B70B29">
        <w:t>analyse</w:t>
      </w:r>
      <w:r w:rsidRPr="00B70B29">
        <w:t xml:space="preserve"> data from various sources:</w:t>
      </w:r>
    </w:p>
    <w:p w14:paraId="74DE5846" w14:textId="394290E3" w:rsidR="00277F52" w:rsidRPr="00B70B29" w:rsidRDefault="00B70B29" w:rsidP="00890DEA">
      <w:pPr>
        <w:pStyle w:val="enumlev1"/>
        <w:jc w:val="both"/>
        <w:rPr>
          <w:szCs w:val="24"/>
        </w:rPr>
      </w:pPr>
      <w:r w:rsidRPr="00B70B29">
        <w:rPr>
          <w:szCs w:val="24"/>
        </w:rPr>
        <w:t>–</w:t>
      </w:r>
      <w:r w:rsidRPr="00B70B29">
        <w:rPr>
          <w:szCs w:val="24"/>
        </w:rPr>
        <w:tab/>
      </w:r>
      <w:r w:rsidR="00277F52" w:rsidRPr="00B70B29">
        <w:rPr>
          <w:szCs w:val="24"/>
        </w:rPr>
        <w:t xml:space="preserve">Primary sources will include the results of a survey of ITU Members and Regional Telecommunication Organizations (RTOs), designed to assess their satisfaction, identify challenges they face, and understand their expectations regarding ITU’s </w:t>
      </w:r>
      <w:r w:rsidR="00442ED7" w:rsidRPr="00B70B29">
        <w:rPr>
          <w:szCs w:val="24"/>
        </w:rPr>
        <w:t>R</w:t>
      </w:r>
      <w:r w:rsidR="00277F52" w:rsidRPr="00B70B29">
        <w:rPr>
          <w:szCs w:val="24"/>
        </w:rPr>
        <w:t xml:space="preserve">egional </w:t>
      </w:r>
      <w:r w:rsidR="00442ED7" w:rsidRPr="00B70B29">
        <w:rPr>
          <w:szCs w:val="24"/>
        </w:rPr>
        <w:t>P</w:t>
      </w:r>
      <w:r w:rsidR="00277F52" w:rsidRPr="00B70B29">
        <w:rPr>
          <w:szCs w:val="24"/>
        </w:rPr>
        <w:t xml:space="preserve">resence </w:t>
      </w:r>
      <w:r w:rsidR="001D66FD" w:rsidRPr="00B70B29">
        <w:rPr>
          <w:szCs w:val="24"/>
        </w:rPr>
        <w:t>and the self-assessment survey</w:t>
      </w:r>
      <w:r w:rsidR="00B23AAA" w:rsidRPr="00B70B29">
        <w:rPr>
          <w:szCs w:val="24"/>
        </w:rPr>
        <w:t xml:space="preserve"> internal to ITU</w:t>
      </w:r>
      <w:r w:rsidR="001D66FD" w:rsidRPr="00B70B29">
        <w:rPr>
          <w:szCs w:val="24"/>
        </w:rPr>
        <w:t>.</w:t>
      </w:r>
    </w:p>
    <w:p w14:paraId="10ED5D95" w14:textId="2B641808" w:rsidR="00277F52" w:rsidRPr="00B70B29" w:rsidRDefault="00B70B29" w:rsidP="00890DEA">
      <w:pPr>
        <w:pStyle w:val="enumlev1"/>
        <w:jc w:val="both"/>
        <w:rPr>
          <w:szCs w:val="24"/>
        </w:rPr>
      </w:pPr>
      <w:r w:rsidRPr="00B70B29">
        <w:rPr>
          <w:szCs w:val="24"/>
        </w:rPr>
        <w:t>–</w:t>
      </w:r>
      <w:r w:rsidRPr="00B70B29">
        <w:rPr>
          <w:szCs w:val="24"/>
        </w:rPr>
        <w:tab/>
      </w:r>
      <w:r w:rsidR="00277F52" w:rsidRPr="00B70B29">
        <w:t>Secondary</w:t>
      </w:r>
      <w:r w:rsidR="00277F52" w:rsidRPr="00B70B29">
        <w:rPr>
          <w:szCs w:val="24"/>
        </w:rPr>
        <w:t xml:space="preserve"> sources will include existing data on financials, human resources, and related </w:t>
      </w:r>
      <w:r w:rsidR="00B11305" w:rsidRPr="00B70B29">
        <w:rPr>
          <w:szCs w:val="24"/>
        </w:rPr>
        <w:t xml:space="preserve">to </w:t>
      </w:r>
      <w:r w:rsidR="0063192A" w:rsidRPr="00B70B29">
        <w:rPr>
          <w:szCs w:val="24"/>
        </w:rPr>
        <w:t xml:space="preserve">activities and </w:t>
      </w:r>
      <w:r w:rsidR="00277F52" w:rsidRPr="00B70B29">
        <w:rPr>
          <w:szCs w:val="24"/>
        </w:rPr>
        <w:t>projects.</w:t>
      </w:r>
    </w:p>
    <w:p w14:paraId="7D2BE32F" w14:textId="61E1A95E" w:rsidR="00277F52" w:rsidRPr="00B70B29" w:rsidRDefault="00B70B29" w:rsidP="00890DEA">
      <w:pPr>
        <w:pStyle w:val="enumlev1"/>
        <w:jc w:val="both"/>
        <w:rPr>
          <w:szCs w:val="24"/>
        </w:rPr>
      </w:pPr>
      <w:r w:rsidRPr="00B70B29">
        <w:rPr>
          <w:szCs w:val="24"/>
        </w:rPr>
        <w:t>–</w:t>
      </w:r>
      <w:r w:rsidRPr="00B70B29">
        <w:rPr>
          <w:szCs w:val="24"/>
        </w:rPr>
        <w:tab/>
      </w:r>
      <w:r w:rsidR="00277F52" w:rsidRPr="00B70B29">
        <w:rPr>
          <w:szCs w:val="24"/>
        </w:rPr>
        <w:t xml:space="preserve">These </w:t>
      </w:r>
      <w:r w:rsidR="00277F52" w:rsidRPr="00B70B29">
        <w:t>data</w:t>
      </w:r>
      <w:r w:rsidR="00277F52" w:rsidRPr="00B70B29">
        <w:rPr>
          <w:szCs w:val="24"/>
        </w:rPr>
        <w:t xml:space="preserve"> sources will be complemented by insights from consultations with key internal and external stakeholders.</w:t>
      </w:r>
    </w:p>
    <w:p w14:paraId="17B77BE9" w14:textId="14927B80" w:rsidR="00277F52" w:rsidRPr="00B70B29" w:rsidRDefault="00277F52" w:rsidP="00890DEA">
      <w:pPr>
        <w:jc w:val="both"/>
      </w:pPr>
      <w:r w:rsidRPr="00B70B29">
        <w:t xml:space="preserve">Using this information, the </w:t>
      </w:r>
      <w:proofErr w:type="spellStart"/>
      <w:r w:rsidR="3A71DACE" w:rsidRPr="00B70B29">
        <w:t>ISTF</w:t>
      </w:r>
      <w:proofErr w:type="spellEnd"/>
      <w:r w:rsidR="4369B879" w:rsidRPr="00B70B29">
        <w:t xml:space="preserve">, having considered inputs from the BDT, </w:t>
      </w:r>
      <w:r w:rsidRPr="00B70B29">
        <w:t xml:space="preserve">will aim to </w:t>
      </w:r>
      <w:r w:rsidR="00BB5936" w:rsidRPr="00B70B29">
        <w:rPr>
          <w:color w:val="000000" w:themeColor="text1"/>
        </w:rPr>
        <w:t>report on</w:t>
      </w:r>
      <w:r w:rsidRPr="00B70B29">
        <w:rPr>
          <w:color w:val="000000" w:themeColor="text1"/>
        </w:rPr>
        <w:t xml:space="preserve"> </w:t>
      </w:r>
      <w:r w:rsidRPr="00B70B29">
        <w:t>the key performance indicators (</w:t>
      </w:r>
      <w:proofErr w:type="spellStart"/>
      <w:r w:rsidRPr="00B70B29">
        <w:t>KPIs</w:t>
      </w:r>
      <w:proofErr w:type="spellEnd"/>
      <w:r w:rsidRPr="00B70B29">
        <w:t>) defined in Annex 1 of Annex H</w:t>
      </w:r>
      <w:r w:rsidR="00B23AAA" w:rsidRPr="00B70B29">
        <w:t xml:space="preserve">, Document </w:t>
      </w:r>
      <w:hyperlink r:id="rId26">
        <w:proofErr w:type="spellStart"/>
        <w:r w:rsidR="00B23AAA" w:rsidRPr="00B70B29">
          <w:rPr>
            <w:rStyle w:val="Hyperlink"/>
          </w:rPr>
          <w:t>C25</w:t>
        </w:r>
        <w:proofErr w:type="spellEnd"/>
        <w:r w:rsidR="00B23AAA" w:rsidRPr="00B70B29">
          <w:rPr>
            <w:rStyle w:val="Hyperlink"/>
          </w:rPr>
          <w:t>/105</w:t>
        </w:r>
      </w:hyperlink>
      <w:r w:rsidRPr="00B70B29">
        <w:t>.</w:t>
      </w:r>
    </w:p>
    <w:p w14:paraId="48A3CA9A" w14:textId="5905D8F7" w:rsidR="000C4ACA" w:rsidRPr="00B70B29" w:rsidRDefault="000C4ACA" w:rsidP="00890DEA">
      <w:pPr>
        <w:jc w:val="both"/>
        <w:rPr>
          <w:strike/>
        </w:rPr>
      </w:pPr>
      <w:r w:rsidRPr="00B70B29">
        <w:t>To further enhance the analytical rigor and relevance of the review, benchmarking analysis to compare ITU’s regional and area offices against peer institutions in the UN system</w:t>
      </w:r>
      <w:r w:rsidR="001D66FD" w:rsidRPr="00B70B29">
        <w:t xml:space="preserve"> will be carried out </w:t>
      </w:r>
      <w:r w:rsidR="002A141F" w:rsidRPr="00B70B29">
        <w:t>in Phase</w:t>
      </w:r>
      <w:r w:rsidR="00670755" w:rsidRPr="00B70B29">
        <w:t xml:space="preserve"> 2</w:t>
      </w:r>
      <w:r w:rsidR="00B23AAA" w:rsidRPr="00B70B29">
        <w:t xml:space="preserve"> by the assigned focal point</w:t>
      </w:r>
      <w:r w:rsidR="00BC6465" w:rsidRPr="00B70B29">
        <w:t>s</w:t>
      </w:r>
      <w:r w:rsidR="00B23AAA" w:rsidRPr="00B70B29">
        <w:t xml:space="preserve"> in ITU</w:t>
      </w:r>
      <w:r w:rsidR="00456090" w:rsidRPr="00B70B29">
        <w:t>.</w:t>
      </w:r>
    </w:p>
    <w:p w14:paraId="3564D73E" w14:textId="44F92ED7" w:rsidR="00724FB0" w:rsidRPr="00B70B29" w:rsidRDefault="00724FB0" w:rsidP="009519D0">
      <w:pPr>
        <w:pStyle w:val="Heading1"/>
      </w:pPr>
      <w:r w:rsidRPr="00B70B29">
        <w:t>3</w:t>
      </w:r>
      <w:r w:rsidRPr="00B70B29">
        <w:tab/>
      </w:r>
      <w:r w:rsidR="00857AC4" w:rsidRPr="00B70B29">
        <w:t xml:space="preserve">Structure </w:t>
      </w:r>
      <w:r w:rsidRPr="00B70B29">
        <w:t>of the review</w:t>
      </w:r>
      <w:r w:rsidR="00857AC4" w:rsidRPr="00B70B29">
        <w:t xml:space="preserve">, </w:t>
      </w:r>
      <w:r w:rsidR="0B92021D" w:rsidRPr="00B70B29">
        <w:t>timeline,</w:t>
      </w:r>
      <w:r w:rsidR="00857AC4" w:rsidRPr="00B70B29">
        <w:t xml:space="preserve"> and deliverables</w:t>
      </w:r>
    </w:p>
    <w:p w14:paraId="78A235B2" w14:textId="4B3C3F49" w:rsidR="00724FB0" w:rsidRPr="00B70B29" w:rsidRDefault="00EF1FE8" w:rsidP="00890DEA">
      <w:pPr>
        <w:jc w:val="both"/>
        <w:rPr>
          <w:rFonts w:eastAsia="Aptos"/>
        </w:rPr>
      </w:pPr>
      <w:r w:rsidRPr="00B70B29">
        <w:rPr>
          <w:rFonts w:eastAsia="Aptos"/>
        </w:rPr>
        <w:t>T</w:t>
      </w:r>
      <w:r w:rsidR="00276ED8" w:rsidRPr="00B70B29">
        <w:rPr>
          <w:rFonts w:eastAsia="Aptos"/>
        </w:rPr>
        <w:t xml:space="preserve">he </w:t>
      </w:r>
      <w:r w:rsidR="00724FB0" w:rsidRPr="00B70B29">
        <w:t>review</w:t>
      </w:r>
      <w:r w:rsidR="00724FB0" w:rsidRPr="00B70B29">
        <w:rPr>
          <w:rFonts w:eastAsia="Aptos"/>
        </w:rPr>
        <w:t xml:space="preserve"> will span 1</w:t>
      </w:r>
      <w:r w:rsidR="00A7372B" w:rsidRPr="00B70B29">
        <w:rPr>
          <w:rFonts w:eastAsia="Aptos"/>
        </w:rPr>
        <w:t>0</w:t>
      </w:r>
      <w:r w:rsidR="00724FB0" w:rsidRPr="00B70B29">
        <w:rPr>
          <w:rFonts w:eastAsia="Aptos"/>
        </w:rPr>
        <w:t xml:space="preserve"> months</w:t>
      </w:r>
      <w:r w:rsidR="00487ABE" w:rsidRPr="00B70B29">
        <w:rPr>
          <w:rFonts w:eastAsia="Aptos"/>
        </w:rPr>
        <w:t xml:space="preserve"> from July 2025</w:t>
      </w:r>
      <w:r w:rsidR="00B236D1" w:rsidRPr="00B70B29">
        <w:rPr>
          <w:rFonts w:eastAsia="Aptos"/>
        </w:rPr>
        <w:t xml:space="preserve"> </w:t>
      </w:r>
      <w:r w:rsidR="00C84A34" w:rsidRPr="00B70B29">
        <w:rPr>
          <w:rFonts w:eastAsia="Aptos"/>
        </w:rPr>
        <w:t xml:space="preserve">to </w:t>
      </w:r>
      <w:r w:rsidR="00B236D1" w:rsidRPr="00B70B29">
        <w:rPr>
          <w:rFonts w:eastAsia="Aptos"/>
        </w:rPr>
        <w:t>April 2026</w:t>
      </w:r>
      <w:r w:rsidR="00724FB0" w:rsidRPr="00B70B29">
        <w:rPr>
          <w:rFonts w:eastAsia="Aptos"/>
        </w:rPr>
        <w:t xml:space="preserve"> </w:t>
      </w:r>
      <w:r w:rsidR="2774857F" w:rsidRPr="00B70B29">
        <w:rPr>
          <w:rFonts w:eastAsia="Aptos"/>
        </w:rPr>
        <w:t xml:space="preserve">(having regard to the timelines for documents to be presented to the Council) </w:t>
      </w:r>
      <w:r w:rsidR="00724FB0" w:rsidRPr="00B70B29">
        <w:rPr>
          <w:rFonts w:eastAsia="Aptos"/>
        </w:rPr>
        <w:t xml:space="preserve">and </w:t>
      </w:r>
      <w:r w:rsidR="00015257" w:rsidRPr="00B70B29">
        <w:rPr>
          <w:rFonts w:eastAsia="Aptos"/>
        </w:rPr>
        <w:t xml:space="preserve">will be </w:t>
      </w:r>
      <w:r w:rsidR="008E7298" w:rsidRPr="00B70B29">
        <w:rPr>
          <w:rFonts w:eastAsia="Aptos"/>
        </w:rPr>
        <w:t xml:space="preserve">carried out in </w:t>
      </w:r>
      <w:r w:rsidR="00724FB0" w:rsidRPr="00B70B29">
        <w:rPr>
          <w:rFonts w:eastAsia="Aptos"/>
        </w:rPr>
        <w:t>four phases</w:t>
      </w:r>
      <w:r w:rsidR="00E92320" w:rsidRPr="00B70B29">
        <w:rPr>
          <w:rFonts w:eastAsia="Aptos"/>
        </w:rPr>
        <w:t xml:space="preserve"> as set out in</w:t>
      </w:r>
      <w:r w:rsidR="00CE2375" w:rsidRPr="00B70B29">
        <w:rPr>
          <w:rFonts w:eastAsia="Aptos"/>
        </w:rPr>
        <w:t xml:space="preserve"> </w:t>
      </w:r>
      <w:r w:rsidR="003E40EB" w:rsidRPr="00B70B29">
        <w:rPr>
          <w:rFonts w:eastAsia="Aptos"/>
        </w:rPr>
        <w:t>D</w:t>
      </w:r>
      <w:r w:rsidR="00CE2375" w:rsidRPr="00B70B29">
        <w:rPr>
          <w:rFonts w:eastAsia="Aptos"/>
        </w:rPr>
        <w:t>ocument</w:t>
      </w:r>
      <w:r w:rsidR="00E92320" w:rsidRPr="00B70B29">
        <w:rPr>
          <w:rFonts w:eastAsia="Aptos"/>
        </w:rPr>
        <w:t xml:space="preserve"> </w:t>
      </w:r>
      <w:hyperlink r:id="rId27" w:history="1">
        <w:proofErr w:type="spellStart"/>
        <w:r w:rsidR="00E92320" w:rsidRPr="00B70B29">
          <w:rPr>
            <w:rStyle w:val="Hyperlink"/>
            <w:rFonts w:eastAsia="Aptos"/>
          </w:rPr>
          <w:t>C25</w:t>
        </w:r>
        <w:proofErr w:type="spellEnd"/>
        <w:r w:rsidR="00E92320" w:rsidRPr="00B70B29">
          <w:rPr>
            <w:rStyle w:val="Hyperlink"/>
            <w:rFonts w:eastAsia="Aptos"/>
          </w:rPr>
          <w:t>/69</w:t>
        </w:r>
        <w:r w:rsidR="00233C02" w:rsidRPr="00B70B29">
          <w:rPr>
            <w:rStyle w:val="Hyperlink"/>
            <w:rFonts w:eastAsia="Aptos"/>
          </w:rPr>
          <w:t>(</w:t>
        </w:r>
        <w:proofErr w:type="spellStart"/>
        <w:r w:rsidR="00E92320" w:rsidRPr="00B70B29">
          <w:rPr>
            <w:rStyle w:val="Hyperlink"/>
            <w:rFonts w:eastAsia="Aptos"/>
          </w:rPr>
          <w:t>Re</w:t>
        </w:r>
        <w:r w:rsidR="00CE2375" w:rsidRPr="00B70B29">
          <w:rPr>
            <w:rStyle w:val="Hyperlink"/>
            <w:rFonts w:eastAsia="Aptos"/>
          </w:rPr>
          <w:t>v.1</w:t>
        </w:r>
        <w:proofErr w:type="spellEnd"/>
        <w:r w:rsidR="00233C02" w:rsidRPr="00B70B29">
          <w:rPr>
            <w:rStyle w:val="Hyperlink"/>
            <w:rFonts w:eastAsia="Aptos"/>
          </w:rPr>
          <w:t>)</w:t>
        </w:r>
        <w:r w:rsidR="00CE2375" w:rsidRPr="00B70B29">
          <w:rPr>
            <w:rStyle w:val="Hyperlink"/>
            <w:rFonts w:eastAsia="Aptos"/>
            <w:color w:val="auto"/>
            <w:u w:val="none"/>
          </w:rPr>
          <w:t>.</w:t>
        </w:r>
      </w:hyperlink>
    </w:p>
    <w:p w14:paraId="5502CFDA" w14:textId="77777777" w:rsidR="001A2338" w:rsidRPr="00B70B29" w:rsidRDefault="001A2338" w:rsidP="009519D0">
      <w:pPr>
        <w:rPr>
          <w:rFonts w:eastAsia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9"/>
        <w:gridCol w:w="1636"/>
        <w:gridCol w:w="5306"/>
      </w:tblGrid>
      <w:tr w:rsidR="001826D0" w:rsidRPr="00B70B29" w14:paraId="00E03233" w14:textId="77777777" w:rsidTr="009519D0">
        <w:trPr>
          <w:cantSplit/>
          <w:tblHeader/>
        </w:trPr>
        <w:tc>
          <w:tcPr>
            <w:tcW w:w="2119" w:type="dxa"/>
            <w:hideMark/>
          </w:tcPr>
          <w:p w14:paraId="17A17EA2" w14:textId="035A7CF2" w:rsidR="002844CA" w:rsidRPr="00B70B29" w:rsidRDefault="009A2D4A" w:rsidP="00770A4F">
            <w:pPr>
              <w:pStyle w:val="Tablehead"/>
              <w:rPr>
                <w:sz w:val="20"/>
                <w:szCs w:val="20"/>
              </w:rPr>
            </w:pPr>
            <w:r w:rsidRPr="00B70B29">
              <w:rPr>
                <w:sz w:val="20"/>
                <w:szCs w:val="20"/>
              </w:rPr>
              <w:lastRenderedPageBreak/>
              <w:t>Phase</w:t>
            </w:r>
            <w:r w:rsidR="00770A4F" w:rsidRPr="00B70B29">
              <w:rPr>
                <w:sz w:val="20"/>
                <w:szCs w:val="20"/>
              </w:rPr>
              <w:br/>
            </w:r>
            <w:r w:rsidR="002844CA" w:rsidRPr="00B70B29">
              <w:rPr>
                <w:sz w:val="20"/>
                <w:szCs w:val="20"/>
              </w:rPr>
              <w:t>(Progress)</w:t>
            </w:r>
          </w:p>
        </w:tc>
        <w:tc>
          <w:tcPr>
            <w:tcW w:w="1636" w:type="dxa"/>
            <w:hideMark/>
          </w:tcPr>
          <w:p w14:paraId="2983CFD7" w14:textId="200E903E" w:rsidR="009A2D4A" w:rsidRPr="00B70B29" w:rsidRDefault="009A2D4A" w:rsidP="00770A4F">
            <w:pPr>
              <w:pStyle w:val="Tablehead"/>
              <w:rPr>
                <w:sz w:val="20"/>
                <w:szCs w:val="20"/>
              </w:rPr>
            </w:pPr>
            <w:r w:rsidRPr="00B70B29">
              <w:rPr>
                <w:sz w:val="20"/>
                <w:szCs w:val="20"/>
              </w:rPr>
              <w:t xml:space="preserve">Time </w:t>
            </w:r>
            <w:r w:rsidR="00770A4F" w:rsidRPr="00B70B29">
              <w:rPr>
                <w:sz w:val="20"/>
                <w:szCs w:val="20"/>
              </w:rPr>
              <w:t>period</w:t>
            </w:r>
          </w:p>
        </w:tc>
        <w:tc>
          <w:tcPr>
            <w:tcW w:w="0" w:type="auto"/>
            <w:hideMark/>
          </w:tcPr>
          <w:p w14:paraId="40C92D6B" w14:textId="77777777" w:rsidR="009A2D4A" w:rsidRPr="00B70B29" w:rsidRDefault="009A2D4A" w:rsidP="00770A4F">
            <w:pPr>
              <w:pStyle w:val="Tablehead"/>
              <w:rPr>
                <w:sz w:val="20"/>
                <w:szCs w:val="20"/>
              </w:rPr>
            </w:pPr>
            <w:r w:rsidRPr="00B70B29">
              <w:rPr>
                <w:sz w:val="20"/>
                <w:szCs w:val="20"/>
              </w:rPr>
              <w:t>Deliverables</w:t>
            </w:r>
          </w:p>
        </w:tc>
      </w:tr>
      <w:tr w:rsidR="001826D0" w:rsidRPr="00B70B29" w14:paraId="2919ACAF" w14:textId="77777777" w:rsidTr="009519D0">
        <w:trPr>
          <w:cantSplit/>
        </w:trPr>
        <w:tc>
          <w:tcPr>
            <w:tcW w:w="2119" w:type="dxa"/>
            <w:hideMark/>
          </w:tcPr>
          <w:p w14:paraId="37EBE2D1" w14:textId="77777777" w:rsidR="009A2D4A" w:rsidRPr="00B70B29" w:rsidRDefault="009A2D4A" w:rsidP="00770A4F">
            <w:pPr>
              <w:pStyle w:val="Tabletext"/>
              <w:rPr>
                <w:b/>
                <w:bCs/>
                <w:sz w:val="20"/>
                <w:szCs w:val="20"/>
              </w:rPr>
            </w:pPr>
            <w:r w:rsidRPr="00B70B29">
              <w:rPr>
                <w:b/>
                <w:bCs/>
                <w:sz w:val="20"/>
                <w:szCs w:val="20"/>
              </w:rPr>
              <w:t>Phase 1: Preliminary assessment</w:t>
            </w:r>
          </w:p>
          <w:p w14:paraId="33F27737" w14:textId="761567C7" w:rsidR="009A2D4A" w:rsidRPr="00B70B29" w:rsidRDefault="00CC7385" w:rsidP="00770A4F">
            <w:pPr>
              <w:pStyle w:val="Tabletext"/>
              <w:rPr>
                <w:i/>
                <w:iCs/>
                <w:sz w:val="20"/>
                <w:szCs w:val="20"/>
              </w:rPr>
            </w:pPr>
            <w:r w:rsidRPr="00B70B29">
              <w:rPr>
                <w:i/>
                <w:iCs/>
                <w:sz w:val="20"/>
                <w:szCs w:val="20"/>
              </w:rPr>
              <w:t xml:space="preserve">(Partially </w:t>
            </w:r>
            <w:r w:rsidR="009519D0" w:rsidRPr="00B70B29">
              <w:rPr>
                <w:i/>
                <w:iCs/>
                <w:sz w:val="20"/>
                <w:szCs w:val="20"/>
              </w:rPr>
              <w:t xml:space="preserve">completed </w:t>
            </w:r>
            <w:r w:rsidR="00FF045C" w:rsidRPr="00B70B29">
              <w:rPr>
                <w:i/>
                <w:iCs/>
                <w:sz w:val="20"/>
                <w:szCs w:val="20"/>
              </w:rPr>
              <w:t>at the time of reporting in this document</w:t>
            </w:r>
            <w:r w:rsidRPr="00B70B2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636" w:type="dxa"/>
            <w:hideMark/>
          </w:tcPr>
          <w:p w14:paraId="77D444A8" w14:textId="77777777" w:rsidR="009A2D4A" w:rsidRPr="00B70B29" w:rsidRDefault="009A2D4A" w:rsidP="00770A4F">
            <w:pPr>
              <w:pStyle w:val="Tabletext"/>
              <w:jc w:val="center"/>
              <w:rPr>
                <w:sz w:val="20"/>
                <w:szCs w:val="20"/>
              </w:rPr>
            </w:pPr>
            <w:r w:rsidRPr="00B70B29">
              <w:rPr>
                <w:sz w:val="20"/>
                <w:szCs w:val="20"/>
              </w:rPr>
              <w:t>July – August 2025</w:t>
            </w:r>
          </w:p>
        </w:tc>
        <w:tc>
          <w:tcPr>
            <w:tcW w:w="0" w:type="auto"/>
            <w:hideMark/>
          </w:tcPr>
          <w:p w14:paraId="603104A7" w14:textId="4EDDF936" w:rsidR="009A2D4A" w:rsidRPr="00B70B29" w:rsidRDefault="00B70B29" w:rsidP="00770A4F">
            <w:pPr>
              <w:pStyle w:val="Tabletext"/>
              <w:ind w:left="284" w:hanging="284"/>
              <w:rPr>
                <w:sz w:val="20"/>
                <w:szCs w:val="20"/>
              </w:rPr>
            </w:pPr>
            <w:r w:rsidRPr="00B70B29">
              <w:rPr>
                <w:sz w:val="20"/>
                <w:szCs w:val="20"/>
              </w:rPr>
              <w:t>–</w:t>
            </w:r>
            <w:r w:rsidRPr="00B70B29">
              <w:rPr>
                <w:sz w:val="20"/>
                <w:szCs w:val="20"/>
              </w:rPr>
              <w:tab/>
            </w:r>
            <w:r w:rsidR="009A2D4A" w:rsidRPr="00B70B29">
              <w:rPr>
                <w:sz w:val="20"/>
                <w:szCs w:val="20"/>
              </w:rPr>
              <w:t>Formation of the review team and establishment of working protocols.</w:t>
            </w:r>
          </w:p>
          <w:p w14:paraId="66C5E58E" w14:textId="09617CE6" w:rsidR="009A2D4A" w:rsidRPr="00B70B29" w:rsidRDefault="00B70B29" w:rsidP="00770A4F">
            <w:pPr>
              <w:pStyle w:val="Tabletext"/>
              <w:ind w:left="284" w:hanging="284"/>
              <w:rPr>
                <w:sz w:val="20"/>
                <w:szCs w:val="20"/>
              </w:rPr>
            </w:pPr>
            <w:r w:rsidRPr="00B70B29">
              <w:rPr>
                <w:sz w:val="20"/>
                <w:szCs w:val="20"/>
              </w:rPr>
              <w:t>–</w:t>
            </w:r>
            <w:r w:rsidRPr="00B70B29">
              <w:rPr>
                <w:sz w:val="20"/>
                <w:szCs w:val="20"/>
              </w:rPr>
              <w:tab/>
            </w:r>
            <w:r w:rsidR="009A2D4A" w:rsidRPr="00B70B29">
              <w:rPr>
                <w:sz w:val="20"/>
                <w:szCs w:val="20"/>
              </w:rPr>
              <w:t>Articulation of the objective of the review with methodology.</w:t>
            </w:r>
          </w:p>
          <w:p w14:paraId="33B1526C" w14:textId="415920CC" w:rsidR="009A2D4A" w:rsidRPr="00B70B29" w:rsidRDefault="00B70B29" w:rsidP="00770A4F">
            <w:pPr>
              <w:pStyle w:val="Tabletext"/>
              <w:ind w:left="284" w:hanging="284"/>
              <w:rPr>
                <w:sz w:val="20"/>
                <w:szCs w:val="20"/>
              </w:rPr>
            </w:pPr>
            <w:r w:rsidRPr="00B70B29">
              <w:rPr>
                <w:sz w:val="20"/>
                <w:szCs w:val="20"/>
              </w:rPr>
              <w:t>–</w:t>
            </w:r>
            <w:r w:rsidRPr="00B70B29">
              <w:rPr>
                <w:sz w:val="20"/>
                <w:szCs w:val="20"/>
              </w:rPr>
              <w:tab/>
            </w:r>
            <w:r w:rsidR="009A2D4A" w:rsidRPr="00B70B29">
              <w:rPr>
                <w:sz w:val="20"/>
                <w:szCs w:val="20"/>
              </w:rPr>
              <w:t>Development of tailored tools for data collection (e.g., surveys, interview questions).</w:t>
            </w:r>
          </w:p>
          <w:p w14:paraId="255AD7E8" w14:textId="1F9A9932" w:rsidR="009A2D4A" w:rsidRPr="00B70B29" w:rsidRDefault="00B70B29" w:rsidP="00770A4F">
            <w:pPr>
              <w:pStyle w:val="Tabletext"/>
              <w:ind w:left="284" w:hanging="284"/>
              <w:rPr>
                <w:sz w:val="20"/>
                <w:szCs w:val="20"/>
              </w:rPr>
            </w:pPr>
            <w:r w:rsidRPr="00B70B29">
              <w:rPr>
                <w:sz w:val="20"/>
                <w:szCs w:val="20"/>
              </w:rPr>
              <w:t>–</w:t>
            </w:r>
            <w:r w:rsidRPr="00B70B29">
              <w:rPr>
                <w:sz w:val="20"/>
                <w:szCs w:val="20"/>
              </w:rPr>
              <w:tab/>
            </w:r>
            <w:r w:rsidR="009A2D4A" w:rsidRPr="00B70B29">
              <w:rPr>
                <w:sz w:val="20"/>
                <w:szCs w:val="20"/>
              </w:rPr>
              <w:t xml:space="preserve">Alignment of review metrics with ITU’s </w:t>
            </w:r>
            <w:proofErr w:type="spellStart"/>
            <w:r w:rsidR="009A2D4A" w:rsidRPr="00B70B29">
              <w:rPr>
                <w:sz w:val="20"/>
                <w:szCs w:val="20"/>
              </w:rPr>
              <w:t>KPIs</w:t>
            </w:r>
            <w:proofErr w:type="spellEnd"/>
            <w:r w:rsidR="009A2D4A" w:rsidRPr="00B70B29">
              <w:rPr>
                <w:sz w:val="20"/>
                <w:szCs w:val="20"/>
              </w:rPr>
              <w:t xml:space="preserve"> and strategic objectives.</w:t>
            </w:r>
          </w:p>
        </w:tc>
      </w:tr>
      <w:tr w:rsidR="001826D0" w:rsidRPr="00B70B29" w14:paraId="56E442C1" w14:textId="77777777" w:rsidTr="009519D0">
        <w:trPr>
          <w:cantSplit/>
        </w:trPr>
        <w:tc>
          <w:tcPr>
            <w:tcW w:w="2119" w:type="dxa"/>
            <w:hideMark/>
          </w:tcPr>
          <w:p w14:paraId="59028167" w14:textId="77777777" w:rsidR="009A2D4A" w:rsidRPr="00B70B29" w:rsidRDefault="009A2D4A" w:rsidP="00770A4F">
            <w:pPr>
              <w:pStyle w:val="Tabletext"/>
              <w:rPr>
                <w:b/>
                <w:bCs/>
                <w:sz w:val="20"/>
                <w:szCs w:val="20"/>
              </w:rPr>
            </w:pPr>
            <w:r w:rsidRPr="00B70B29">
              <w:rPr>
                <w:b/>
                <w:bCs/>
                <w:sz w:val="20"/>
                <w:szCs w:val="20"/>
              </w:rPr>
              <w:t>Phase 2: Data collection and initial analysis</w:t>
            </w:r>
          </w:p>
        </w:tc>
        <w:tc>
          <w:tcPr>
            <w:tcW w:w="1636" w:type="dxa"/>
            <w:hideMark/>
          </w:tcPr>
          <w:p w14:paraId="502B1F5D" w14:textId="77777777" w:rsidR="009A2D4A" w:rsidRPr="00B70B29" w:rsidRDefault="009A2D4A" w:rsidP="00770A4F">
            <w:pPr>
              <w:pStyle w:val="Tabletext"/>
              <w:jc w:val="center"/>
              <w:rPr>
                <w:sz w:val="20"/>
                <w:szCs w:val="20"/>
              </w:rPr>
            </w:pPr>
            <w:r w:rsidRPr="00B70B29">
              <w:rPr>
                <w:sz w:val="20"/>
                <w:szCs w:val="20"/>
              </w:rPr>
              <w:t>September – November 2025</w:t>
            </w:r>
          </w:p>
        </w:tc>
        <w:tc>
          <w:tcPr>
            <w:tcW w:w="0" w:type="auto"/>
            <w:hideMark/>
          </w:tcPr>
          <w:p w14:paraId="38A2BC3F" w14:textId="3CFA5C41" w:rsidR="009A2D4A" w:rsidRPr="00B70B29" w:rsidRDefault="00B70B29" w:rsidP="00770A4F">
            <w:pPr>
              <w:pStyle w:val="Tabletext"/>
              <w:ind w:left="284" w:hanging="284"/>
              <w:rPr>
                <w:sz w:val="20"/>
                <w:szCs w:val="20"/>
              </w:rPr>
            </w:pPr>
            <w:r w:rsidRPr="00B70B29">
              <w:rPr>
                <w:sz w:val="20"/>
                <w:szCs w:val="20"/>
              </w:rPr>
              <w:t>–</w:t>
            </w:r>
            <w:r w:rsidRPr="00B70B29">
              <w:rPr>
                <w:sz w:val="20"/>
                <w:szCs w:val="20"/>
              </w:rPr>
              <w:tab/>
            </w:r>
            <w:r w:rsidR="009A2D4A" w:rsidRPr="00B70B29">
              <w:rPr>
                <w:sz w:val="20"/>
                <w:szCs w:val="20"/>
              </w:rPr>
              <w:t>Implementation of interviews and surveys across stakeholder groups.</w:t>
            </w:r>
          </w:p>
          <w:p w14:paraId="2092E1DE" w14:textId="4BE6D91B" w:rsidR="009A2D4A" w:rsidRPr="00B70B29" w:rsidRDefault="00B70B29" w:rsidP="00770A4F">
            <w:pPr>
              <w:pStyle w:val="Tabletext"/>
              <w:ind w:left="284" w:hanging="284"/>
              <w:rPr>
                <w:sz w:val="20"/>
                <w:szCs w:val="20"/>
              </w:rPr>
            </w:pPr>
            <w:r w:rsidRPr="00B70B29">
              <w:rPr>
                <w:sz w:val="20"/>
                <w:szCs w:val="20"/>
              </w:rPr>
              <w:t>–</w:t>
            </w:r>
            <w:r w:rsidRPr="00B70B29">
              <w:rPr>
                <w:sz w:val="20"/>
                <w:szCs w:val="20"/>
              </w:rPr>
              <w:tab/>
            </w:r>
            <w:r w:rsidR="009A2D4A" w:rsidRPr="00B70B29">
              <w:rPr>
                <w:sz w:val="20"/>
                <w:szCs w:val="20"/>
              </w:rPr>
              <w:t>Benchmarking exercises.</w:t>
            </w:r>
          </w:p>
          <w:p w14:paraId="215F0F8C" w14:textId="52446BE6" w:rsidR="009A2D4A" w:rsidRPr="00B70B29" w:rsidRDefault="00B70B29" w:rsidP="00770A4F">
            <w:pPr>
              <w:pStyle w:val="Tabletext"/>
              <w:ind w:left="284" w:hanging="284"/>
              <w:rPr>
                <w:sz w:val="20"/>
                <w:szCs w:val="20"/>
              </w:rPr>
            </w:pPr>
            <w:r w:rsidRPr="00B70B29">
              <w:rPr>
                <w:sz w:val="20"/>
                <w:szCs w:val="20"/>
              </w:rPr>
              <w:t>–</w:t>
            </w:r>
            <w:r w:rsidRPr="00B70B29">
              <w:rPr>
                <w:sz w:val="20"/>
                <w:szCs w:val="20"/>
              </w:rPr>
              <w:tab/>
            </w:r>
            <w:r w:rsidR="009A2D4A" w:rsidRPr="00B70B29">
              <w:rPr>
                <w:sz w:val="20"/>
                <w:szCs w:val="20"/>
              </w:rPr>
              <w:t>Initial analysis and identification of emerging patterns and key themes.</w:t>
            </w:r>
          </w:p>
        </w:tc>
      </w:tr>
      <w:tr w:rsidR="001826D0" w:rsidRPr="00B70B29" w14:paraId="4BF4567B" w14:textId="77777777" w:rsidTr="009519D0">
        <w:trPr>
          <w:cantSplit/>
        </w:trPr>
        <w:tc>
          <w:tcPr>
            <w:tcW w:w="2119" w:type="dxa"/>
            <w:hideMark/>
          </w:tcPr>
          <w:p w14:paraId="0DE1B83D" w14:textId="77777777" w:rsidR="009A2D4A" w:rsidRPr="00B70B29" w:rsidRDefault="009A2D4A" w:rsidP="00770A4F">
            <w:pPr>
              <w:pStyle w:val="Tabletext"/>
              <w:rPr>
                <w:b/>
                <w:bCs/>
                <w:sz w:val="20"/>
                <w:szCs w:val="20"/>
              </w:rPr>
            </w:pPr>
            <w:r w:rsidRPr="00B70B29">
              <w:rPr>
                <w:b/>
                <w:bCs/>
                <w:sz w:val="20"/>
                <w:szCs w:val="20"/>
              </w:rPr>
              <w:t>Phase 3: Detailed analysis and drafting</w:t>
            </w:r>
          </w:p>
        </w:tc>
        <w:tc>
          <w:tcPr>
            <w:tcW w:w="1636" w:type="dxa"/>
            <w:hideMark/>
          </w:tcPr>
          <w:p w14:paraId="2765B2A3" w14:textId="77777777" w:rsidR="009A2D4A" w:rsidRPr="00B70B29" w:rsidRDefault="009A2D4A" w:rsidP="00770A4F">
            <w:pPr>
              <w:pStyle w:val="Tabletext"/>
              <w:jc w:val="center"/>
              <w:rPr>
                <w:sz w:val="20"/>
                <w:szCs w:val="20"/>
              </w:rPr>
            </w:pPr>
            <w:r w:rsidRPr="00B70B29">
              <w:rPr>
                <w:sz w:val="20"/>
                <w:szCs w:val="20"/>
              </w:rPr>
              <w:t>December 2025 – February 2026</w:t>
            </w:r>
          </w:p>
        </w:tc>
        <w:tc>
          <w:tcPr>
            <w:tcW w:w="0" w:type="auto"/>
            <w:hideMark/>
          </w:tcPr>
          <w:p w14:paraId="756DD1A5" w14:textId="7384A7C8" w:rsidR="001826D0" w:rsidRPr="00B70B29" w:rsidRDefault="00B70B29" w:rsidP="00770A4F">
            <w:pPr>
              <w:pStyle w:val="Tabletext"/>
              <w:ind w:left="284" w:hanging="284"/>
              <w:rPr>
                <w:sz w:val="20"/>
                <w:szCs w:val="20"/>
              </w:rPr>
            </w:pPr>
            <w:r w:rsidRPr="00B70B29">
              <w:rPr>
                <w:sz w:val="20"/>
                <w:szCs w:val="20"/>
              </w:rPr>
              <w:t>–</w:t>
            </w:r>
            <w:r w:rsidRPr="00B70B29">
              <w:rPr>
                <w:sz w:val="20"/>
                <w:szCs w:val="20"/>
              </w:rPr>
              <w:tab/>
            </w:r>
            <w:r w:rsidR="009A2D4A" w:rsidRPr="00B70B29">
              <w:rPr>
                <w:sz w:val="20"/>
                <w:szCs w:val="20"/>
              </w:rPr>
              <w:t>Comprehensive analysis of findings based on the initial analysis.</w:t>
            </w:r>
          </w:p>
          <w:p w14:paraId="0382CCB8" w14:textId="0DA02073" w:rsidR="009A2D4A" w:rsidRPr="00B70B29" w:rsidRDefault="00B70B29" w:rsidP="00770A4F">
            <w:pPr>
              <w:pStyle w:val="Tabletext"/>
              <w:ind w:left="284" w:hanging="284"/>
              <w:rPr>
                <w:sz w:val="20"/>
                <w:szCs w:val="20"/>
              </w:rPr>
            </w:pPr>
            <w:r w:rsidRPr="00B70B29">
              <w:rPr>
                <w:sz w:val="20"/>
                <w:szCs w:val="20"/>
              </w:rPr>
              <w:t>–</w:t>
            </w:r>
            <w:r w:rsidRPr="00B70B29">
              <w:rPr>
                <w:sz w:val="20"/>
                <w:szCs w:val="20"/>
              </w:rPr>
              <w:tab/>
            </w:r>
            <w:r w:rsidR="009A2D4A" w:rsidRPr="00B70B29">
              <w:rPr>
                <w:sz w:val="20"/>
                <w:szCs w:val="20"/>
              </w:rPr>
              <w:t>Preparation of a draft review report including preliminary recommendations.</w:t>
            </w:r>
          </w:p>
        </w:tc>
      </w:tr>
      <w:tr w:rsidR="001826D0" w:rsidRPr="00B70B29" w14:paraId="02658537" w14:textId="77777777" w:rsidTr="009519D0">
        <w:trPr>
          <w:cantSplit/>
        </w:trPr>
        <w:tc>
          <w:tcPr>
            <w:tcW w:w="2119" w:type="dxa"/>
            <w:hideMark/>
          </w:tcPr>
          <w:p w14:paraId="77A689E4" w14:textId="77777777" w:rsidR="009A2D4A" w:rsidRPr="00B70B29" w:rsidRDefault="009A2D4A" w:rsidP="00770A4F">
            <w:pPr>
              <w:pStyle w:val="Tabletext"/>
              <w:rPr>
                <w:b/>
                <w:bCs/>
                <w:sz w:val="20"/>
                <w:szCs w:val="20"/>
              </w:rPr>
            </w:pPr>
            <w:r w:rsidRPr="00B70B29">
              <w:rPr>
                <w:b/>
                <w:bCs/>
                <w:sz w:val="20"/>
                <w:szCs w:val="20"/>
              </w:rPr>
              <w:t>Phase 4: Validation and reporting</w:t>
            </w:r>
          </w:p>
        </w:tc>
        <w:tc>
          <w:tcPr>
            <w:tcW w:w="1636" w:type="dxa"/>
            <w:hideMark/>
          </w:tcPr>
          <w:p w14:paraId="4B04EE88" w14:textId="77777777" w:rsidR="009A2D4A" w:rsidRPr="00B70B29" w:rsidRDefault="009A2D4A" w:rsidP="00770A4F">
            <w:pPr>
              <w:pStyle w:val="Tabletext"/>
              <w:jc w:val="center"/>
              <w:rPr>
                <w:sz w:val="20"/>
                <w:szCs w:val="20"/>
              </w:rPr>
            </w:pPr>
            <w:r w:rsidRPr="00B70B29">
              <w:rPr>
                <w:sz w:val="20"/>
                <w:szCs w:val="20"/>
              </w:rPr>
              <w:t>March – April 2026</w:t>
            </w:r>
          </w:p>
        </w:tc>
        <w:tc>
          <w:tcPr>
            <w:tcW w:w="0" w:type="auto"/>
            <w:hideMark/>
          </w:tcPr>
          <w:p w14:paraId="0FE26429" w14:textId="12894770" w:rsidR="009A2D4A" w:rsidRPr="00B70B29" w:rsidRDefault="00B70B29" w:rsidP="00770A4F">
            <w:pPr>
              <w:pStyle w:val="Tabletext"/>
              <w:ind w:left="284" w:hanging="284"/>
              <w:rPr>
                <w:sz w:val="20"/>
                <w:szCs w:val="20"/>
              </w:rPr>
            </w:pPr>
            <w:r w:rsidRPr="00B70B29">
              <w:rPr>
                <w:sz w:val="20"/>
                <w:szCs w:val="20"/>
              </w:rPr>
              <w:t>–</w:t>
            </w:r>
            <w:r w:rsidRPr="00B70B29">
              <w:rPr>
                <w:sz w:val="20"/>
                <w:szCs w:val="20"/>
              </w:rPr>
              <w:tab/>
            </w:r>
            <w:r w:rsidR="009A2D4A" w:rsidRPr="00B70B29">
              <w:rPr>
                <w:sz w:val="20"/>
                <w:szCs w:val="20"/>
              </w:rPr>
              <w:t>Validation of the draft review report.</w:t>
            </w:r>
          </w:p>
          <w:p w14:paraId="1A397B53" w14:textId="78DE3376" w:rsidR="009A2D4A" w:rsidRPr="00B70B29" w:rsidRDefault="00B70B29" w:rsidP="00770A4F">
            <w:pPr>
              <w:pStyle w:val="Tabletext"/>
              <w:ind w:left="284" w:hanging="284"/>
              <w:rPr>
                <w:sz w:val="20"/>
                <w:szCs w:val="20"/>
              </w:rPr>
            </w:pPr>
            <w:r w:rsidRPr="00B70B29">
              <w:rPr>
                <w:sz w:val="20"/>
                <w:szCs w:val="20"/>
              </w:rPr>
              <w:t>–</w:t>
            </w:r>
            <w:r w:rsidRPr="00B70B29">
              <w:rPr>
                <w:sz w:val="20"/>
                <w:szCs w:val="20"/>
              </w:rPr>
              <w:tab/>
            </w:r>
            <w:r w:rsidR="009A2D4A" w:rsidRPr="00B70B29">
              <w:rPr>
                <w:sz w:val="20"/>
                <w:szCs w:val="20"/>
              </w:rPr>
              <w:t>Incorporation of feedback from validation.</w:t>
            </w:r>
          </w:p>
          <w:p w14:paraId="173FB73E" w14:textId="61011CF5" w:rsidR="009A2D4A" w:rsidRPr="00B70B29" w:rsidRDefault="00B70B29" w:rsidP="00770A4F">
            <w:pPr>
              <w:pStyle w:val="Tabletext"/>
              <w:ind w:left="284" w:hanging="284"/>
              <w:rPr>
                <w:sz w:val="20"/>
                <w:szCs w:val="20"/>
              </w:rPr>
            </w:pPr>
            <w:r w:rsidRPr="00B70B29">
              <w:rPr>
                <w:sz w:val="20"/>
                <w:szCs w:val="20"/>
              </w:rPr>
              <w:t>–</w:t>
            </w:r>
            <w:r w:rsidRPr="00B70B29">
              <w:rPr>
                <w:sz w:val="20"/>
                <w:szCs w:val="20"/>
              </w:rPr>
              <w:tab/>
            </w:r>
            <w:r w:rsidR="009A2D4A" w:rsidRPr="00B70B29">
              <w:rPr>
                <w:sz w:val="20"/>
                <w:szCs w:val="20"/>
              </w:rPr>
              <w:t>Drafting of the final review report for consideration by the Council and the 2026 Plenipotentiary Conference (PP-26).</w:t>
            </w:r>
          </w:p>
        </w:tc>
      </w:tr>
    </w:tbl>
    <w:p w14:paraId="665AC165" w14:textId="77777777" w:rsidR="00770A4F" w:rsidRPr="00B70B29" w:rsidRDefault="00770A4F" w:rsidP="005E750C"/>
    <w:p w14:paraId="2F68DE4D" w14:textId="0826D8A0" w:rsidR="00211160" w:rsidRPr="00B70B29" w:rsidRDefault="004517EC" w:rsidP="00890DEA">
      <w:pPr>
        <w:jc w:val="both"/>
      </w:pPr>
      <w:r w:rsidRPr="00B70B29">
        <w:t xml:space="preserve">For </w:t>
      </w:r>
      <w:r w:rsidR="00921908" w:rsidRPr="00B70B29">
        <w:t>P</w:t>
      </w:r>
      <w:r w:rsidRPr="00B70B29">
        <w:t xml:space="preserve">hase 2, </w:t>
      </w:r>
      <w:r w:rsidR="00B32A75" w:rsidRPr="00B70B29">
        <w:t xml:space="preserve">the </w:t>
      </w:r>
      <w:r w:rsidR="00977DA3" w:rsidRPr="00B70B29">
        <w:t xml:space="preserve">membership </w:t>
      </w:r>
      <w:r w:rsidR="00211160" w:rsidRPr="00B70B29">
        <w:t xml:space="preserve">satisfaction survey </w:t>
      </w:r>
      <w:r w:rsidR="00B32A75" w:rsidRPr="00B70B29">
        <w:t>is expected to</w:t>
      </w:r>
      <w:r w:rsidR="009D1A0B" w:rsidRPr="00B70B29">
        <w:t xml:space="preserve"> be</w:t>
      </w:r>
      <w:r w:rsidR="00B32A75" w:rsidRPr="00B70B29">
        <w:t xml:space="preserve"> </w:t>
      </w:r>
      <w:r w:rsidR="008A18D1" w:rsidRPr="00B70B29">
        <w:t>la</w:t>
      </w:r>
      <w:r w:rsidR="002A5AED" w:rsidRPr="00B70B29">
        <w:t>u</w:t>
      </w:r>
      <w:r w:rsidR="008A18D1" w:rsidRPr="00B70B29">
        <w:t>nch</w:t>
      </w:r>
      <w:r w:rsidR="009D1A0B" w:rsidRPr="00B70B29">
        <w:t>ed</w:t>
      </w:r>
      <w:r w:rsidR="008A18D1" w:rsidRPr="00B70B29">
        <w:t xml:space="preserve"> in </w:t>
      </w:r>
      <w:r w:rsidR="00C838A8" w:rsidRPr="00B70B29">
        <w:t xml:space="preserve">September </w:t>
      </w:r>
      <w:r w:rsidR="008A18D1" w:rsidRPr="00B70B29">
        <w:t xml:space="preserve">and </w:t>
      </w:r>
      <w:r w:rsidR="00F33BF3" w:rsidRPr="00B70B29">
        <w:t>c</w:t>
      </w:r>
      <w:r w:rsidR="008A18D1" w:rsidRPr="00B70B29">
        <w:t>lose</w:t>
      </w:r>
      <w:r w:rsidR="00F33BF3" w:rsidRPr="00B70B29">
        <w:t>d</w:t>
      </w:r>
      <w:r w:rsidR="008A18D1" w:rsidRPr="00B70B29">
        <w:t xml:space="preserve"> in </w:t>
      </w:r>
      <w:r w:rsidR="49CE0FA8" w:rsidRPr="00B70B29">
        <w:t xml:space="preserve">October </w:t>
      </w:r>
      <w:r w:rsidR="00D90A45" w:rsidRPr="00B70B29">
        <w:t>2025</w:t>
      </w:r>
      <w:r w:rsidR="008A18D1" w:rsidRPr="00B70B29">
        <w:t xml:space="preserve">. Processing of the data, computation of the results and analysis will </w:t>
      </w:r>
      <w:r w:rsidR="006C1473" w:rsidRPr="00B70B29">
        <w:t>commence thereafter</w:t>
      </w:r>
      <w:r w:rsidR="009C3B34" w:rsidRPr="00B70B29">
        <w:t>.</w:t>
      </w:r>
    </w:p>
    <w:p w14:paraId="65250DB5" w14:textId="46D37979" w:rsidR="00211160" w:rsidRPr="00B70B29" w:rsidRDefault="00211160" w:rsidP="00442ED7">
      <w:pPr>
        <w:jc w:val="both"/>
      </w:pPr>
      <w:r w:rsidRPr="00B70B29">
        <w:t xml:space="preserve">The document analysis supplemented by internal surveys will take place in parallel and internal surveys will be circulated for responses </w:t>
      </w:r>
      <w:r w:rsidR="00D82F70" w:rsidRPr="00B70B29">
        <w:t>in September</w:t>
      </w:r>
      <w:r w:rsidRPr="00B70B29">
        <w:t>.</w:t>
      </w:r>
      <w:r w:rsidR="5B1C5ABF" w:rsidRPr="00B70B29">
        <w:t xml:space="preserve"> Benchmarking exercise will be conducted in parallel as well.</w:t>
      </w:r>
    </w:p>
    <w:p w14:paraId="5992138F" w14:textId="52FF3C32" w:rsidR="0222358A" w:rsidRPr="00B70B29" w:rsidRDefault="0222358A" w:rsidP="620876C0">
      <w:pPr>
        <w:jc w:val="both"/>
      </w:pPr>
      <w:r w:rsidRPr="00B70B29">
        <w:t xml:space="preserve">Results of Phase 2 </w:t>
      </w:r>
      <w:r w:rsidR="03C32E08" w:rsidRPr="00B70B29">
        <w:t>of the review</w:t>
      </w:r>
      <w:r w:rsidR="6172536B" w:rsidRPr="00B70B29">
        <w:t>, including initial analysis and identification of emerging patterns and key themes,</w:t>
      </w:r>
      <w:r w:rsidR="03C32E08" w:rsidRPr="00B70B29">
        <w:t xml:space="preserve"> </w:t>
      </w:r>
      <w:r w:rsidRPr="00B70B29">
        <w:t>will be presented to the Council Working Group on Financial and Human Resources meeting in January 2026 for consideration and guidance.</w:t>
      </w:r>
    </w:p>
    <w:p w14:paraId="27D98FAE" w14:textId="3688D6C1" w:rsidR="005A5343" w:rsidRPr="00B70B29" w:rsidRDefault="005A5343" w:rsidP="00442ED7">
      <w:pPr>
        <w:jc w:val="both"/>
      </w:pPr>
      <w:r w:rsidRPr="00B70B29">
        <w:t xml:space="preserve">The aim is to have </w:t>
      </w:r>
      <w:r w:rsidR="00835DE7" w:rsidRPr="00B70B29">
        <w:t>the final report ready for submission to Council-26 by the prescribed date for posting secretariat documents.</w:t>
      </w:r>
    </w:p>
    <w:p w14:paraId="0C7A1D30" w14:textId="77777777" w:rsidR="00770A4F" w:rsidRPr="00B70B29" w:rsidRDefault="00770A4F" w:rsidP="00442ED7">
      <w:pPr>
        <w:jc w:val="both"/>
      </w:pPr>
    </w:p>
    <w:p w14:paraId="22B94092" w14:textId="77777777" w:rsidR="00770A4F" w:rsidRPr="00B70B29" w:rsidRDefault="00770A4F">
      <w:pPr>
        <w:jc w:val="center"/>
      </w:pPr>
      <w:r w:rsidRPr="00B70B29">
        <w:t>______________</w:t>
      </w:r>
    </w:p>
    <w:sectPr w:rsidR="00770A4F" w:rsidRPr="00B70B29" w:rsidSect="00AD3606">
      <w:footerReference w:type="default" r:id="rId28"/>
      <w:headerReference w:type="first" r:id="rId29"/>
      <w:footerReference w:type="first" r:id="rId3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BB8B2" w14:textId="77777777" w:rsidR="00E63039" w:rsidRDefault="00E63039">
      <w:r>
        <w:separator/>
      </w:r>
    </w:p>
  </w:endnote>
  <w:endnote w:type="continuationSeparator" w:id="0">
    <w:p w14:paraId="5F903AC7" w14:textId="77777777" w:rsidR="00E63039" w:rsidRDefault="00E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C80D" w14:textId="76F9ADE1" w:rsidR="00F03FDC" w:rsidRDefault="00F03FDC">
    <w:pPr>
      <w:pStyle w:val="Footer"/>
      <w:jc w:val="center"/>
    </w:pPr>
  </w:p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03FDC" w:rsidRPr="00B248BC" w14:paraId="556821FA" w14:textId="77777777">
      <w:trPr>
        <w:jc w:val="center"/>
      </w:trPr>
      <w:tc>
        <w:tcPr>
          <w:tcW w:w="1803" w:type="dxa"/>
          <w:vAlign w:val="center"/>
        </w:tcPr>
        <w:p w14:paraId="2A3C6833" w14:textId="77777777" w:rsidR="00F03FDC" w:rsidRDefault="00F03FDC" w:rsidP="00F03FDC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6A763F52" w14:textId="08CB3D43" w:rsidR="00F03FDC" w:rsidRPr="00BA3A51" w:rsidRDefault="00F03FDC" w:rsidP="00F03FDC">
          <w:pPr>
            <w:pStyle w:val="Header"/>
            <w:tabs>
              <w:tab w:val="left" w:pos="6309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fr-CH"/>
            </w:rPr>
          </w:pPr>
          <w:r w:rsidRPr="005C13D4">
            <w:rPr>
              <w:bCs/>
              <w:lang w:val="fr-CH"/>
            </w:rPr>
            <w:tab/>
          </w:r>
          <w:proofErr w:type="spellStart"/>
          <w:r w:rsidRPr="00BA3A51">
            <w:rPr>
              <w:bCs/>
              <w:lang w:val="fr-CH"/>
            </w:rPr>
            <w:t>CWG</w:t>
          </w:r>
          <w:proofErr w:type="spellEnd"/>
          <w:r w:rsidRPr="00BA3A51">
            <w:rPr>
              <w:bCs/>
              <w:lang w:val="fr-CH"/>
            </w:rPr>
            <w:t>-</w:t>
          </w:r>
          <w:proofErr w:type="spellStart"/>
          <w:r>
            <w:rPr>
              <w:bCs/>
              <w:lang w:val="fr-CH"/>
            </w:rPr>
            <w:t>FHR</w:t>
          </w:r>
          <w:proofErr w:type="spellEnd"/>
          <w:r w:rsidRPr="00BA3A51">
            <w:rPr>
              <w:bCs/>
              <w:lang w:val="fr-CH"/>
            </w:rPr>
            <w:t>-</w:t>
          </w:r>
          <w:r>
            <w:rPr>
              <w:bCs/>
              <w:lang w:val="fr-CH"/>
            </w:rPr>
            <w:t>21/4</w:t>
          </w:r>
          <w:r w:rsidRPr="00BA3A51">
            <w:rPr>
              <w:bCs/>
              <w:lang w:val="fr-CH"/>
            </w:rPr>
            <w:t>-E</w:t>
          </w:r>
          <w:r w:rsidRPr="00BA3A51">
            <w:rPr>
              <w:bCs/>
              <w:lang w:val="fr-CH"/>
            </w:rPr>
            <w:tab/>
          </w:r>
          <w:r>
            <w:fldChar w:fldCharType="begin"/>
          </w:r>
          <w:r w:rsidRPr="00BA3A51">
            <w:rPr>
              <w:lang w:val="fr-CH"/>
            </w:rPr>
            <w:instrText>PAGE</w:instrText>
          </w:r>
          <w:r>
            <w:fldChar w:fldCharType="separate"/>
          </w:r>
          <w:r w:rsidRPr="00BA3A51">
            <w:rPr>
              <w:lang w:val="fr-CH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E38AFA7" w14:textId="77777777" w:rsidR="00EE49E8" w:rsidRPr="00BA3A51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0F6AB8" w14:paraId="3EF303D2" w14:textId="77777777" w:rsidTr="00A52C84">
      <w:trPr>
        <w:jc w:val="center"/>
      </w:trPr>
      <w:tc>
        <w:tcPr>
          <w:tcW w:w="3107" w:type="dxa"/>
          <w:vAlign w:val="center"/>
        </w:tcPr>
        <w:p w14:paraId="5F132838" w14:textId="7B18413E" w:rsidR="00EE49E8" w:rsidRPr="00F56F10" w:rsidRDefault="0025570E" w:rsidP="00EE49E8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 w:rsidRPr="00F56F10">
              <w:rPr>
                <w:rStyle w:val="Hyperlink"/>
                <w:u w:val="none"/>
              </w:rPr>
              <w:t>council.itu.int</w:t>
            </w:r>
            <w:proofErr w:type="spellEnd"/>
            <w:r w:rsidRPr="00F56F10">
              <w:rPr>
                <w:rStyle w:val="Hyperlink"/>
                <w:u w:val="none"/>
              </w:rPr>
              <w:t>/working-groups</w:t>
            </w:r>
          </w:hyperlink>
        </w:p>
      </w:tc>
      <w:tc>
        <w:tcPr>
          <w:tcW w:w="6957" w:type="dxa"/>
        </w:tcPr>
        <w:p w14:paraId="7CFADCBC" w14:textId="3843EB45" w:rsidR="00EE49E8" w:rsidRPr="000F6AB8" w:rsidRDefault="00EE49E8" w:rsidP="000F6AB8">
          <w:pPr>
            <w:pStyle w:val="Header"/>
            <w:tabs>
              <w:tab w:val="left" w:pos="500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proofErr w:type="spellStart"/>
          <w:r w:rsidRPr="000F6AB8">
            <w:rPr>
              <w:bCs/>
              <w:lang w:val="es-ES"/>
            </w:rPr>
            <w:t>C</w:t>
          </w:r>
          <w:r w:rsidR="00A52C84" w:rsidRPr="000F6AB8">
            <w:rPr>
              <w:bCs/>
              <w:lang w:val="es-ES"/>
            </w:rPr>
            <w:t>WG</w:t>
          </w:r>
          <w:proofErr w:type="spellEnd"/>
          <w:r w:rsidR="00A52C84" w:rsidRPr="000F6AB8">
            <w:rPr>
              <w:bCs/>
              <w:lang w:val="es-ES"/>
            </w:rPr>
            <w:t>-</w:t>
          </w:r>
          <w:proofErr w:type="spellStart"/>
          <w:r w:rsidR="000F6AB8" w:rsidRPr="000F6AB8">
            <w:rPr>
              <w:bCs/>
              <w:lang w:val="es-ES"/>
            </w:rPr>
            <w:t>FHR</w:t>
          </w:r>
          <w:proofErr w:type="spellEnd"/>
          <w:r w:rsidR="00A52C84" w:rsidRPr="000F6AB8">
            <w:rPr>
              <w:bCs/>
              <w:lang w:val="es-ES"/>
            </w:rPr>
            <w:t>-</w:t>
          </w:r>
          <w:r w:rsidR="00AC61DD">
            <w:rPr>
              <w:bCs/>
              <w:lang w:val="es-ES"/>
            </w:rPr>
            <w:t>21</w:t>
          </w:r>
          <w:r w:rsidRPr="000F6AB8">
            <w:rPr>
              <w:bCs/>
              <w:lang w:val="es-ES"/>
            </w:rPr>
            <w:t>/</w:t>
          </w:r>
          <w:r w:rsidR="00F03FDC">
            <w:rPr>
              <w:bCs/>
              <w:lang w:val="es-ES"/>
            </w:rPr>
            <w:t>4</w:t>
          </w:r>
          <w:r w:rsidRPr="000F6AB8">
            <w:rPr>
              <w:bCs/>
              <w:lang w:val="es-ES"/>
            </w:rPr>
            <w:t>-E</w:t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0BE65BF2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D4035" w14:textId="77777777" w:rsidR="00E63039" w:rsidRDefault="00E63039">
      <w:r>
        <w:t>____________________</w:t>
      </w:r>
    </w:p>
  </w:footnote>
  <w:footnote w:type="continuationSeparator" w:id="0">
    <w:p w14:paraId="27BEA46C" w14:textId="77777777" w:rsidR="00E63039" w:rsidRDefault="00E6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114242FC" w14:textId="77777777" w:rsidTr="00F74694">
      <w:trPr>
        <w:trHeight w:val="1304"/>
        <w:jc w:val="center"/>
      </w:trPr>
      <w:tc>
        <w:tcPr>
          <w:tcW w:w="6546" w:type="dxa"/>
        </w:tcPr>
        <w:bookmarkStart w:id="12" w:name="_Hlk133422111"/>
        <w:p w14:paraId="6A22278E" w14:textId="77777777" w:rsidR="00AD3606" w:rsidRPr="009621F8" w:rsidRDefault="00F56F10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018AED90" wp14:editId="34251946">
                    <wp:simplePos x="0" y="0"/>
                    <wp:positionH relativeFrom="column">
                      <wp:posOffset>1433251</wp:posOffset>
                    </wp:positionH>
                    <wp:positionV relativeFrom="paragraph">
                      <wp:posOffset>5080</wp:posOffset>
                    </wp:positionV>
                    <wp:extent cx="4399153" cy="471170"/>
                    <wp:effectExtent l="0" t="0" r="1905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99153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B59D24" w14:textId="7DC4509F" w:rsidR="00130599" w:rsidRDefault="00A43C03" w:rsidP="00EE60D0">
                                <w:pPr>
                                  <w:spacing w:before="0"/>
                                </w:pP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Council Working Group 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  <w:t xml:space="preserve">on </w:t>
                                </w: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financial and human resources</w:t>
                                </w:r>
                                <w:r>
                                  <w:br/>
                                </w:r>
                                <w:r w:rsidR="00CB24AA">
                                  <w:rPr>
                                    <w:sz w:val="20"/>
                                  </w:rPr>
                                  <w:t>Twent</w:t>
                                </w:r>
                                <w:r w:rsidR="00AC61DD">
                                  <w:rPr>
                                    <w:sz w:val="20"/>
                                  </w:rPr>
                                  <w:t>y-first</w:t>
                                </w:r>
                                <w:r w:rsidRPr="00130599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Pr="00EE60D0">
                                  <w:rPr>
                                    <w:sz w:val="20"/>
                                  </w:rPr>
                                  <w:t xml:space="preserve">meeting – </w:t>
                                </w:r>
                                <w:r w:rsidR="00EE60D0" w:rsidRPr="00EE60D0">
                                  <w:rPr>
                                    <w:sz w:val="20"/>
                                  </w:rPr>
                                  <w:t>From 10</w:t>
                                </w:r>
                                <w:r w:rsidR="00F426EB">
                                  <w:rPr>
                                    <w:sz w:val="20"/>
                                  </w:rPr>
                                  <w:t xml:space="preserve"> (p.m.)</w:t>
                                </w:r>
                                <w:r w:rsidR="00EE60D0" w:rsidRPr="00EE60D0">
                                  <w:rPr>
                                    <w:sz w:val="20"/>
                                  </w:rPr>
                                  <w:t xml:space="preserve"> to 12 September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<w:pict w14:anchorId="02945F1C">
                  <v:shapetype id="_x0000_t202" coordsize="21600,21600" o:spt="202" path="m,l,21600r21600,l21600,xe" w14:anchorId="018AED90">
                    <v:stroke joinstyle="miter"/>
                    <v:path gradientshapeok="t" o:connecttype="rect"/>
                  </v:shapetype>
                  <v:shape id="Text Box 2" style="position:absolute;margin-left:112.85pt;margin-top:.4pt;width:346.4pt;height:37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1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KuEQ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">
                    <v:textbox style="mso-fit-shape-to-text:t" inset="1mm">
                      <w:txbxContent>
                        <w:p w:rsidR="00130599" w:rsidP="00EE60D0" w:rsidRDefault="00A43C03" w14:paraId="3787C280" w14:textId="7DC4509F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on 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financial and human resources</w:t>
                          </w:r>
                          <w:r>
                            <w:br/>
                          </w:r>
                          <w:r w:rsidR="00CB24AA">
                            <w:rPr>
                              <w:sz w:val="20"/>
                            </w:rPr>
                            <w:t>Twent</w:t>
                          </w:r>
                          <w:r w:rsidR="00AC61DD">
                            <w:rPr>
                              <w:sz w:val="20"/>
                            </w:rPr>
                            <w:t>y-first</w:t>
                          </w:r>
                          <w:r w:rsidRPr="00130599">
                            <w:rPr>
                              <w:sz w:val="20"/>
                            </w:rPr>
                            <w:t xml:space="preserve"> </w:t>
                          </w:r>
                          <w:r w:rsidRPr="00EE60D0">
                            <w:rPr>
                              <w:sz w:val="20"/>
                            </w:rPr>
                            <w:t xml:space="preserve">meeting – </w:t>
                          </w:r>
                          <w:r w:rsidRPr="00EE60D0" w:rsidR="00EE60D0">
                            <w:rPr>
                              <w:sz w:val="20"/>
                            </w:rPr>
                            <w:t>From 10</w:t>
                          </w:r>
                          <w:r w:rsidR="00F426EB">
                            <w:rPr>
                              <w:sz w:val="20"/>
                            </w:rPr>
                            <w:t xml:space="preserve"> (p.m.)</w:t>
                          </w:r>
                          <w:r w:rsidRPr="00EE60D0" w:rsidR="00EE60D0">
                            <w:rPr>
                              <w:sz w:val="20"/>
                            </w:rPr>
                            <w:t xml:space="preserve"> to 12 September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25FF8506" wp14:editId="569F0CBF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3B5458B7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2DDC2E10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72DFDD86" w14:textId="77777777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2"/>
  <w:p w14:paraId="36108734" w14:textId="77777777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B8E5DC" wp14:editId="06570709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 w14:anchorId="05BD61DA">
            <v:rect id="Rectangle 5" style="position:absolute;margin-left:1.15pt;margin-top:43.75pt;width: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spid="_x0000_s1026" fillcolor="#009cd5" stroked="f" w14:anchorId="69CC0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>
              <w10:wrap anchorx="page" anchory="margin"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GrV27/k9T5J7b" int2:id="HsDMibLJ">
      <int2:state int2:value="Rejected" int2:type="spell"/>
    </int2:textHash>
    <int2:textHash int2:hashCode="BC3EUS+j05HFFw" int2:id="lL8LKVpa">
      <int2:state int2:value="Rejected" int2:type="spell"/>
    </int2:textHash>
    <int2:bookmark int2:bookmarkName="_Int_2nb8iWVd" int2:invalidationBookmarkName="" int2:hashCode="z/pQoyyxOiQNcF" int2:id="yqd2PTXi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83CB1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AE85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4A9B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523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54F2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20EA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281A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80DF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EEE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C25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21CCF"/>
    <w:multiLevelType w:val="hybridMultilevel"/>
    <w:tmpl w:val="650C1A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A7E00"/>
    <w:multiLevelType w:val="hybridMultilevel"/>
    <w:tmpl w:val="C2E8B602"/>
    <w:lvl w:ilvl="0" w:tplc="174C481C">
      <w:start w:val="1"/>
      <w:numFmt w:val="decimal"/>
      <w:lvlText w:val="%1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5784D"/>
    <w:multiLevelType w:val="multilevel"/>
    <w:tmpl w:val="DF8CA0B0"/>
    <w:lvl w:ilvl="0">
      <w:start w:val="2"/>
      <w:numFmt w:val="lowerRoman"/>
      <w:lvlText w:val="%1."/>
      <w:lvlJc w:val="right"/>
      <w:pPr>
        <w:tabs>
          <w:tab w:val="num" w:pos="6107"/>
        </w:tabs>
        <w:ind w:left="6107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6827"/>
        </w:tabs>
        <w:ind w:left="682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47"/>
        </w:tabs>
        <w:ind w:left="7547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8267"/>
        </w:tabs>
        <w:ind w:left="8267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8987"/>
        </w:tabs>
        <w:ind w:left="898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07"/>
        </w:tabs>
        <w:ind w:left="9707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10427"/>
        </w:tabs>
        <w:ind w:left="10427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11147"/>
        </w:tabs>
        <w:ind w:left="1114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67"/>
        </w:tabs>
        <w:ind w:left="11867" w:hanging="360"/>
      </w:pPr>
    </w:lvl>
  </w:abstractNum>
  <w:abstractNum w:abstractNumId="13" w15:restartNumberingAfterBreak="0">
    <w:nsid w:val="2E3D2180"/>
    <w:multiLevelType w:val="hybridMultilevel"/>
    <w:tmpl w:val="D15092B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B4051"/>
    <w:multiLevelType w:val="hybridMultilevel"/>
    <w:tmpl w:val="56EC189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95627"/>
    <w:multiLevelType w:val="hybridMultilevel"/>
    <w:tmpl w:val="FF4008AA"/>
    <w:lvl w:ilvl="0" w:tplc="67046D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03E4E50"/>
    <w:multiLevelType w:val="hybridMultilevel"/>
    <w:tmpl w:val="41280F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05148"/>
    <w:multiLevelType w:val="hybridMultilevel"/>
    <w:tmpl w:val="02FCE7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A5702"/>
    <w:multiLevelType w:val="hybridMultilevel"/>
    <w:tmpl w:val="5BB6E70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B0EBA"/>
    <w:multiLevelType w:val="multilevel"/>
    <w:tmpl w:val="5DDA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B90F15"/>
    <w:multiLevelType w:val="hybridMultilevel"/>
    <w:tmpl w:val="B274AA5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9C1119"/>
    <w:multiLevelType w:val="hybridMultilevel"/>
    <w:tmpl w:val="44C6DA0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DC4AD0"/>
    <w:multiLevelType w:val="hybridMultilevel"/>
    <w:tmpl w:val="52B8F5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07B5D"/>
    <w:multiLevelType w:val="hybridMultilevel"/>
    <w:tmpl w:val="8BC82340"/>
    <w:lvl w:ilvl="0" w:tplc="BCA0D05A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E6B6D"/>
    <w:multiLevelType w:val="hybridMultilevel"/>
    <w:tmpl w:val="25D48DC4"/>
    <w:lvl w:ilvl="0" w:tplc="A29834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B4403"/>
    <w:multiLevelType w:val="multilevel"/>
    <w:tmpl w:val="F460CDE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807AC1"/>
    <w:multiLevelType w:val="hybridMultilevel"/>
    <w:tmpl w:val="7DFEEC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9573B"/>
    <w:multiLevelType w:val="hybridMultilevel"/>
    <w:tmpl w:val="59D0F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719AF"/>
    <w:multiLevelType w:val="multilevel"/>
    <w:tmpl w:val="F5789F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374816267">
    <w:abstractNumId w:val="9"/>
  </w:num>
  <w:num w:numId="2" w16cid:durableId="1865902391">
    <w:abstractNumId w:val="7"/>
  </w:num>
  <w:num w:numId="3" w16cid:durableId="559444507">
    <w:abstractNumId w:val="6"/>
  </w:num>
  <w:num w:numId="4" w16cid:durableId="1808742026">
    <w:abstractNumId w:val="5"/>
  </w:num>
  <w:num w:numId="5" w16cid:durableId="1592086726">
    <w:abstractNumId w:val="4"/>
  </w:num>
  <w:num w:numId="6" w16cid:durableId="1683579996">
    <w:abstractNumId w:val="8"/>
  </w:num>
  <w:num w:numId="7" w16cid:durableId="140275429">
    <w:abstractNumId w:val="3"/>
  </w:num>
  <w:num w:numId="8" w16cid:durableId="2105761152">
    <w:abstractNumId w:val="2"/>
  </w:num>
  <w:num w:numId="9" w16cid:durableId="463238892">
    <w:abstractNumId w:val="1"/>
  </w:num>
  <w:num w:numId="10" w16cid:durableId="2051613411">
    <w:abstractNumId w:val="0"/>
  </w:num>
  <w:num w:numId="11" w16cid:durableId="1744912177">
    <w:abstractNumId w:val="8"/>
  </w:num>
  <w:num w:numId="12" w16cid:durableId="1121804825">
    <w:abstractNumId w:val="3"/>
  </w:num>
  <w:num w:numId="13" w16cid:durableId="196285695">
    <w:abstractNumId w:val="2"/>
  </w:num>
  <w:num w:numId="14" w16cid:durableId="1944993330">
    <w:abstractNumId w:val="1"/>
  </w:num>
  <w:num w:numId="15" w16cid:durableId="1833257664">
    <w:abstractNumId w:val="0"/>
  </w:num>
  <w:num w:numId="16" w16cid:durableId="1867715058">
    <w:abstractNumId w:val="10"/>
  </w:num>
  <w:num w:numId="17" w16cid:durableId="915168766">
    <w:abstractNumId w:val="11"/>
  </w:num>
  <w:num w:numId="18" w16cid:durableId="664698859">
    <w:abstractNumId w:val="18"/>
  </w:num>
  <w:num w:numId="19" w16cid:durableId="972708087">
    <w:abstractNumId w:val="16"/>
  </w:num>
  <w:num w:numId="20" w16cid:durableId="307632271">
    <w:abstractNumId w:val="24"/>
  </w:num>
  <w:num w:numId="21" w16cid:durableId="864370236">
    <w:abstractNumId w:val="17"/>
  </w:num>
  <w:num w:numId="22" w16cid:durableId="452554000">
    <w:abstractNumId w:val="21"/>
  </w:num>
  <w:num w:numId="23" w16cid:durableId="1511944050">
    <w:abstractNumId w:val="22"/>
  </w:num>
  <w:num w:numId="24" w16cid:durableId="561525462">
    <w:abstractNumId w:val="27"/>
  </w:num>
  <w:num w:numId="25" w16cid:durableId="595285053">
    <w:abstractNumId w:val="19"/>
  </w:num>
  <w:num w:numId="26" w16cid:durableId="260651589">
    <w:abstractNumId w:val="14"/>
  </w:num>
  <w:num w:numId="27" w16cid:durableId="557202069">
    <w:abstractNumId w:val="13"/>
  </w:num>
  <w:num w:numId="28" w16cid:durableId="119737323">
    <w:abstractNumId w:val="23"/>
  </w:num>
  <w:num w:numId="29" w16cid:durableId="536091026">
    <w:abstractNumId w:val="26"/>
  </w:num>
  <w:num w:numId="30" w16cid:durableId="336082726">
    <w:abstractNumId w:val="20"/>
  </w:num>
  <w:num w:numId="31" w16cid:durableId="1086729276">
    <w:abstractNumId w:val="25"/>
  </w:num>
  <w:num w:numId="32" w16cid:durableId="126944379">
    <w:abstractNumId w:val="12"/>
  </w:num>
  <w:num w:numId="33" w16cid:durableId="1718430103">
    <w:abstractNumId w:val="28"/>
  </w:num>
  <w:num w:numId="34" w16cid:durableId="8649447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09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C5"/>
    <w:rsid w:val="00005BA9"/>
    <w:rsid w:val="00006308"/>
    <w:rsid w:val="00011261"/>
    <w:rsid w:val="000120E4"/>
    <w:rsid w:val="000151BA"/>
    <w:rsid w:val="00015257"/>
    <w:rsid w:val="00016CBB"/>
    <w:rsid w:val="000210D4"/>
    <w:rsid w:val="0002627D"/>
    <w:rsid w:val="00027E90"/>
    <w:rsid w:val="0003103C"/>
    <w:rsid w:val="00034E1F"/>
    <w:rsid w:val="00034E82"/>
    <w:rsid w:val="000359B3"/>
    <w:rsid w:val="00046146"/>
    <w:rsid w:val="0004708A"/>
    <w:rsid w:val="00053E19"/>
    <w:rsid w:val="00056B3F"/>
    <w:rsid w:val="00063016"/>
    <w:rsid w:val="00064037"/>
    <w:rsid w:val="00066795"/>
    <w:rsid w:val="00071B47"/>
    <w:rsid w:val="00071E4C"/>
    <w:rsid w:val="000720EC"/>
    <w:rsid w:val="00076AF6"/>
    <w:rsid w:val="00077D6E"/>
    <w:rsid w:val="00081F45"/>
    <w:rsid w:val="00085CF2"/>
    <w:rsid w:val="00086231"/>
    <w:rsid w:val="000870E2"/>
    <w:rsid w:val="000940B2"/>
    <w:rsid w:val="0009410A"/>
    <w:rsid w:val="00094410"/>
    <w:rsid w:val="000A297A"/>
    <w:rsid w:val="000A635E"/>
    <w:rsid w:val="000A6D24"/>
    <w:rsid w:val="000A75F7"/>
    <w:rsid w:val="000B086A"/>
    <w:rsid w:val="000B1705"/>
    <w:rsid w:val="000B6445"/>
    <w:rsid w:val="000C4ACA"/>
    <w:rsid w:val="000D117F"/>
    <w:rsid w:val="000D56C5"/>
    <w:rsid w:val="000D6513"/>
    <w:rsid w:val="000D75B2"/>
    <w:rsid w:val="000E0882"/>
    <w:rsid w:val="000E08FF"/>
    <w:rsid w:val="000E2C58"/>
    <w:rsid w:val="000E33A4"/>
    <w:rsid w:val="000F108A"/>
    <w:rsid w:val="000F6AB8"/>
    <w:rsid w:val="001005D2"/>
    <w:rsid w:val="001078F7"/>
    <w:rsid w:val="00111BB8"/>
    <w:rsid w:val="001121F5"/>
    <w:rsid w:val="00112322"/>
    <w:rsid w:val="0012451F"/>
    <w:rsid w:val="001251DA"/>
    <w:rsid w:val="00130599"/>
    <w:rsid w:val="001319BC"/>
    <w:rsid w:val="001346C6"/>
    <w:rsid w:val="001357EA"/>
    <w:rsid w:val="001400DC"/>
    <w:rsid w:val="00140421"/>
    <w:rsid w:val="00140CE1"/>
    <w:rsid w:val="00141CAB"/>
    <w:rsid w:val="001460D5"/>
    <w:rsid w:val="00147C54"/>
    <w:rsid w:val="0015140B"/>
    <w:rsid w:val="00153609"/>
    <w:rsid w:val="00171351"/>
    <w:rsid w:val="00171F6D"/>
    <w:rsid w:val="00173ED6"/>
    <w:rsid w:val="00174E50"/>
    <w:rsid w:val="0017539C"/>
    <w:rsid w:val="00175AC2"/>
    <w:rsid w:val="0017609F"/>
    <w:rsid w:val="001826D0"/>
    <w:rsid w:val="001837AF"/>
    <w:rsid w:val="00190F0E"/>
    <w:rsid w:val="00197D30"/>
    <w:rsid w:val="001A0C87"/>
    <w:rsid w:val="001A2338"/>
    <w:rsid w:val="001A2996"/>
    <w:rsid w:val="001A4D36"/>
    <w:rsid w:val="001A7D1D"/>
    <w:rsid w:val="001B06AB"/>
    <w:rsid w:val="001B2C97"/>
    <w:rsid w:val="001B3F03"/>
    <w:rsid w:val="001B4320"/>
    <w:rsid w:val="001B51DD"/>
    <w:rsid w:val="001B7E38"/>
    <w:rsid w:val="001C083F"/>
    <w:rsid w:val="001C227C"/>
    <w:rsid w:val="001C605C"/>
    <w:rsid w:val="001C628E"/>
    <w:rsid w:val="001D1575"/>
    <w:rsid w:val="001D249F"/>
    <w:rsid w:val="001D390A"/>
    <w:rsid w:val="001D43C2"/>
    <w:rsid w:val="001D66FD"/>
    <w:rsid w:val="001E0F7B"/>
    <w:rsid w:val="001E0FBE"/>
    <w:rsid w:val="001E453E"/>
    <w:rsid w:val="001E5FE7"/>
    <w:rsid w:val="001E65BD"/>
    <w:rsid w:val="001E7082"/>
    <w:rsid w:val="001E754D"/>
    <w:rsid w:val="001F11F4"/>
    <w:rsid w:val="001F51CA"/>
    <w:rsid w:val="002009DA"/>
    <w:rsid w:val="002024AE"/>
    <w:rsid w:val="0020420B"/>
    <w:rsid w:val="002051C1"/>
    <w:rsid w:val="002109C3"/>
    <w:rsid w:val="00210B18"/>
    <w:rsid w:val="00211160"/>
    <w:rsid w:val="002119FD"/>
    <w:rsid w:val="002130E0"/>
    <w:rsid w:val="002139B5"/>
    <w:rsid w:val="00214C70"/>
    <w:rsid w:val="00216A3A"/>
    <w:rsid w:val="002173AE"/>
    <w:rsid w:val="00227BC2"/>
    <w:rsid w:val="00227E4F"/>
    <w:rsid w:val="00227E56"/>
    <w:rsid w:val="0023105A"/>
    <w:rsid w:val="00233C02"/>
    <w:rsid w:val="0023638D"/>
    <w:rsid w:val="0024009F"/>
    <w:rsid w:val="00240BBA"/>
    <w:rsid w:val="00244F7F"/>
    <w:rsid w:val="00246E7F"/>
    <w:rsid w:val="0025197E"/>
    <w:rsid w:val="002527A3"/>
    <w:rsid w:val="0025570E"/>
    <w:rsid w:val="00255B6B"/>
    <w:rsid w:val="00264425"/>
    <w:rsid w:val="00264FAA"/>
    <w:rsid w:val="00265875"/>
    <w:rsid w:val="00266D42"/>
    <w:rsid w:val="00270F83"/>
    <w:rsid w:val="002723B9"/>
    <w:rsid w:val="0027303B"/>
    <w:rsid w:val="002734E1"/>
    <w:rsid w:val="00275105"/>
    <w:rsid w:val="00276ED8"/>
    <w:rsid w:val="00277F52"/>
    <w:rsid w:val="0028109B"/>
    <w:rsid w:val="002844CA"/>
    <w:rsid w:val="00295F34"/>
    <w:rsid w:val="0029675D"/>
    <w:rsid w:val="002A141F"/>
    <w:rsid w:val="002A2188"/>
    <w:rsid w:val="002A23C7"/>
    <w:rsid w:val="002A3F43"/>
    <w:rsid w:val="002A5AED"/>
    <w:rsid w:val="002B1456"/>
    <w:rsid w:val="002B1F58"/>
    <w:rsid w:val="002B242C"/>
    <w:rsid w:val="002B2A56"/>
    <w:rsid w:val="002B6A1F"/>
    <w:rsid w:val="002B6AAC"/>
    <w:rsid w:val="002C009C"/>
    <w:rsid w:val="002C1C7A"/>
    <w:rsid w:val="002C54E2"/>
    <w:rsid w:val="002D2479"/>
    <w:rsid w:val="002D31E0"/>
    <w:rsid w:val="002D601A"/>
    <w:rsid w:val="002E0AC3"/>
    <w:rsid w:val="002E536D"/>
    <w:rsid w:val="002E54E2"/>
    <w:rsid w:val="002E7D5E"/>
    <w:rsid w:val="002F2219"/>
    <w:rsid w:val="002F31E8"/>
    <w:rsid w:val="002F75D2"/>
    <w:rsid w:val="0030160F"/>
    <w:rsid w:val="003019E7"/>
    <w:rsid w:val="00301AEE"/>
    <w:rsid w:val="00303783"/>
    <w:rsid w:val="00303DBD"/>
    <w:rsid w:val="00307797"/>
    <w:rsid w:val="00307862"/>
    <w:rsid w:val="003145DF"/>
    <w:rsid w:val="00320223"/>
    <w:rsid w:val="00322D0D"/>
    <w:rsid w:val="00325DC8"/>
    <w:rsid w:val="0032755D"/>
    <w:rsid w:val="003275A3"/>
    <w:rsid w:val="00332C18"/>
    <w:rsid w:val="00333047"/>
    <w:rsid w:val="003338CB"/>
    <w:rsid w:val="003350C3"/>
    <w:rsid w:val="0033658F"/>
    <w:rsid w:val="003408B7"/>
    <w:rsid w:val="0034254E"/>
    <w:rsid w:val="00342753"/>
    <w:rsid w:val="00347167"/>
    <w:rsid w:val="003533CF"/>
    <w:rsid w:val="00353B31"/>
    <w:rsid w:val="00356729"/>
    <w:rsid w:val="0035758E"/>
    <w:rsid w:val="00361465"/>
    <w:rsid w:val="003618EB"/>
    <w:rsid w:val="00366496"/>
    <w:rsid w:val="003732A0"/>
    <w:rsid w:val="00376264"/>
    <w:rsid w:val="00382A4E"/>
    <w:rsid w:val="00386F6C"/>
    <w:rsid w:val="003877F5"/>
    <w:rsid w:val="00393D90"/>
    <w:rsid w:val="00393ED2"/>
    <w:rsid w:val="003942D4"/>
    <w:rsid w:val="0039514F"/>
    <w:rsid w:val="003958A8"/>
    <w:rsid w:val="0039668E"/>
    <w:rsid w:val="003A092C"/>
    <w:rsid w:val="003B29C2"/>
    <w:rsid w:val="003B4AED"/>
    <w:rsid w:val="003C1B5C"/>
    <w:rsid w:val="003C20CA"/>
    <w:rsid w:val="003C2533"/>
    <w:rsid w:val="003C5BE6"/>
    <w:rsid w:val="003C6A19"/>
    <w:rsid w:val="003C724A"/>
    <w:rsid w:val="003D11BA"/>
    <w:rsid w:val="003D568A"/>
    <w:rsid w:val="003D5A7F"/>
    <w:rsid w:val="003D635C"/>
    <w:rsid w:val="003E084F"/>
    <w:rsid w:val="003E345B"/>
    <w:rsid w:val="003E40EB"/>
    <w:rsid w:val="003E64DB"/>
    <w:rsid w:val="003E73C1"/>
    <w:rsid w:val="003E7618"/>
    <w:rsid w:val="003F2D27"/>
    <w:rsid w:val="003F456F"/>
    <w:rsid w:val="003F4654"/>
    <w:rsid w:val="0040104A"/>
    <w:rsid w:val="004016E2"/>
    <w:rsid w:val="00401701"/>
    <w:rsid w:val="00403724"/>
    <w:rsid w:val="0040435A"/>
    <w:rsid w:val="004065F4"/>
    <w:rsid w:val="004100D0"/>
    <w:rsid w:val="004104A8"/>
    <w:rsid w:val="00413DD2"/>
    <w:rsid w:val="004159FD"/>
    <w:rsid w:val="00415D86"/>
    <w:rsid w:val="00416A24"/>
    <w:rsid w:val="0042059E"/>
    <w:rsid w:val="0042278B"/>
    <w:rsid w:val="00424882"/>
    <w:rsid w:val="00431AF8"/>
    <w:rsid w:val="00431D9E"/>
    <w:rsid w:val="00432F5F"/>
    <w:rsid w:val="00433CE8"/>
    <w:rsid w:val="00434A5C"/>
    <w:rsid w:val="00436547"/>
    <w:rsid w:val="00442355"/>
    <w:rsid w:val="00442ED7"/>
    <w:rsid w:val="004468FD"/>
    <w:rsid w:val="00446E66"/>
    <w:rsid w:val="004517EC"/>
    <w:rsid w:val="004544D9"/>
    <w:rsid w:val="00456090"/>
    <w:rsid w:val="004570D6"/>
    <w:rsid w:val="00465021"/>
    <w:rsid w:val="00472559"/>
    <w:rsid w:val="00472BAD"/>
    <w:rsid w:val="00476444"/>
    <w:rsid w:val="00476C18"/>
    <w:rsid w:val="00484009"/>
    <w:rsid w:val="00487ABE"/>
    <w:rsid w:val="00490E72"/>
    <w:rsid w:val="00491157"/>
    <w:rsid w:val="004921C8"/>
    <w:rsid w:val="00495B0B"/>
    <w:rsid w:val="00495C25"/>
    <w:rsid w:val="00495D85"/>
    <w:rsid w:val="004A0122"/>
    <w:rsid w:val="004A18AF"/>
    <w:rsid w:val="004A1B8B"/>
    <w:rsid w:val="004A424D"/>
    <w:rsid w:val="004B38B6"/>
    <w:rsid w:val="004B6A21"/>
    <w:rsid w:val="004C1679"/>
    <w:rsid w:val="004C1E04"/>
    <w:rsid w:val="004C60A9"/>
    <w:rsid w:val="004C64A2"/>
    <w:rsid w:val="004C76E2"/>
    <w:rsid w:val="004D17F5"/>
    <w:rsid w:val="004D1851"/>
    <w:rsid w:val="004D3766"/>
    <w:rsid w:val="004D3B0A"/>
    <w:rsid w:val="004D599D"/>
    <w:rsid w:val="004E28D5"/>
    <w:rsid w:val="004E2EA5"/>
    <w:rsid w:val="004E30C3"/>
    <w:rsid w:val="004E3AEB"/>
    <w:rsid w:val="004E426C"/>
    <w:rsid w:val="004E6E2D"/>
    <w:rsid w:val="004F41D8"/>
    <w:rsid w:val="004F5318"/>
    <w:rsid w:val="0050223C"/>
    <w:rsid w:val="005039C5"/>
    <w:rsid w:val="00503FF7"/>
    <w:rsid w:val="00504E8B"/>
    <w:rsid w:val="00505575"/>
    <w:rsid w:val="00507750"/>
    <w:rsid w:val="0051288D"/>
    <w:rsid w:val="00513DED"/>
    <w:rsid w:val="00515579"/>
    <w:rsid w:val="00516459"/>
    <w:rsid w:val="00520A9E"/>
    <w:rsid w:val="005220CB"/>
    <w:rsid w:val="00522AB8"/>
    <w:rsid w:val="005243FF"/>
    <w:rsid w:val="00524994"/>
    <w:rsid w:val="005311D6"/>
    <w:rsid w:val="0053192C"/>
    <w:rsid w:val="00536422"/>
    <w:rsid w:val="00537AD8"/>
    <w:rsid w:val="0054288B"/>
    <w:rsid w:val="0054380F"/>
    <w:rsid w:val="00544C07"/>
    <w:rsid w:val="00545E80"/>
    <w:rsid w:val="00546558"/>
    <w:rsid w:val="00546DC6"/>
    <w:rsid w:val="00550070"/>
    <w:rsid w:val="00552449"/>
    <w:rsid w:val="00553B89"/>
    <w:rsid w:val="00556015"/>
    <w:rsid w:val="005569FC"/>
    <w:rsid w:val="00556BFB"/>
    <w:rsid w:val="0056337A"/>
    <w:rsid w:val="00564FBC"/>
    <w:rsid w:val="00572A16"/>
    <w:rsid w:val="00577A75"/>
    <w:rsid w:val="005800BC"/>
    <w:rsid w:val="00582442"/>
    <w:rsid w:val="00583CF1"/>
    <w:rsid w:val="00585B6C"/>
    <w:rsid w:val="00590653"/>
    <w:rsid w:val="005908C1"/>
    <w:rsid w:val="00593EF4"/>
    <w:rsid w:val="00595291"/>
    <w:rsid w:val="005952F2"/>
    <w:rsid w:val="00596467"/>
    <w:rsid w:val="005A335D"/>
    <w:rsid w:val="005A5343"/>
    <w:rsid w:val="005B1240"/>
    <w:rsid w:val="005B3BD2"/>
    <w:rsid w:val="005B67F2"/>
    <w:rsid w:val="005B768B"/>
    <w:rsid w:val="005C13D4"/>
    <w:rsid w:val="005C6F1C"/>
    <w:rsid w:val="005C77C0"/>
    <w:rsid w:val="005D0F0C"/>
    <w:rsid w:val="005D11EE"/>
    <w:rsid w:val="005D3E13"/>
    <w:rsid w:val="005D7338"/>
    <w:rsid w:val="005E24DC"/>
    <w:rsid w:val="005E2BD5"/>
    <w:rsid w:val="005E413F"/>
    <w:rsid w:val="005E5406"/>
    <w:rsid w:val="005E5ABF"/>
    <w:rsid w:val="005E750C"/>
    <w:rsid w:val="005F3269"/>
    <w:rsid w:val="005F3EDB"/>
    <w:rsid w:val="005F578A"/>
    <w:rsid w:val="005F65E5"/>
    <w:rsid w:val="006027C4"/>
    <w:rsid w:val="00602988"/>
    <w:rsid w:val="00602AD0"/>
    <w:rsid w:val="006032C6"/>
    <w:rsid w:val="00605615"/>
    <w:rsid w:val="00607921"/>
    <w:rsid w:val="006136AE"/>
    <w:rsid w:val="00614627"/>
    <w:rsid w:val="00615961"/>
    <w:rsid w:val="006159FB"/>
    <w:rsid w:val="0061684C"/>
    <w:rsid w:val="006215A2"/>
    <w:rsid w:val="00623AE3"/>
    <w:rsid w:val="00625362"/>
    <w:rsid w:val="006253F2"/>
    <w:rsid w:val="006261F4"/>
    <w:rsid w:val="00627F2C"/>
    <w:rsid w:val="0063192A"/>
    <w:rsid w:val="006364A3"/>
    <w:rsid w:val="00641FA1"/>
    <w:rsid w:val="00643B98"/>
    <w:rsid w:val="0064737F"/>
    <w:rsid w:val="00650580"/>
    <w:rsid w:val="006535F1"/>
    <w:rsid w:val="0065557D"/>
    <w:rsid w:val="00655D1C"/>
    <w:rsid w:val="00655D2B"/>
    <w:rsid w:val="00660D50"/>
    <w:rsid w:val="00662984"/>
    <w:rsid w:val="00662EE2"/>
    <w:rsid w:val="0066512D"/>
    <w:rsid w:val="00670755"/>
    <w:rsid w:val="006716BB"/>
    <w:rsid w:val="0068204A"/>
    <w:rsid w:val="0068500C"/>
    <w:rsid w:val="00696A03"/>
    <w:rsid w:val="0069774E"/>
    <w:rsid w:val="00697893"/>
    <w:rsid w:val="006A1413"/>
    <w:rsid w:val="006A152C"/>
    <w:rsid w:val="006A1B41"/>
    <w:rsid w:val="006A4186"/>
    <w:rsid w:val="006B1859"/>
    <w:rsid w:val="006B391D"/>
    <w:rsid w:val="006B543E"/>
    <w:rsid w:val="006B6680"/>
    <w:rsid w:val="006B6DCC"/>
    <w:rsid w:val="006B79CC"/>
    <w:rsid w:val="006B7C8C"/>
    <w:rsid w:val="006C1473"/>
    <w:rsid w:val="006C1D50"/>
    <w:rsid w:val="006C20FC"/>
    <w:rsid w:val="006C7FEF"/>
    <w:rsid w:val="006D0B1B"/>
    <w:rsid w:val="006D145E"/>
    <w:rsid w:val="006D49EA"/>
    <w:rsid w:val="006D69F5"/>
    <w:rsid w:val="006D7974"/>
    <w:rsid w:val="006E2909"/>
    <w:rsid w:val="006E4130"/>
    <w:rsid w:val="006E43E8"/>
    <w:rsid w:val="006E521B"/>
    <w:rsid w:val="006F1391"/>
    <w:rsid w:val="006F3DAF"/>
    <w:rsid w:val="006F507D"/>
    <w:rsid w:val="00701B1A"/>
    <w:rsid w:val="00702DEF"/>
    <w:rsid w:val="0070592C"/>
    <w:rsid w:val="007062E8"/>
    <w:rsid w:val="00706861"/>
    <w:rsid w:val="00710396"/>
    <w:rsid w:val="007107EC"/>
    <w:rsid w:val="007117D1"/>
    <w:rsid w:val="0071243F"/>
    <w:rsid w:val="0071438F"/>
    <w:rsid w:val="00716019"/>
    <w:rsid w:val="00717D88"/>
    <w:rsid w:val="00723F27"/>
    <w:rsid w:val="00724FB0"/>
    <w:rsid w:val="00726B8C"/>
    <w:rsid w:val="00736EDE"/>
    <w:rsid w:val="007403F7"/>
    <w:rsid w:val="007426E0"/>
    <w:rsid w:val="00746045"/>
    <w:rsid w:val="007477E5"/>
    <w:rsid w:val="0075051B"/>
    <w:rsid w:val="00751869"/>
    <w:rsid w:val="0075239D"/>
    <w:rsid w:val="00752C07"/>
    <w:rsid w:val="007548DE"/>
    <w:rsid w:val="0075492D"/>
    <w:rsid w:val="0075695C"/>
    <w:rsid w:val="00757906"/>
    <w:rsid w:val="00761610"/>
    <w:rsid w:val="00770A4F"/>
    <w:rsid w:val="00771958"/>
    <w:rsid w:val="00773F27"/>
    <w:rsid w:val="00775655"/>
    <w:rsid w:val="0077623D"/>
    <w:rsid w:val="00780C86"/>
    <w:rsid w:val="00781DB2"/>
    <w:rsid w:val="00782C50"/>
    <w:rsid w:val="00784CFB"/>
    <w:rsid w:val="00785A80"/>
    <w:rsid w:val="00787D53"/>
    <w:rsid w:val="00793188"/>
    <w:rsid w:val="00794D34"/>
    <w:rsid w:val="007A3AF4"/>
    <w:rsid w:val="007A7A98"/>
    <w:rsid w:val="007B109B"/>
    <w:rsid w:val="007B199C"/>
    <w:rsid w:val="007B421B"/>
    <w:rsid w:val="007B5810"/>
    <w:rsid w:val="007C3062"/>
    <w:rsid w:val="007D3F56"/>
    <w:rsid w:val="007D6EB8"/>
    <w:rsid w:val="007E3CEE"/>
    <w:rsid w:val="007E487D"/>
    <w:rsid w:val="007E7884"/>
    <w:rsid w:val="007F78CD"/>
    <w:rsid w:val="00803708"/>
    <w:rsid w:val="00806E3C"/>
    <w:rsid w:val="008118D2"/>
    <w:rsid w:val="008137C5"/>
    <w:rsid w:val="00813E5E"/>
    <w:rsid w:val="00816B91"/>
    <w:rsid w:val="00816C2C"/>
    <w:rsid w:val="00820FF2"/>
    <w:rsid w:val="00824391"/>
    <w:rsid w:val="00826AF6"/>
    <w:rsid w:val="00827CEC"/>
    <w:rsid w:val="008347D3"/>
    <w:rsid w:val="0083581B"/>
    <w:rsid w:val="00835DE7"/>
    <w:rsid w:val="008364EA"/>
    <w:rsid w:val="008403FB"/>
    <w:rsid w:val="00840872"/>
    <w:rsid w:val="008444E3"/>
    <w:rsid w:val="00847A54"/>
    <w:rsid w:val="00850B49"/>
    <w:rsid w:val="0085385F"/>
    <w:rsid w:val="008551C0"/>
    <w:rsid w:val="00855F11"/>
    <w:rsid w:val="00857AC4"/>
    <w:rsid w:val="00860EED"/>
    <w:rsid w:val="00863874"/>
    <w:rsid w:val="008641D7"/>
    <w:rsid w:val="00864AFF"/>
    <w:rsid w:val="00865925"/>
    <w:rsid w:val="00865D46"/>
    <w:rsid w:val="00866534"/>
    <w:rsid w:val="00882ABB"/>
    <w:rsid w:val="00882EB3"/>
    <w:rsid w:val="00886F2E"/>
    <w:rsid w:val="00890103"/>
    <w:rsid w:val="00890DEA"/>
    <w:rsid w:val="00891503"/>
    <w:rsid w:val="008930FE"/>
    <w:rsid w:val="00893E30"/>
    <w:rsid w:val="008A046E"/>
    <w:rsid w:val="008A18D1"/>
    <w:rsid w:val="008A5A2E"/>
    <w:rsid w:val="008B1797"/>
    <w:rsid w:val="008B41AA"/>
    <w:rsid w:val="008B4A6A"/>
    <w:rsid w:val="008B5444"/>
    <w:rsid w:val="008C03D9"/>
    <w:rsid w:val="008C57FB"/>
    <w:rsid w:val="008C6957"/>
    <w:rsid w:val="008C7E27"/>
    <w:rsid w:val="008D57F9"/>
    <w:rsid w:val="008D5A8B"/>
    <w:rsid w:val="008E0953"/>
    <w:rsid w:val="008E2DB5"/>
    <w:rsid w:val="008E6562"/>
    <w:rsid w:val="008E7298"/>
    <w:rsid w:val="008F1B4A"/>
    <w:rsid w:val="008F29A7"/>
    <w:rsid w:val="008F3822"/>
    <w:rsid w:val="008F7448"/>
    <w:rsid w:val="009007A9"/>
    <w:rsid w:val="00900E53"/>
    <w:rsid w:val="0090147A"/>
    <w:rsid w:val="00902788"/>
    <w:rsid w:val="0090389B"/>
    <w:rsid w:val="00903CB4"/>
    <w:rsid w:val="00906ABD"/>
    <w:rsid w:val="009078E3"/>
    <w:rsid w:val="00907AAF"/>
    <w:rsid w:val="00910AFC"/>
    <w:rsid w:val="009134C8"/>
    <w:rsid w:val="009173EF"/>
    <w:rsid w:val="009202DC"/>
    <w:rsid w:val="00921908"/>
    <w:rsid w:val="0092650B"/>
    <w:rsid w:val="009321F7"/>
    <w:rsid w:val="00932906"/>
    <w:rsid w:val="00935B73"/>
    <w:rsid w:val="00947E3C"/>
    <w:rsid w:val="009519D0"/>
    <w:rsid w:val="009604EB"/>
    <w:rsid w:val="00961860"/>
    <w:rsid w:val="00961B0B"/>
    <w:rsid w:val="00962D33"/>
    <w:rsid w:val="00962E7B"/>
    <w:rsid w:val="00966740"/>
    <w:rsid w:val="009709B5"/>
    <w:rsid w:val="00973297"/>
    <w:rsid w:val="00976F18"/>
    <w:rsid w:val="00977DA3"/>
    <w:rsid w:val="0098238E"/>
    <w:rsid w:val="0098580E"/>
    <w:rsid w:val="00985F1D"/>
    <w:rsid w:val="0099088A"/>
    <w:rsid w:val="00997BB1"/>
    <w:rsid w:val="009A010C"/>
    <w:rsid w:val="009A2D4A"/>
    <w:rsid w:val="009A3BC4"/>
    <w:rsid w:val="009A6A60"/>
    <w:rsid w:val="009B0007"/>
    <w:rsid w:val="009B019A"/>
    <w:rsid w:val="009B38C3"/>
    <w:rsid w:val="009B528C"/>
    <w:rsid w:val="009B5883"/>
    <w:rsid w:val="009C3B34"/>
    <w:rsid w:val="009D03BA"/>
    <w:rsid w:val="009D109E"/>
    <w:rsid w:val="009D1A0B"/>
    <w:rsid w:val="009E09F2"/>
    <w:rsid w:val="009E17BD"/>
    <w:rsid w:val="009E1FFC"/>
    <w:rsid w:val="009E485A"/>
    <w:rsid w:val="009E60B5"/>
    <w:rsid w:val="009E7879"/>
    <w:rsid w:val="009E7A30"/>
    <w:rsid w:val="009F1833"/>
    <w:rsid w:val="009F73E7"/>
    <w:rsid w:val="00A00C86"/>
    <w:rsid w:val="00A03BB5"/>
    <w:rsid w:val="00A0459A"/>
    <w:rsid w:val="00A04CEC"/>
    <w:rsid w:val="00A05640"/>
    <w:rsid w:val="00A10BD6"/>
    <w:rsid w:val="00A130C6"/>
    <w:rsid w:val="00A16028"/>
    <w:rsid w:val="00A27F92"/>
    <w:rsid w:val="00A32257"/>
    <w:rsid w:val="00A33B03"/>
    <w:rsid w:val="00A34CD5"/>
    <w:rsid w:val="00A3609E"/>
    <w:rsid w:val="00A36D20"/>
    <w:rsid w:val="00A43C03"/>
    <w:rsid w:val="00A466AA"/>
    <w:rsid w:val="00A46CD0"/>
    <w:rsid w:val="00A514A4"/>
    <w:rsid w:val="00A52C84"/>
    <w:rsid w:val="00A52D09"/>
    <w:rsid w:val="00A55622"/>
    <w:rsid w:val="00A55DD7"/>
    <w:rsid w:val="00A60D80"/>
    <w:rsid w:val="00A66F58"/>
    <w:rsid w:val="00A718CC"/>
    <w:rsid w:val="00A72BE5"/>
    <w:rsid w:val="00A7372B"/>
    <w:rsid w:val="00A73731"/>
    <w:rsid w:val="00A81B92"/>
    <w:rsid w:val="00A82351"/>
    <w:rsid w:val="00A82D4D"/>
    <w:rsid w:val="00A83502"/>
    <w:rsid w:val="00A84C32"/>
    <w:rsid w:val="00A930B6"/>
    <w:rsid w:val="00AA1943"/>
    <w:rsid w:val="00AA681A"/>
    <w:rsid w:val="00AC34D0"/>
    <w:rsid w:val="00AC4180"/>
    <w:rsid w:val="00AC59E0"/>
    <w:rsid w:val="00AC61DD"/>
    <w:rsid w:val="00AC6396"/>
    <w:rsid w:val="00AD15B3"/>
    <w:rsid w:val="00AD268F"/>
    <w:rsid w:val="00AD340D"/>
    <w:rsid w:val="00AD3606"/>
    <w:rsid w:val="00AD4A3D"/>
    <w:rsid w:val="00AE0756"/>
    <w:rsid w:val="00AE147A"/>
    <w:rsid w:val="00AE1E87"/>
    <w:rsid w:val="00AE361B"/>
    <w:rsid w:val="00AE3D54"/>
    <w:rsid w:val="00AE4EF8"/>
    <w:rsid w:val="00AE74A1"/>
    <w:rsid w:val="00AF0BAD"/>
    <w:rsid w:val="00AF0CCA"/>
    <w:rsid w:val="00AF0EB4"/>
    <w:rsid w:val="00AF26BF"/>
    <w:rsid w:val="00AF4B10"/>
    <w:rsid w:val="00AF655C"/>
    <w:rsid w:val="00AF6E49"/>
    <w:rsid w:val="00B023A2"/>
    <w:rsid w:val="00B039F1"/>
    <w:rsid w:val="00B04A67"/>
    <w:rsid w:val="00B0583C"/>
    <w:rsid w:val="00B105EF"/>
    <w:rsid w:val="00B11305"/>
    <w:rsid w:val="00B114B4"/>
    <w:rsid w:val="00B149F0"/>
    <w:rsid w:val="00B14B3E"/>
    <w:rsid w:val="00B14EA9"/>
    <w:rsid w:val="00B236D1"/>
    <w:rsid w:val="00B23AAA"/>
    <w:rsid w:val="00B248BC"/>
    <w:rsid w:val="00B258FF"/>
    <w:rsid w:val="00B307B1"/>
    <w:rsid w:val="00B32357"/>
    <w:rsid w:val="00B32A75"/>
    <w:rsid w:val="00B358B2"/>
    <w:rsid w:val="00B40A81"/>
    <w:rsid w:val="00B41B13"/>
    <w:rsid w:val="00B430BF"/>
    <w:rsid w:val="00B4318A"/>
    <w:rsid w:val="00B44910"/>
    <w:rsid w:val="00B45F18"/>
    <w:rsid w:val="00B502F8"/>
    <w:rsid w:val="00B510F5"/>
    <w:rsid w:val="00B514D3"/>
    <w:rsid w:val="00B521C8"/>
    <w:rsid w:val="00B5461B"/>
    <w:rsid w:val="00B549AF"/>
    <w:rsid w:val="00B5594A"/>
    <w:rsid w:val="00B60CE9"/>
    <w:rsid w:val="00B67B27"/>
    <w:rsid w:val="00B701F0"/>
    <w:rsid w:val="00B709A3"/>
    <w:rsid w:val="00B70B29"/>
    <w:rsid w:val="00B70E02"/>
    <w:rsid w:val="00B72267"/>
    <w:rsid w:val="00B73DD1"/>
    <w:rsid w:val="00B76EB6"/>
    <w:rsid w:val="00B7737B"/>
    <w:rsid w:val="00B77DDF"/>
    <w:rsid w:val="00B824C8"/>
    <w:rsid w:val="00B8423D"/>
    <w:rsid w:val="00B849D3"/>
    <w:rsid w:val="00B84B9D"/>
    <w:rsid w:val="00B8561D"/>
    <w:rsid w:val="00B91638"/>
    <w:rsid w:val="00B94C79"/>
    <w:rsid w:val="00B9708C"/>
    <w:rsid w:val="00B97289"/>
    <w:rsid w:val="00B975F9"/>
    <w:rsid w:val="00B97E04"/>
    <w:rsid w:val="00BA1095"/>
    <w:rsid w:val="00BA3A51"/>
    <w:rsid w:val="00BA63BE"/>
    <w:rsid w:val="00BB0CA6"/>
    <w:rsid w:val="00BB5936"/>
    <w:rsid w:val="00BC016E"/>
    <w:rsid w:val="00BC04F1"/>
    <w:rsid w:val="00BC08D4"/>
    <w:rsid w:val="00BC251A"/>
    <w:rsid w:val="00BC3F09"/>
    <w:rsid w:val="00BC6465"/>
    <w:rsid w:val="00BC6D3C"/>
    <w:rsid w:val="00BD032B"/>
    <w:rsid w:val="00BD0614"/>
    <w:rsid w:val="00BD094B"/>
    <w:rsid w:val="00BD690C"/>
    <w:rsid w:val="00BE2514"/>
    <w:rsid w:val="00BE2640"/>
    <w:rsid w:val="00C01189"/>
    <w:rsid w:val="00C02656"/>
    <w:rsid w:val="00C02DE7"/>
    <w:rsid w:val="00C030ED"/>
    <w:rsid w:val="00C03E95"/>
    <w:rsid w:val="00C0443D"/>
    <w:rsid w:val="00C0614E"/>
    <w:rsid w:val="00C072D0"/>
    <w:rsid w:val="00C17A50"/>
    <w:rsid w:val="00C2154D"/>
    <w:rsid w:val="00C227C4"/>
    <w:rsid w:val="00C27E60"/>
    <w:rsid w:val="00C30936"/>
    <w:rsid w:val="00C373AD"/>
    <w:rsid w:val="00C374DE"/>
    <w:rsid w:val="00C3796A"/>
    <w:rsid w:val="00C462CE"/>
    <w:rsid w:val="00C47AD4"/>
    <w:rsid w:val="00C50837"/>
    <w:rsid w:val="00C5214A"/>
    <w:rsid w:val="00C52D81"/>
    <w:rsid w:val="00C55198"/>
    <w:rsid w:val="00C6000C"/>
    <w:rsid w:val="00C61105"/>
    <w:rsid w:val="00C717FB"/>
    <w:rsid w:val="00C725C6"/>
    <w:rsid w:val="00C73315"/>
    <w:rsid w:val="00C838A8"/>
    <w:rsid w:val="00C84022"/>
    <w:rsid w:val="00C84A34"/>
    <w:rsid w:val="00C84AFB"/>
    <w:rsid w:val="00C92168"/>
    <w:rsid w:val="00C922C7"/>
    <w:rsid w:val="00C97ED5"/>
    <w:rsid w:val="00CA1661"/>
    <w:rsid w:val="00CA6393"/>
    <w:rsid w:val="00CB18FF"/>
    <w:rsid w:val="00CB24AA"/>
    <w:rsid w:val="00CB2D11"/>
    <w:rsid w:val="00CB4A00"/>
    <w:rsid w:val="00CB5F26"/>
    <w:rsid w:val="00CC4B96"/>
    <w:rsid w:val="00CC7385"/>
    <w:rsid w:val="00CD0C08"/>
    <w:rsid w:val="00CD192F"/>
    <w:rsid w:val="00CD1C2F"/>
    <w:rsid w:val="00CD2BAC"/>
    <w:rsid w:val="00CD3C91"/>
    <w:rsid w:val="00CD5D18"/>
    <w:rsid w:val="00CD70D1"/>
    <w:rsid w:val="00CD71C0"/>
    <w:rsid w:val="00CE03FB"/>
    <w:rsid w:val="00CE2375"/>
    <w:rsid w:val="00CE38C1"/>
    <w:rsid w:val="00CE433C"/>
    <w:rsid w:val="00CE548E"/>
    <w:rsid w:val="00CE5AB6"/>
    <w:rsid w:val="00CE78D9"/>
    <w:rsid w:val="00CF0161"/>
    <w:rsid w:val="00CF284A"/>
    <w:rsid w:val="00CF33F3"/>
    <w:rsid w:val="00D00C12"/>
    <w:rsid w:val="00D05E79"/>
    <w:rsid w:val="00D06183"/>
    <w:rsid w:val="00D1066A"/>
    <w:rsid w:val="00D142CA"/>
    <w:rsid w:val="00D20B9F"/>
    <w:rsid w:val="00D2293C"/>
    <w:rsid w:val="00D22C42"/>
    <w:rsid w:val="00D26BB6"/>
    <w:rsid w:val="00D30625"/>
    <w:rsid w:val="00D36ED0"/>
    <w:rsid w:val="00D37B25"/>
    <w:rsid w:val="00D40B7A"/>
    <w:rsid w:val="00D42376"/>
    <w:rsid w:val="00D426D7"/>
    <w:rsid w:val="00D45669"/>
    <w:rsid w:val="00D464CC"/>
    <w:rsid w:val="00D522F6"/>
    <w:rsid w:val="00D56231"/>
    <w:rsid w:val="00D60025"/>
    <w:rsid w:val="00D605B2"/>
    <w:rsid w:val="00D614A1"/>
    <w:rsid w:val="00D64AB3"/>
    <w:rsid w:val="00D65041"/>
    <w:rsid w:val="00D67A4F"/>
    <w:rsid w:val="00D67C9F"/>
    <w:rsid w:val="00D7592F"/>
    <w:rsid w:val="00D761FF"/>
    <w:rsid w:val="00D80319"/>
    <w:rsid w:val="00D82D45"/>
    <w:rsid w:val="00D82F70"/>
    <w:rsid w:val="00D8704C"/>
    <w:rsid w:val="00D87634"/>
    <w:rsid w:val="00D87B0E"/>
    <w:rsid w:val="00D90120"/>
    <w:rsid w:val="00D904D8"/>
    <w:rsid w:val="00D90A45"/>
    <w:rsid w:val="00D96805"/>
    <w:rsid w:val="00D97FB9"/>
    <w:rsid w:val="00DA12B0"/>
    <w:rsid w:val="00DA596F"/>
    <w:rsid w:val="00DA79F3"/>
    <w:rsid w:val="00DB00D5"/>
    <w:rsid w:val="00DB1936"/>
    <w:rsid w:val="00DB384B"/>
    <w:rsid w:val="00DC0D1D"/>
    <w:rsid w:val="00DC47C9"/>
    <w:rsid w:val="00DC7CBC"/>
    <w:rsid w:val="00DC7E72"/>
    <w:rsid w:val="00DE281F"/>
    <w:rsid w:val="00DE6DD3"/>
    <w:rsid w:val="00DF0189"/>
    <w:rsid w:val="00DF0F01"/>
    <w:rsid w:val="00DF2254"/>
    <w:rsid w:val="00DF26A1"/>
    <w:rsid w:val="00DF42FD"/>
    <w:rsid w:val="00DF4EAE"/>
    <w:rsid w:val="00E03F5E"/>
    <w:rsid w:val="00E06FD5"/>
    <w:rsid w:val="00E10E80"/>
    <w:rsid w:val="00E124F0"/>
    <w:rsid w:val="00E12A39"/>
    <w:rsid w:val="00E169ED"/>
    <w:rsid w:val="00E227EE"/>
    <w:rsid w:val="00E227F3"/>
    <w:rsid w:val="00E231EB"/>
    <w:rsid w:val="00E2326E"/>
    <w:rsid w:val="00E3072C"/>
    <w:rsid w:val="00E34710"/>
    <w:rsid w:val="00E3498F"/>
    <w:rsid w:val="00E407F7"/>
    <w:rsid w:val="00E44191"/>
    <w:rsid w:val="00E4477E"/>
    <w:rsid w:val="00E453E4"/>
    <w:rsid w:val="00E4728B"/>
    <w:rsid w:val="00E53066"/>
    <w:rsid w:val="00E545C6"/>
    <w:rsid w:val="00E546CD"/>
    <w:rsid w:val="00E57136"/>
    <w:rsid w:val="00E57394"/>
    <w:rsid w:val="00E57DF4"/>
    <w:rsid w:val="00E6034A"/>
    <w:rsid w:val="00E60607"/>
    <w:rsid w:val="00E60B46"/>
    <w:rsid w:val="00E60F04"/>
    <w:rsid w:val="00E63039"/>
    <w:rsid w:val="00E65B24"/>
    <w:rsid w:val="00E66DCC"/>
    <w:rsid w:val="00E724A7"/>
    <w:rsid w:val="00E756E6"/>
    <w:rsid w:val="00E765F5"/>
    <w:rsid w:val="00E83F72"/>
    <w:rsid w:val="00E854E4"/>
    <w:rsid w:val="00E856AB"/>
    <w:rsid w:val="00E85F9B"/>
    <w:rsid w:val="00E86DBF"/>
    <w:rsid w:val="00E87BFB"/>
    <w:rsid w:val="00E92320"/>
    <w:rsid w:val="00EA2750"/>
    <w:rsid w:val="00EA5E76"/>
    <w:rsid w:val="00EA6754"/>
    <w:rsid w:val="00EB0D6F"/>
    <w:rsid w:val="00EB2232"/>
    <w:rsid w:val="00EB2BB6"/>
    <w:rsid w:val="00EB51E0"/>
    <w:rsid w:val="00EC14CE"/>
    <w:rsid w:val="00EC1B35"/>
    <w:rsid w:val="00EC395B"/>
    <w:rsid w:val="00EC5337"/>
    <w:rsid w:val="00EC75D6"/>
    <w:rsid w:val="00ED04CF"/>
    <w:rsid w:val="00ED379F"/>
    <w:rsid w:val="00EE26DB"/>
    <w:rsid w:val="00EE3869"/>
    <w:rsid w:val="00EE49E8"/>
    <w:rsid w:val="00EE5886"/>
    <w:rsid w:val="00EE60D0"/>
    <w:rsid w:val="00EE6FCB"/>
    <w:rsid w:val="00EF1092"/>
    <w:rsid w:val="00EF1FE8"/>
    <w:rsid w:val="00EF2262"/>
    <w:rsid w:val="00EF3974"/>
    <w:rsid w:val="00EF61BF"/>
    <w:rsid w:val="00EF7FEA"/>
    <w:rsid w:val="00F03FDC"/>
    <w:rsid w:val="00F043A4"/>
    <w:rsid w:val="00F10791"/>
    <w:rsid w:val="00F10B59"/>
    <w:rsid w:val="00F111F6"/>
    <w:rsid w:val="00F145EF"/>
    <w:rsid w:val="00F16763"/>
    <w:rsid w:val="00F16BAB"/>
    <w:rsid w:val="00F1793A"/>
    <w:rsid w:val="00F17C3F"/>
    <w:rsid w:val="00F2150A"/>
    <w:rsid w:val="00F231D8"/>
    <w:rsid w:val="00F25064"/>
    <w:rsid w:val="00F25DCB"/>
    <w:rsid w:val="00F2639D"/>
    <w:rsid w:val="00F26C9A"/>
    <w:rsid w:val="00F31873"/>
    <w:rsid w:val="00F330C7"/>
    <w:rsid w:val="00F3387D"/>
    <w:rsid w:val="00F33BF3"/>
    <w:rsid w:val="00F41CD6"/>
    <w:rsid w:val="00F426EB"/>
    <w:rsid w:val="00F42C44"/>
    <w:rsid w:val="00F44121"/>
    <w:rsid w:val="00F44371"/>
    <w:rsid w:val="00F44C00"/>
    <w:rsid w:val="00F45D2C"/>
    <w:rsid w:val="00F46C5F"/>
    <w:rsid w:val="00F4707D"/>
    <w:rsid w:val="00F5098C"/>
    <w:rsid w:val="00F51FDC"/>
    <w:rsid w:val="00F56A4C"/>
    <w:rsid w:val="00F56F10"/>
    <w:rsid w:val="00F60791"/>
    <w:rsid w:val="00F61130"/>
    <w:rsid w:val="00F61C1C"/>
    <w:rsid w:val="00F62D4E"/>
    <w:rsid w:val="00F632C0"/>
    <w:rsid w:val="00F63F11"/>
    <w:rsid w:val="00F64D63"/>
    <w:rsid w:val="00F66A60"/>
    <w:rsid w:val="00F67819"/>
    <w:rsid w:val="00F70B3B"/>
    <w:rsid w:val="00F715B2"/>
    <w:rsid w:val="00F740A2"/>
    <w:rsid w:val="00F74694"/>
    <w:rsid w:val="00F74A0C"/>
    <w:rsid w:val="00F765BC"/>
    <w:rsid w:val="00F775D0"/>
    <w:rsid w:val="00F83E27"/>
    <w:rsid w:val="00F853F3"/>
    <w:rsid w:val="00F86596"/>
    <w:rsid w:val="00F90974"/>
    <w:rsid w:val="00F9119A"/>
    <w:rsid w:val="00F9228D"/>
    <w:rsid w:val="00F93FD4"/>
    <w:rsid w:val="00F94A63"/>
    <w:rsid w:val="00F96FC7"/>
    <w:rsid w:val="00F96FC8"/>
    <w:rsid w:val="00FA0C0A"/>
    <w:rsid w:val="00FA140E"/>
    <w:rsid w:val="00FA1568"/>
    <w:rsid w:val="00FA1798"/>
    <w:rsid w:val="00FA1C28"/>
    <w:rsid w:val="00FA2F73"/>
    <w:rsid w:val="00FA4546"/>
    <w:rsid w:val="00FA5266"/>
    <w:rsid w:val="00FA6C9C"/>
    <w:rsid w:val="00FB1279"/>
    <w:rsid w:val="00FB2013"/>
    <w:rsid w:val="00FB2A37"/>
    <w:rsid w:val="00FB62FA"/>
    <w:rsid w:val="00FB6B76"/>
    <w:rsid w:val="00FB7596"/>
    <w:rsid w:val="00FC2277"/>
    <w:rsid w:val="00FC571B"/>
    <w:rsid w:val="00FC600B"/>
    <w:rsid w:val="00FC7DD9"/>
    <w:rsid w:val="00FD2E87"/>
    <w:rsid w:val="00FD4759"/>
    <w:rsid w:val="00FD548C"/>
    <w:rsid w:val="00FD66D5"/>
    <w:rsid w:val="00FD6876"/>
    <w:rsid w:val="00FD7376"/>
    <w:rsid w:val="00FE4077"/>
    <w:rsid w:val="00FE473E"/>
    <w:rsid w:val="00FE4E4D"/>
    <w:rsid w:val="00FE500D"/>
    <w:rsid w:val="00FE63D4"/>
    <w:rsid w:val="00FE77D2"/>
    <w:rsid w:val="00FF045C"/>
    <w:rsid w:val="00FF05C2"/>
    <w:rsid w:val="00FF08C2"/>
    <w:rsid w:val="00FF3C72"/>
    <w:rsid w:val="00FF4C0E"/>
    <w:rsid w:val="00FF676C"/>
    <w:rsid w:val="0190049C"/>
    <w:rsid w:val="0222358A"/>
    <w:rsid w:val="03C32E08"/>
    <w:rsid w:val="03CE2FEA"/>
    <w:rsid w:val="057B3289"/>
    <w:rsid w:val="068121F8"/>
    <w:rsid w:val="07F5760D"/>
    <w:rsid w:val="0B92021D"/>
    <w:rsid w:val="0C6C4039"/>
    <w:rsid w:val="0CCA064E"/>
    <w:rsid w:val="10B6788C"/>
    <w:rsid w:val="1218A0E0"/>
    <w:rsid w:val="12197832"/>
    <w:rsid w:val="16515A86"/>
    <w:rsid w:val="1BEE1C91"/>
    <w:rsid w:val="1D10D3B4"/>
    <w:rsid w:val="1F0CD216"/>
    <w:rsid w:val="20AD9C6F"/>
    <w:rsid w:val="24C16CD8"/>
    <w:rsid w:val="2677AB46"/>
    <w:rsid w:val="2774857F"/>
    <w:rsid w:val="28B6246F"/>
    <w:rsid w:val="2CD2E006"/>
    <w:rsid w:val="2EBD0612"/>
    <w:rsid w:val="31E06386"/>
    <w:rsid w:val="34CC2437"/>
    <w:rsid w:val="36DB5DEA"/>
    <w:rsid w:val="376BCA29"/>
    <w:rsid w:val="38D29739"/>
    <w:rsid w:val="3A71DACE"/>
    <w:rsid w:val="3BDFD189"/>
    <w:rsid w:val="3C1A4B92"/>
    <w:rsid w:val="406F74FA"/>
    <w:rsid w:val="4369B879"/>
    <w:rsid w:val="456A7129"/>
    <w:rsid w:val="46DDF8CC"/>
    <w:rsid w:val="46ED6579"/>
    <w:rsid w:val="48E607C1"/>
    <w:rsid w:val="49CE0FA8"/>
    <w:rsid w:val="4A3F0A4F"/>
    <w:rsid w:val="4B224D2A"/>
    <w:rsid w:val="4B60A3A7"/>
    <w:rsid w:val="512FA89E"/>
    <w:rsid w:val="52197EFD"/>
    <w:rsid w:val="532075A1"/>
    <w:rsid w:val="54C65F7E"/>
    <w:rsid w:val="56A00231"/>
    <w:rsid w:val="5B1C5ABF"/>
    <w:rsid w:val="6172536B"/>
    <w:rsid w:val="620876C0"/>
    <w:rsid w:val="6362F585"/>
    <w:rsid w:val="6390AEB7"/>
    <w:rsid w:val="6735B981"/>
    <w:rsid w:val="6A9BA14B"/>
    <w:rsid w:val="6D2A852D"/>
    <w:rsid w:val="6FA59F7A"/>
    <w:rsid w:val="7049BEFF"/>
    <w:rsid w:val="7067FA6D"/>
    <w:rsid w:val="71AC9E0A"/>
    <w:rsid w:val="7390F838"/>
    <w:rsid w:val="78957FBA"/>
    <w:rsid w:val="79E6B1B5"/>
    <w:rsid w:val="7A418975"/>
    <w:rsid w:val="7C2302CB"/>
    <w:rsid w:val="7C73422D"/>
    <w:rsid w:val="7D9C8152"/>
    <w:rsid w:val="7DC18F88"/>
    <w:rsid w:val="7EAFDAA0"/>
    <w:rsid w:val="7F64E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4427D12"/>
  <w15:docId w15:val="{8719589E-E4E3-44BF-A73B-783BF83F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519D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 w:after="12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link w:val="FooterChar"/>
    <w:uiPriority w:val="99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C6F1C"/>
    <w:rPr>
      <w:color w:val="666666"/>
    </w:rPr>
  </w:style>
  <w:style w:type="paragraph" w:customStyle="1" w:styleId="Reasons">
    <w:name w:val="Reasons"/>
    <w:basedOn w:val="Normal"/>
    <w:qFormat/>
    <w:rsid w:val="00F44371"/>
  </w:style>
  <w:style w:type="character" w:styleId="CommentReference">
    <w:name w:val="annotation reference"/>
    <w:basedOn w:val="DefaultParagraphFont"/>
    <w:semiHidden/>
    <w:unhideWhenUsed/>
    <w:rsid w:val="00641FA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41F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41FA1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1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41FA1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C6000C"/>
    <w:rPr>
      <w:rFonts w:ascii="CG Times" w:eastAsia="Times New Roman" w:hAnsi="CG Times" w:cs="Times New Roman"/>
    </w:rPr>
  </w:style>
  <w:style w:type="paragraph" w:styleId="ListParagraph">
    <w:name w:val="List Paragraph"/>
    <w:basedOn w:val="Normal"/>
    <w:uiPriority w:val="34"/>
    <w:qFormat/>
    <w:rsid w:val="009A2D4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1066A"/>
    <w:rPr>
      <w:rFonts w:ascii="Calibri" w:hAnsi="Calibri"/>
      <w:caps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AA1943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S25-CL-C-0025/en" TargetMode="External"/><Relationship Id="rId18" Type="http://schemas.openxmlformats.org/officeDocument/2006/relationships/hyperlink" Target="https://www.itu.int/md/S25-CWGFHR20-C-0032/en" TargetMode="External"/><Relationship Id="rId26" Type="http://schemas.openxmlformats.org/officeDocument/2006/relationships/hyperlink" Target="https://www.itu.int/md/S25-CL-C-0105/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S25-CL-C-0069/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tu.int/en/council/Documents/basic-texts-2023/RES-025-E.pdf" TargetMode="External"/><Relationship Id="rId17" Type="http://schemas.openxmlformats.org/officeDocument/2006/relationships/hyperlink" Target="https://www.itu.int/md/S24-CWGFHR19-C-0015/en" TargetMode="External"/><Relationship Id="rId25" Type="http://schemas.openxmlformats.org/officeDocument/2006/relationships/hyperlink" Target="https://www.itu.int/md/S25-CL-C-0105/en" TargetMode="External"/><Relationship Id="rId33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5-CL-C-0069/en" TargetMode="External"/><Relationship Id="rId20" Type="http://schemas.openxmlformats.org/officeDocument/2006/relationships/hyperlink" Target="https://www.itu.int/md/S25-CL-C-0105/en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5-CL-C-0105/en" TargetMode="External"/><Relationship Id="rId24" Type="http://schemas.openxmlformats.org/officeDocument/2006/relationships/hyperlink" Target="https://www.itu.int/md/S25-CL-C-0105/en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5-CL-C-0105/en" TargetMode="External"/><Relationship Id="rId23" Type="http://schemas.openxmlformats.org/officeDocument/2006/relationships/hyperlink" Target="https://www.itu.int/md/S25-CL-C-0105/en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25-CL-C-0050/en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5-CL-C-0050/en" TargetMode="External"/><Relationship Id="rId22" Type="http://schemas.openxmlformats.org/officeDocument/2006/relationships/hyperlink" Target="https://www.itu.int/md/S25-CL-C-0069/en" TargetMode="External"/><Relationship Id="rId27" Type="http://schemas.openxmlformats.org/officeDocument/2006/relationships/hyperlink" Target="https://www.itu.int/md/S25-CL-C-0069/en" TargetMode="Externa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2CC4DF5F10149B2E37F08EDC3AC3A" ma:contentTypeVersion="12" ma:contentTypeDescription="Create a new document." ma:contentTypeScope="" ma:versionID="1d207994b0e9e4f3247d4bf512df3148">
  <xsd:schema xmlns:xsd="http://www.w3.org/2001/XMLSchema" xmlns:xs="http://www.w3.org/2001/XMLSchema" xmlns:p="http://schemas.microsoft.com/office/2006/metadata/properties" xmlns:ns2="a1cf676c-2816-4389-ad5d-0f2e7c7e67c4" targetNamespace="http://schemas.microsoft.com/office/2006/metadata/properties" ma:root="true" ma:fieldsID="49bab555a022bf1c286878aed27bc1fc" ns2:_="">
    <xsd:import namespace="a1cf676c-2816-4389-ad5d-0f2e7c7e6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676c-2816-4389-ad5d-0f2e7c7e6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cf676c-2816-4389-ad5d-0f2e7c7e67c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0E35F-84D4-4DFC-885F-02B614BC4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f676c-2816-4389-ad5d-0f2e7c7e6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01D81-C3EC-4E68-AB3F-86FFD164EB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EEFAB-BDE0-471F-BF6D-BD6A5D491F1D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a1cf676c-2816-4389-ad5d-0f2e7c7e67c4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1249</Words>
  <Characters>6965</Characters>
  <Application>Microsoft Office Word</Application>
  <DocSecurity>0</DocSecurity>
  <Lines>159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Interim report on the review of ITU regional presence</vt:lpstr>
    </vt:vector>
  </TitlesOfParts>
  <Manager/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Interim report on the review of ITU regional presence</dc:title>
  <dc:subject>ITU Council Working Group on financial and human resources</dc:subject>
  <cp:keywords>CWG-FHR</cp:keywords>
  <dc:description/>
  <cp:lastPrinted>2025-07-29T07:18:00Z</cp:lastPrinted>
  <dcterms:created xsi:type="dcterms:W3CDTF">2025-08-08T15:41:00Z</dcterms:created>
  <dcterms:modified xsi:type="dcterms:W3CDTF">2025-08-08T16:27:00Z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380f48d8275ac0b4c619f5905225f6dc65f1f8fd06a88d3bbad1033ac6bb9d89</vt:lpwstr>
  </property>
  <property fmtid="{D5CDD505-2E9C-101B-9397-08002B2CF9AE}" pid="3" name="ContentTypeId">
    <vt:lpwstr>0x01010096B2CC4DF5F10149B2E37F08EDC3AC3A</vt:lpwstr>
  </property>
  <property fmtid="{D5CDD505-2E9C-101B-9397-08002B2CF9AE}" pid="4" name="MediaServiceImageTags">
    <vt:lpwstr/>
  </property>
</Properties>
</file>