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06988536" w14:textId="77777777" w:rsidTr="00AD3606">
        <w:trPr>
          <w:cantSplit/>
          <w:trHeight w:val="23"/>
        </w:trPr>
        <w:tc>
          <w:tcPr>
            <w:tcW w:w="3969" w:type="dxa"/>
            <w:vMerge w:val="restart"/>
            <w:tcMar>
              <w:left w:w="0" w:type="dxa"/>
            </w:tcMar>
          </w:tcPr>
          <w:p w14:paraId="09139E8F"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0B68EFE" w14:textId="56AD5EDB"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25570E" w:rsidRPr="00301AEE">
              <w:rPr>
                <w:b/>
                <w:lang w:val="fr-FR"/>
              </w:rPr>
              <w:t>2</w:t>
            </w:r>
            <w:r w:rsidR="000F6AB8">
              <w:rPr>
                <w:b/>
                <w:lang w:val="fr-FR"/>
              </w:rPr>
              <w:t>0</w:t>
            </w:r>
            <w:r w:rsidR="00301AEE" w:rsidRPr="00301AEE">
              <w:rPr>
                <w:b/>
                <w:lang w:val="fr-FR"/>
              </w:rPr>
              <w:t>/</w:t>
            </w:r>
            <w:r w:rsidR="00D45595">
              <w:rPr>
                <w:b/>
                <w:lang w:val="fr-FR"/>
              </w:rPr>
              <w:t>3</w:t>
            </w:r>
            <w:r w:rsidR="0008020B">
              <w:rPr>
                <w:b/>
                <w:lang w:val="fr-FR"/>
              </w:rPr>
              <w:t>2</w:t>
            </w:r>
          </w:p>
        </w:tc>
      </w:tr>
      <w:tr w:rsidR="00AD3606" w:rsidRPr="00147C54" w14:paraId="6F6AB1F4" w14:textId="77777777" w:rsidTr="00AD3606">
        <w:trPr>
          <w:cantSplit/>
        </w:trPr>
        <w:tc>
          <w:tcPr>
            <w:tcW w:w="3969" w:type="dxa"/>
            <w:vMerge/>
          </w:tcPr>
          <w:p w14:paraId="243B216A"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B7DAD36" w14:textId="04DDE35E" w:rsidR="00AD3606" w:rsidRPr="00147C54" w:rsidRDefault="0008020B" w:rsidP="00AD3606">
            <w:pPr>
              <w:tabs>
                <w:tab w:val="left" w:pos="851"/>
              </w:tabs>
              <w:spacing w:before="0"/>
              <w:jc w:val="right"/>
              <w:rPr>
                <w:b/>
              </w:rPr>
            </w:pPr>
            <w:r>
              <w:rPr>
                <w:b/>
              </w:rPr>
              <w:t>10</w:t>
            </w:r>
            <w:r w:rsidR="00A039EC">
              <w:rPr>
                <w:b/>
              </w:rPr>
              <w:t xml:space="preserve"> March </w:t>
            </w:r>
            <w:r w:rsidR="00AD732D">
              <w:rPr>
                <w:b/>
              </w:rPr>
              <w:t>2025</w:t>
            </w:r>
          </w:p>
        </w:tc>
      </w:tr>
      <w:tr w:rsidR="00AD3606" w:rsidRPr="00147C54" w14:paraId="15660587" w14:textId="77777777" w:rsidTr="00AD3606">
        <w:trPr>
          <w:cantSplit/>
          <w:trHeight w:val="23"/>
        </w:trPr>
        <w:tc>
          <w:tcPr>
            <w:tcW w:w="3969" w:type="dxa"/>
            <w:vMerge/>
          </w:tcPr>
          <w:p w14:paraId="6B39C677"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227FA1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EF492BD" w14:textId="77777777" w:rsidTr="00AD3606">
        <w:trPr>
          <w:cantSplit/>
          <w:trHeight w:val="23"/>
        </w:trPr>
        <w:tc>
          <w:tcPr>
            <w:tcW w:w="3969" w:type="dxa"/>
          </w:tcPr>
          <w:p w14:paraId="05EEDB52" w14:textId="77777777" w:rsidR="00472BAD" w:rsidRPr="00147C54" w:rsidRDefault="00472BAD" w:rsidP="00AD3606">
            <w:pPr>
              <w:tabs>
                <w:tab w:val="left" w:pos="851"/>
              </w:tabs>
              <w:spacing w:line="240" w:lineRule="atLeast"/>
              <w:rPr>
                <w:b/>
              </w:rPr>
            </w:pPr>
          </w:p>
        </w:tc>
        <w:tc>
          <w:tcPr>
            <w:tcW w:w="5245" w:type="dxa"/>
          </w:tcPr>
          <w:p w14:paraId="37609302" w14:textId="77777777" w:rsidR="00472BAD" w:rsidRPr="00147C54" w:rsidRDefault="00472BAD" w:rsidP="00AD3606">
            <w:pPr>
              <w:tabs>
                <w:tab w:val="left" w:pos="851"/>
              </w:tabs>
              <w:spacing w:before="0" w:line="240" w:lineRule="atLeast"/>
              <w:jc w:val="right"/>
              <w:rPr>
                <w:b/>
              </w:rPr>
            </w:pPr>
          </w:p>
        </w:tc>
      </w:tr>
    </w:tbl>
    <w:bookmarkEnd w:id="2"/>
    <w:bookmarkEnd w:id="3"/>
    <w:bookmarkEnd w:id="4"/>
    <w:bookmarkEnd w:id="5"/>
    <w:bookmarkEnd w:id="7"/>
    <w:p w14:paraId="7A2BCCCC" w14:textId="17FD0871" w:rsidR="00424AB0" w:rsidRPr="0077018F" w:rsidRDefault="00424AB0" w:rsidP="0099394D">
      <w:pPr>
        <w:spacing w:before="480"/>
        <w:jc w:val="center"/>
        <w:rPr>
          <w:szCs w:val="24"/>
          <w:lang w:val="en-AU"/>
        </w:rPr>
      </w:pPr>
      <w:r w:rsidRPr="00BD0203">
        <w:rPr>
          <w:rFonts w:asciiTheme="minorHAnsi" w:hAnsiTheme="minorHAnsi" w:cstheme="minorHAnsi"/>
          <w:b/>
          <w:bCs/>
          <w:caps/>
          <w:sz w:val="28"/>
          <w:szCs w:val="28"/>
          <w:lang w:val="en-AU" w:eastAsia="en-AU"/>
        </w:rPr>
        <w:t>Chair of the Council Working Group on</w:t>
      </w:r>
      <w:r>
        <w:rPr>
          <w:rFonts w:asciiTheme="minorHAnsi" w:hAnsiTheme="minorHAnsi" w:cstheme="minorHAnsi"/>
          <w:b/>
          <w:bCs/>
          <w:caps/>
          <w:sz w:val="28"/>
          <w:szCs w:val="28"/>
          <w:lang w:val="en-AU" w:eastAsia="en-AU"/>
        </w:rPr>
        <w:br/>
      </w:r>
      <w:r w:rsidRPr="00BD0203">
        <w:rPr>
          <w:rFonts w:asciiTheme="minorHAnsi" w:hAnsiTheme="minorHAnsi" w:cstheme="minorHAnsi"/>
          <w:b/>
          <w:bCs/>
          <w:caps/>
          <w:sz w:val="28"/>
          <w:szCs w:val="28"/>
          <w:lang w:val="en-AU" w:eastAsia="en-AU"/>
        </w:rPr>
        <w:t>Financial</w:t>
      </w:r>
      <w:r>
        <w:rPr>
          <w:rFonts w:asciiTheme="minorHAnsi" w:hAnsiTheme="minorHAnsi" w:cstheme="minorHAnsi"/>
          <w:b/>
          <w:bCs/>
          <w:caps/>
          <w:sz w:val="28"/>
          <w:szCs w:val="28"/>
          <w:lang w:val="en-AU" w:eastAsia="en-AU"/>
        </w:rPr>
        <w:t xml:space="preserve"> </w:t>
      </w:r>
      <w:r w:rsidRPr="00BD0203">
        <w:rPr>
          <w:rFonts w:asciiTheme="minorHAnsi" w:hAnsiTheme="minorHAnsi" w:cstheme="minorHAnsi"/>
          <w:b/>
          <w:bCs/>
          <w:caps/>
          <w:sz w:val="28"/>
          <w:szCs w:val="28"/>
          <w:lang w:val="en-AU" w:eastAsia="en-AU"/>
        </w:rPr>
        <w:t>and Human Resources</w:t>
      </w:r>
    </w:p>
    <w:p w14:paraId="7D5CB99F" w14:textId="29D3E41A" w:rsidR="00424AB0" w:rsidRDefault="00424AB0" w:rsidP="0099394D">
      <w:pPr>
        <w:jc w:val="center"/>
        <w:rPr>
          <w:szCs w:val="24"/>
        </w:rPr>
      </w:pPr>
      <w:r w:rsidRPr="00BD0203">
        <w:rPr>
          <w:rFonts w:asciiTheme="minorHAnsi" w:hAnsiTheme="minorHAnsi" w:cstheme="minorHAnsi"/>
          <w:b/>
          <w:bCs/>
          <w:sz w:val="28"/>
          <w:szCs w:val="28"/>
          <w:lang w:val="en-AU"/>
        </w:rPr>
        <w:t xml:space="preserve">Summary report of the </w:t>
      </w:r>
      <w:r w:rsidR="001618F3">
        <w:rPr>
          <w:rFonts w:asciiTheme="minorHAnsi" w:hAnsiTheme="minorHAnsi" w:cstheme="minorHAnsi"/>
          <w:b/>
          <w:bCs/>
          <w:sz w:val="28"/>
          <w:szCs w:val="28"/>
          <w:lang w:val="en-AU"/>
        </w:rPr>
        <w:t xml:space="preserve">twentieth </w:t>
      </w:r>
      <w:r w:rsidRPr="00BD0203">
        <w:rPr>
          <w:rFonts w:asciiTheme="minorHAnsi" w:hAnsiTheme="minorHAnsi" w:cstheme="minorHAnsi"/>
          <w:b/>
          <w:bCs/>
          <w:sz w:val="28"/>
          <w:szCs w:val="28"/>
          <w:lang w:val="en-AU"/>
        </w:rPr>
        <w:t>meeting</w:t>
      </w:r>
    </w:p>
    <w:p w14:paraId="79D34D12" w14:textId="08EDEC43" w:rsidR="00424AB0" w:rsidRPr="00BD0203" w:rsidRDefault="00424AB0" w:rsidP="00C10B9C">
      <w:pPr>
        <w:tabs>
          <w:tab w:val="left" w:pos="709"/>
        </w:tabs>
        <w:snapToGrid w:val="0"/>
        <w:spacing w:after="360"/>
        <w:rPr>
          <w:rFonts w:asciiTheme="minorHAnsi" w:hAnsiTheme="minorHAnsi" w:cstheme="minorHAnsi"/>
        </w:rPr>
      </w:pPr>
      <w:r w:rsidRPr="00BD0203">
        <w:rPr>
          <w:rFonts w:asciiTheme="minorHAnsi" w:hAnsiTheme="minorHAnsi" w:cstheme="minorHAnsi"/>
          <w:bCs/>
          <w:lang w:val="en-CA" w:eastAsia="en-AU"/>
        </w:rPr>
        <w:t xml:space="preserve">The Council Working Group on </w:t>
      </w:r>
      <w:r w:rsidR="0099394D" w:rsidRPr="00BD0203">
        <w:rPr>
          <w:rFonts w:asciiTheme="minorHAnsi" w:hAnsiTheme="minorHAnsi" w:cstheme="minorHAnsi"/>
          <w:bCs/>
          <w:lang w:val="en-CA" w:eastAsia="en-AU"/>
        </w:rPr>
        <w:t xml:space="preserve">financial </w:t>
      </w:r>
      <w:r w:rsidRPr="00BD0203">
        <w:rPr>
          <w:rFonts w:asciiTheme="minorHAnsi" w:hAnsiTheme="minorHAnsi" w:cstheme="minorHAnsi"/>
          <w:bCs/>
          <w:lang w:val="en-CA" w:eastAsia="en-AU"/>
        </w:rPr>
        <w:t xml:space="preserve">and </w:t>
      </w:r>
      <w:r w:rsidR="0099394D" w:rsidRPr="00BD0203">
        <w:rPr>
          <w:rFonts w:asciiTheme="minorHAnsi" w:hAnsiTheme="minorHAnsi" w:cstheme="minorHAnsi"/>
          <w:bCs/>
          <w:lang w:val="en-CA" w:eastAsia="en-AU"/>
        </w:rPr>
        <w:t xml:space="preserve">human resources </w:t>
      </w:r>
      <w:r w:rsidRPr="00BD0203">
        <w:rPr>
          <w:rFonts w:asciiTheme="minorHAnsi" w:hAnsiTheme="minorHAnsi" w:cstheme="minorHAnsi"/>
          <w:bCs/>
          <w:lang w:val="en-CA" w:eastAsia="en-AU"/>
        </w:rPr>
        <w:t xml:space="preserve">is </w:t>
      </w:r>
      <w:r w:rsidRPr="000E5AED">
        <w:rPr>
          <w:rFonts w:asciiTheme="minorHAnsi" w:hAnsiTheme="minorHAnsi" w:cstheme="minorHAnsi"/>
          <w:bCs/>
          <w:lang w:val="en-CA" w:eastAsia="en-AU"/>
        </w:rPr>
        <w:t>chaired by</w:t>
      </w:r>
      <w:r>
        <w:rPr>
          <w:rFonts w:asciiTheme="minorHAnsi" w:hAnsiTheme="minorHAnsi" w:cstheme="minorHAnsi"/>
          <w:bCs/>
          <w:lang w:val="en-CA" w:eastAsia="en-AU"/>
        </w:rPr>
        <w:br/>
      </w:r>
      <w:r w:rsidRPr="000E5AED">
        <w:rPr>
          <w:rFonts w:asciiTheme="minorHAnsi" w:hAnsiTheme="minorHAnsi" w:cstheme="minorHAnsi"/>
        </w:rPr>
        <w:t>Ms. Vernita D. Harris</w:t>
      </w:r>
      <w:r w:rsidRPr="00BD0203">
        <w:rPr>
          <w:rFonts w:asciiTheme="minorHAnsi" w:hAnsiTheme="minorHAnsi" w:cstheme="minorHAnsi"/>
        </w:rPr>
        <w:t>, (</w:t>
      </w:r>
      <w:r>
        <w:rPr>
          <w:rFonts w:asciiTheme="minorHAnsi" w:hAnsiTheme="minorHAnsi" w:cstheme="minorHAnsi"/>
        </w:rPr>
        <w:t>United States of America</w:t>
      </w:r>
      <w:r w:rsidRPr="00BD0203">
        <w:rPr>
          <w:rFonts w:asciiTheme="minorHAnsi" w:hAnsiTheme="minorHAnsi" w:cstheme="minorHAnsi"/>
        </w:rPr>
        <w:t xml:space="preserve">) assisted by </w:t>
      </w:r>
      <w:r>
        <w:rPr>
          <w:rFonts w:asciiTheme="minorHAnsi" w:hAnsiTheme="minorHAnsi" w:cstheme="minorHAnsi"/>
        </w:rPr>
        <w:t>six V</w:t>
      </w:r>
      <w:r w:rsidRPr="00BD0203">
        <w:rPr>
          <w:rFonts w:asciiTheme="minorHAnsi" w:hAnsiTheme="minorHAnsi" w:cstheme="minorHAnsi"/>
        </w:rPr>
        <w:t>ice-Chairs as follows:</w:t>
      </w:r>
    </w:p>
    <w:p w14:paraId="3A40B76E" w14:textId="77777777" w:rsidR="00424AB0" w:rsidRPr="00C95C22" w:rsidRDefault="00424AB0" w:rsidP="00C10B9C">
      <w:pPr>
        <w:tabs>
          <w:tab w:val="left" w:pos="709"/>
        </w:tabs>
        <w:snapToGrid w:val="0"/>
        <w:spacing w:after="120"/>
        <w:rPr>
          <w:rFonts w:asciiTheme="minorHAnsi" w:hAnsiTheme="minorHAnsi" w:cstheme="minorHAnsi"/>
        </w:rPr>
      </w:pPr>
      <w:r w:rsidRPr="00C95C22">
        <w:rPr>
          <w:rFonts w:asciiTheme="minorHAnsi" w:hAnsiTheme="minorHAnsi" w:cstheme="minorHAnsi"/>
        </w:rPr>
        <w:t xml:space="preserve">AFR - Ms Seynabou Cisse Seck (Senegal) </w:t>
      </w:r>
    </w:p>
    <w:p w14:paraId="5FC9D598" w14:textId="77777777" w:rsidR="00424AB0" w:rsidRPr="00C95C22" w:rsidRDefault="00424AB0" w:rsidP="00C10B9C">
      <w:pPr>
        <w:tabs>
          <w:tab w:val="left" w:pos="709"/>
        </w:tabs>
        <w:snapToGrid w:val="0"/>
        <w:spacing w:after="120"/>
        <w:rPr>
          <w:rFonts w:asciiTheme="minorHAnsi" w:hAnsiTheme="minorHAnsi" w:cstheme="minorHAnsi"/>
        </w:rPr>
      </w:pPr>
      <w:r w:rsidRPr="00C95C22">
        <w:rPr>
          <w:rFonts w:asciiTheme="minorHAnsi" w:hAnsiTheme="minorHAnsi" w:cstheme="minorHAnsi"/>
        </w:rPr>
        <w:t xml:space="preserve">AMS - Mr Ronaldo Moura (Brazil) </w:t>
      </w:r>
    </w:p>
    <w:p w14:paraId="5D1411DE" w14:textId="77777777" w:rsidR="00424AB0" w:rsidRPr="00E31C7D" w:rsidRDefault="00424AB0" w:rsidP="00C10B9C">
      <w:pPr>
        <w:tabs>
          <w:tab w:val="left" w:pos="709"/>
        </w:tabs>
        <w:snapToGrid w:val="0"/>
        <w:spacing w:after="120"/>
        <w:rPr>
          <w:rFonts w:asciiTheme="minorHAnsi" w:hAnsiTheme="minorHAnsi" w:cstheme="minorHAnsi"/>
          <w:lang w:val="da-DK"/>
        </w:rPr>
      </w:pPr>
      <w:r w:rsidRPr="00E31C7D">
        <w:rPr>
          <w:rFonts w:asciiTheme="minorHAnsi" w:hAnsiTheme="minorHAnsi" w:cstheme="minorHAnsi"/>
          <w:lang w:val="da-DK"/>
        </w:rPr>
        <w:t xml:space="preserve">ARB - Ms Noha Gaafar (Egypt) </w:t>
      </w:r>
    </w:p>
    <w:p w14:paraId="65FE4FD5" w14:textId="7B13C7AE" w:rsidR="00424AB0" w:rsidRDefault="00424AB0" w:rsidP="008A20A3">
      <w:pPr>
        <w:tabs>
          <w:tab w:val="left" w:pos="709"/>
        </w:tabs>
        <w:snapToGrid w:val="0"/>
        <w:spacing w:after="120"/>
        <w:rPr>
          <w:rFonts w:asciiTheme="minorHAnsi" w:hAnsiTheme="minorHAnsi" w:cstheme="minorHAnsi"/>
        </w:rPr>
      </w:pPr>
      <w:r w:rsidRPr="008A20A3">
        <w:rPr>
          <w:rFonts w:asciiTheme="minorHAnsi" w:hAnsiTheme="minorHAnsi" w:cstheme="minorHAnsi"/>
        </w:rPr>
        <w:t xml:space="preserve">ASP </w:t>
      </w:r>
      <w:r w:rsidR="008A20A3" w:rsidRPr="008A20A3">
        <w:rPr>
          <w:rFonts w:asciiTheme="minorHAnsi" w:hAnsiTheme="minorHAnsi" w:cstheme="minorHAnsi"/>
        </w:rPr>
        <w:t>–</w:t>
      </w:r>
      <w:r w:rsidRPr="008A20A3">
        <w:rPr>
          <w:rFonts w:asciiTheme="minorHAnsi" w:hAnsiTheme="minorHAnsi" w:cstheme="minorHAnsi"/>
        </w:rPr>
        <w:t xml:space="preserve"> </w:t>
      </w:r>
      <w:r w:rsidR="008A20A3" w:rsidRPr="008A20A3">
        <w:rPr>
          <w:rFonts w:asciiTheme="minorHAnsi" w:hAnsiTheme="minorHAnsi" w:cstheme="minorHAnsi"/>
        </w:rPr>
        <w:t>(</w:t>
      </w:r>
      <w:r w:rsidR="00E85E62">
        <w:rPr>
          <w:rFonts w:asciiTheme="minorHAnsi" w:hAnsiTheme="minorHAnsi" w:cstheme="minorHAnsi"/>
        </w:rPr>
        <w:t>the Delegate left – current v</w:t>
      </w:r>
      <w:r w:rsidR="008A20A3">
        <w:rPr>
          <w:rFonts w:asciiTheme="minorHAnsi" w:hAnsiTheme="minorHAnsi" w:cstheme="minorHAnsi"/>
        </w:rPr>
        <w:t>acant)</w:t>
      </w:r>
    </w:p>
    <w:p w14:paraId="68498494" w14:textId="669D1DE8" w:rsidR="00424AB0" w:rsidRPr="00C95C22" w:rsidRDefault="00424AB0" w:rsidP="00C10B9C">
      <w:pPr>
        <w:spacing w:after="120"/>
        <w:jc w:val="both"/>
        <w:rPr>
          <w:rFonts w:asciiTheme="minorHAnsi" w:hAnsiTheme="minorHAnsi" w:cstheme="minorHAnsi"/>
        </w:rPr>
      </w:pPr>
      <w:r w:rsidRPr="00986D41">
        <w:rPr>
          <w:rFonts w:asciiTheme="minorHAnsi" w:hAnsiTheme="minorHAnsi" w:cstheme="minorHAnsi"/>
        </w:rPr>
        <w:t xml:space="preserve">CIS - Mr Erzhan </w:t>
      </w:r>
      <w:proofErr w:type="spellStart"/>
      <w:r w:rsidRPr="00986D41">
        <w:rPr>
          <w:rFonts w:asciiTheme="minorHAnsi" w:hAnsiTheme="minorHAnsi" w:cstheme="minorHAnsi"/>
        </w:rPr>
        <w:t>Meiramov</w:t>
      </w:r>
      <w:proofErr w:type="spellEnd"/>
      <w:r w:rsidRPr="00986D41">
        <w:rPr>
          <w:rFonts w:asciiTheme="minorHAnsi" w:hAnsiTheme="minorHAnsi" w:cstheme="minorHAnsi"/>
        </w:rPr>
        <w:t xml:space="preserve"> (Kazakhstan)</w:t>
      </w:r>
      <w:r w:rsidR="008A20A3">
        <w:rPr>
          <w:rFonts w:asciiTheme="minorHAnsi" w:hAnsiTheme="minorHAnsi" w:cstheme="minorHAnsi"/>
        </w:rPr>
        <w:t xml:space="preserve"> (absent)</w:t>
      </w:r>
    </w:p>
    <w:p w14:paraId="677018AD" w14:textId="48550AFB" w:rsidR="00424AB0" w:rsidRPr="00C95C22" w:rsidRDefault="00424AB0" w:rsidP="00C10B9C">
      <w:pPr>
        <w:tabs>
          <w:tab w:val="left" w:pos="709"/>
        </w:tabs>
        <w:snapToGrid w:val="0"/>
        <w:spacing w:after="120"/>
        <w:rPr>
          <w:rFonts w:asciiTheme="minorHAnsi" w:hAnsiTheme="minorHAnsi" w:cstheme="minorHAnsi"/>
          <w:color w:val="000000"/>
          <w:lang w:eastAsia="en-AU"/>
        </w:rPr>
      </w:pPr>
      <w:r w:rsidRPr="00C95C22">
        <w:rPr>
          <w:rFonts w:asciiTheme="minorHAnsi" w:hAnsiTheme="minorHAnsi" w:cstheme="minorHAnsi"/>
        </w:rPr>
        <w:t xml:space="preserve">EUR - Mr Szabolcs </w:t>
      </w:r>
      <w:r w:rsidR="0099394D" w:rsidRPr="00C95C22">
        <w:rPr>
          <w:rFonts w:asciiTheme="minorHAnsi" w:hAnsiTheme="minorHAnsi" w:cstheme="minorHAnsi"/>
        </w:rPr>
        <w:t>Szentléleky</w:t>
      </w:r>
      <w:r w:rsidRPr="00C95C22">
        <w:rPr>
          <w:rFonts w:asciiTheme="minorHAnsi" w:hAnsiTheme="minorHAnsi" w:cstheme="minorHAnsi"/>
        </w:rPr>
        <w:t xml:space="preserve"> (Hungary)</w:t>
      </w:r>
    </w:p>
    <w:p w14:paraId="1BE00627" w14:textId="1E3EEE98" w:rsidR="00424AB0" w:rsidRPr="00C10B9C" w:rsidRDefault="00424AB0" w:rsidP="00C10B9C">
      <w:pPr>
        <w:tabs>
          <w:tab w:val="clear" w:pos="567"/>
          <w:tab w:val="clear" w:pos="1134"/>
          <w:tab w:val="clear" w:pos="1701"/>
          <w:tab w:val="clear" w:pos="2268"/>
          <w:tab w:val="clear" w:pos="2835"/>
          <w:tab w:val="left" w:pos="851"/>
        </w:tabs>
        <w:snapToGrid w:val="0"/>
        <w:spacing w:before="480" w:after="120"/>
        <w:ind w:left="851" w:hanging="851"/>
        <w:rPr>
          <w:rFonts w:asciiTheme="minorHAnsi" w:hAnsiTheme="minorHAnsi" w:cstheme="minorHAnsi"/>
          <w:b/>
          <w:bCs/>
          <w:szCs w:val="24"/>
          <w:u w:val="single"/>
          <w:lang w:val="en-AU" w:eastAsia="en-AU"/>
        </w:rPr>
      </w:pPr>
      <w:r w:rsidRPr="00C10B9C">
        <w:rPr>
          <w:rFonts w:asciiTheme="minorHAnsi" w:hAnsiTheme="minorHAnsi" w:cstheme="minorHAnsi"/>
          <w:b/>
          <w:bCs/>
          <w:szCs w:val="24"/>
          <w:lang w:val="en-CA" w:eastAsia="en-AU"/>
        </w:rPr>
        <w:t>1</w:t>
      </w:r>
      <w:r w:rsidRPr="00C10B9C">
        <w:rPr>
          <w:rFonts w:asciiTheme="minorHAnsi" w:hAnsiTheme="minorHAnsi" w:cstheme="minorHAnsi"/>
          <w:b/>
          <w:bCs/>
          <w:szCs w:val="24"/>
          <w:lang w:val="en-CA" w:eastAsia="en-AU"/>
        </w:rPr>
        <w:tab/>
        <w:t>Opening remarks and approval of the revised Agenda</w:t>
      </w:r>
      <w:r w:rsidRPr="00C10B9C">
        <w:rPr>
          <w:rFonts w:asciiTheme="minorHAnsi" w:hAnsiTheme="minorHAnsi" w:cstheme="minorHAnsi"/>
          <w:b/>
          <w:bCs/>
          <w:szCs w:val="24"/>
          <w:lang w:val="en-CA" w:eastAsia="en-AU"/>
        </w:rPr>
        <w:br/>
        <w:t>(</w:t>
      </w:r>
      <w:r w:rsidRPr="00C10B9C">
        <w:rPr>
          <w:rFonts w:asciiTheme="minorHAnsi" w:hAnsiTheme="minorHAnsi" w:cstheme="minorHAnsi"/>
          <w:b/>
          <w:bCs/>
          <w:szCs w:val="24"/>
          <w:lang w:val="en-AU"/>
        </w:rPr>
        <w:t xml:space="preserve">Document </w:t>
      </w:r>
      <w:hyperlink r:id="rId8" w:history="1">
        <w:r w:rsidRPr="00C10B9C">
          <w:rPr>
            <w:rStyle w:val="Hyperlink"/>
            <w:rFonts w:asciiTheme="minorHAnsi" w:hAnsiTheme="minorHAnsi" w:cstheme="minorHAnsi"/>
            <w:b/>
            <w:bCs/>
            <w:szCs w:val="24"/>
            <w:lang w:val="en-AU"/>
          </w:rPr>
          <w:t>CWG-FHR-20/1 (Rev.</w:t>
        </w:r>
        <w:r w:rsidR="00D45595" w:rsidRPr="00C10B9C">
          <w:rPr>
            <w:rStyle w:val="Hyperlink"/>
            <w:rFonts w:asciiTheme="minorHAnsi" w:hAnsiTheme="minorHAnsi" w:cstheme="minorHAnsi"/>
            <w:b/>
            <w:bCs/>
            <w:szCs w:val="24"/>
            <w:lang w:val="en-AU"/>
          </w:rPr>
          <w:t>3</w:t>
        </w:r>
      </w:hyperlink>
      <w:r w:rsidRPr="00C10B9C">
        <w:rPr>
          <w:rStyle w:val="Hyperlink"/>
          <w:rFonts w:asciiTheme="minorHAnsi" w:hAnsiTheme="minorHAnsi" w:cstheme="minorHAnsi"/>
          <w:b/>
          <w:bCs/>
          <w:szCs w:val="24"/>
          <w:lang w:val="en-AU"/>
        </w:rPr>
        <w:t>)</w:t>
      </w:r>
      <w:r w:rsidRPr="00C10B9C">
        <w:rPr>
          <w:rFonts w:asciiTheme="minorHAnsi" w:hAnsiTheme="minorHAnsi" w:cstheme="minorHAnsi"/>
          <w:b/>
          <w:bCs/>
          <w:szCs w:val="24"/>
          <w:lang w:val="en-AU"/>
        </w:rPr>
        <w:t>)</w:t>
      </w:r>
    </w:p>
    <w:p w14:paraId="75A28068" w14:textId="6789EFF7" w:rsidR="00424AB0" w:rsidRPr="00C10B9C" w:rsidRDefault="00424AB0" w:rsidP="00C10B9C">
      <w:pPr>
        <w:tabs>
          <w:tab w:val="clear" w:pos="567"/>
          <w:tab w:val="clear" w:pos="1134"/>
          <w:tab w:val="clear" w:pos="1701"/>
          <w:tab w:val="clear" w:pos="2268"/>
          <w:tab w:val="clear" w:pos="2835"/>
          <w:tab w:val="left" w:pos="851"/>
        </w:tabs>
        <w:snapToGrid w:val="0"/>
        <w:spacing w:after="120"/>
        <w:ind w:right="57"/>
        <w:jc w:val="both"/>
        <w:rPr>
          <w:rFonts w:asciiTheme="minorHAnsi" w:hAnsiTheme="minorHAnsi" w:cstheme="minorHAnsi"/>
          <w:b/>
          <w:bCs/>
          <w:szCs w:val="24"/>
        </w:rPr>
      </w:pPr>
      <w:r w:rsidRPr="00C10B9C">
        <w:rPr>
          <w:rFonts w:asciiTheme="minorHAnsi" w:hAnsiTheme="minorHAnsi" w:cstheme="minorHAnsi"/>
          <w:b/>
          <w:bCs/>
          <w:szCs w:val="24"/>
        </w:rPr>
        <w:tab/>
        <w:t>Opening remarks by the Chair</w:t>
      </w:r>
    </w:p>
    <w:p w14:paraId="27AC76F6" w14:textId="6148CF17" w:rsidR="00442499" w:rsidRPr="00C10B9C" w:rsidRDefault="00B922DC" w:rsidP="00C10B9C">
      <w:pPr>
        <w:tabs>
          <w:tab w:val="clear" w:pos="567"/>
          <w:tab w:val="left" w:pos="0"/>
          <w:tab w:val="left" w:pos="851"/>
        </w:tabs>
        <w:snapToGrid w:val="0"/>
        <w:spacing w:after="120"/>
        <w:outlineLvl w:val="0"/>
        <w:rPr>
          <w:rFonts w:asciiTheme="minorHAnsi" w:hAnsiTheme="minorHAnsi" w:cstheme="minorHAnsi"/>
          <w:szCs w:val="24"/>
        </w:rPr>
      </w:pPr>
      <w:r w:rsidRPr="00C10B9C">
        <w:rPr>
          <w:rFonts w:asciiTheme="minorHAnsi" w:hAnsiTheme="minorHAnsi" w:cstheme="minorHAnsi"/>
          <w:szCs w:val="24"/>
        </w:rPr>
        <w:t>1.1</w:t>
      </w:r>
      <w:r w:rsidRPr="00C10B9C">
        <w:rPr>
          <w:rFonts w:asciiTheme="minorHAnsi" w:hAnsiTheme="minorHAnsi" w:cstheme="minorHAnsi"/>
          <w:szCs w:val="24"/>
        </w:rPr>
        <w:tab/>
      </w:r>
      <w:r w:rsidR="00442499" w:rsidRPr="00C10B9C">
        <w:rPr>
          <w:rFonts w:asciiTheme="minorHAnsi" w:hAnsiTheme="minorHAnsi" w:cstheme="minorHAnsi"/>
          <w:szCs w:val="24"/>
        </w:rPr>
        <w:t xml:space="preserve">The Chair, </w:t>
      </w:r>
      <w:bookmarkStart w:id="8" w:name="_Hlk62546548"/>
      <w:r w:rsidR="00442499" w:rsidRPr="00C10B9C">
        <w:rPr>
          <w:rFonts w:asciiTheme="minorHAnsi" w:hAnsiTheme="minorHAnsi" w:cstheme="minorHAnsi"/>
          <w:szCs w:val="24"/>
        </w:rPr>
        <w:t>Ms Vernita D. Harris</w:t>
      </w:r>
      <w:bookmarkEnd w:id="8"/>
      <w:r w:rsidR="00442499" w:rsidRPr="00C10B9C">
        <w:rPr>
          <w:rFonts w:asciiTheme="minorHAnsi" w:hAnsiTheme="minorHAnsi" w:cstheme="minorHAnsi"/>
          <w:szCs w:val="24"/>
        </w:rPr>
        <w:t xml:space="preserve"> (United States of America) joined remotely to inform delegates that she was unable to attend in person due to an urgent matter in Washington, informed delegates that she would be participating virtually throughout the three-day meeting.</w:t>
      </w:r>
    </w:p>
    <w:p w14:paraId="5B9C4010" w14:textId="413D94A8" w:rsidR="00442499" w:rsidRPr="00C10B9C" w:rsidRDefault="00B922DC" w:rsidP="00C10B9C">
      <w:pPr>
        <w:tabs>
          <w:tab w:val="clear" w:pos="567"/>
          <w:tab w:val="left" w:pos="0"/>
          <w:tab w:val="left" w:pos="851"/>
        </w:tabs>
        <w:snapToGrid w:val="0"/>
        <w:spacing w:after="120"/>
        <w:outlineLvl w:val="0"/>
        <w:rPr>
          <w:rFonts w:asciiTheme="minorHAnsi" w:hAnsiTheme="minorHAnsi" w:cstheme="minorHAnsi"/>
          <w:szCs w:val="24"/>
        </w:rPr>
      </w:pPr>
      <w:r w:rsidRPr="00C10B9C">
        <w:rPr>
          <w:rFonts w:asciiTheme="minorHAnsi" w:hAnsiTheme="minorHAnsi" w:cstheme="minorHAnsi"/>
          <w:szCs w:val="24"/>
        </w:rPr>
        <w:t>1.2</w:t>
      </w:r>
      <w:r w:rsidRPr="00C10B9C">
        <w:rPr>
          <w:rFonts w:asciiTheme="minorHAnsi" w:hAnsiTheme="minorHAnsi" w:cstheme="minorHAnsi"/>
          <w:szCs w:val="24"/>
        </w:rPr>
        <w:tab/>
      </w:r>
      <w:r w:rsidR="00442499" w:rsidRPr="00C10B9C">
        <w:rPr>
          <w:rFonts w:asciiTheme="minorHAnsi" w:hAnsiTheme="minorHAnsi" w:cstheme="minorHAnsi"/>
          <w:szCs w:val="24"/>
        </w:rPr>
        <w:t xml:space="preserve">She designated Mr Szabolcs </w:t>
      </w:r>
      <w:r w:rsidR="0099394D" w:rsidRPr="00C10B9C">
        <w:rPr>
          <w:rFonts w:asciiTheme="minorHAnsi" w:hAnsiTheme="minorHAnsi" w:cstheme="minorHAnsi"/>
          <w:szCs w:val="24"/>
        </w:rPr>
        <w:t>Szentléleky</w:t>
      </w:r>
      <w:r w:rsidR="00442499" w:rsidRPr="00C10B9C">
        <w:rPr>
          <w:rFonts w:asciiTheme="minorHAnsi" w:hAnsiTheme="minorHAnsi" w:cstheme="minorHAnsi"/>
          <w:szCs w:val="24"/>
        </w:rPr>
        <w:t xml:space="preserve"> (Hungary) to chair the meeting on her behalf, expressing confidence in his ability to lead effectively. </w:t>
      </w:r>
    </w:p>
    <w:p w14:paraId="3B9EDF59" w14:textId="011EC5C0" w:rsidR="00442499" w:rsidRPr="00C10B9C" w:rsidRDefault="00B922DC" w:rsidP="00C10B9C">
      <w:pPr>
        <w:tabs>
          <w:tab w:val="clear" w:pos="567"/>
          <w:tab w:val="left" w:pos="0"/>
          <w:tab w:val="left" w:pos="851"/>
        </w:tabs>
        <w:snapToGrid w:val="0"/>
        <w:spacing w:after="120"/>
        <w:outlineLvl w:val="0"/>
        <w:rPr>
          <w:rFonts w:asciiTheme="minorHAnsi" w:hAnsiTheme="minorHAnsi" w:cstheme="minorHAnsi"/>
          <w:szCs w:val="24"/>
        </w:rPr>
      </w:pPr>
      <w:r w:rsidRPr="00C10B9C">
        <w:rPr>
          <w:rFonts w:asciiTheme="minorHAnsi" w:hAnsiTheme="minorHAnsi" w:cstheme="minorHAnsi"/>
          <w:szCs w:val="24"/>
        </w:rPr>
        <w:t>1.3</w:t>
      </w:r>
      <w:r w:rsidRPr="00C10B9C">
        <w:rPr>
          <w:rFonts w:asciiTheme="minorHAnsi" w:hAnsiTheme="minorHAnsi" w:cstheme="minorHAnsi"/>
          <w:szCs w:val="24"/>
        </w:rPr>
        <w:tab/>
      </w:r>
      <w:r w:rsidR="00442499" w:rsidRPr="00C10B9C">
        <w:rPr>
          <w:rFonts w:asciiTheme="minorHAnsi" w:hAnsiTheme="minorHAnsi" w:cstheme="minorHAnsi"/>
          <w:szCs w:val="24"/>
        </w:rPr>
        <w:t>Comments by two delegates were noted, leading to a revision of the agenda to merge two topics into a single item and schedule a review of the time management plan. With no objections, the agenda was approved, and the Chair handed over the meeting to Mr Szabolcs </w:t>
      </w:r>
      <w:r w:rsidR="0099394D" w:rsidRPr="00C10B9C">
        <w:rPr>
          <w:rFonts w:asciiTheme="minorHAnsi" w:hAnsiTheme="minorHAnsi" w:cstheme="minorHAnsi"/>
          <w:szCs w:val="24"/>
        </w:rPr>
        <w:t>Szentléleky</w:t>
      </w:r>
      <w:r w:rsidR="00442499" w:rsidRPr="00C10B9C">
        <w:rPr>
          <w:rFonts w:asciiTheme="minorHAnsi" w:hAnsiTheme="minorHAnsi" w:cstheme="minorHAnsi"/>
          <w:szCs w:val="24"/>
        </w:rPr>
        <w:t>.</w:t>
      </w:r>
    </w:p>
    <w:p w14:paraId="5B924EF4" w14:textId="77777777" w:rsidR="00C22302" w:rsidRPr="00C10B9C" w:rsidRDefault="00C22302" w:rsidP="00C10B9C">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Cs w:val="24"/>
        </w:rPr>
      </w:pPr>
      <w:bookmarkStart w:id="9" w:name="_Hlk179789530"/>
      <w:r w:rsidRPr="00C10B9C">
        <w:rPr>
          <w:rFonts w:asciiTheme="minorHAnsi" w:hAnsiTheme="minorHAnsi" w:cstheme="minorHAnsi"/>
          <w:szCs w:val="24"/>
        </w:rPr>
        <w:br w:type="page"/>
      </w:r>
    </w:p>
    <w:p w14:paraId="75D6849A" w14:textId="3BC3A4B4" w:rsidR="00424AB0" w:rsidRPr="00C10B9C" w:rsidRDefault="00424AB0" w:rsidP="00C10B9C">
      <w:pPr>
        <w:tabs>
          <w:tab w:val="clear" w:pos="567"/>
          <w:tab w:val="clear" w:pos="1134"/>
          <w:tab w:val="clear" w:pos="1701"/>
          <w:tab w:val="clear" w:pos="2268"/>
          <w:tab w:val="clear" w:pos="2835"/>
          <w:tab w:val="left" w:pos="709"/>
        </w:tabs>
        <w:snapToGrid w:val="0"/>
        <w:spacing w:after="120"/>
        <w:outlineLvl w:val="0"/>
        <w:rPr>
          <w:rFonts w:asciiTheme="minorHAnsi" w:hAnsiTheme="minorHAnsi" w:cstheme="minorHAnsi"/>
          <w:b/>
          <w:bCs/>
          <w:szCs w:val="24"/>
        </w:rPr>
      </w:pPr>
      <w:r w:rsidRPr="00C10B9C">
        <w:rPr>
          <w:rFonts w:asciiTheme="minorHAnsi" w:hAnsiTheme="minorHAnsi" w:cstheme="minorHAnsi"/>
          <w:b/>
          <w:bCs/>
          <w:szCs w:val="24"/>
        </w:rPr>
        <w:lastRenderedPageBreak/>
        <w:t>Welcome remarks by the Secretary-General</w:t>
      </w:r>
    </w:p>
    <w:bookmarkEnd w:id="9"/>
    <w:p w14:paraId="60A6897F" w14:textId="334708C1" w:rsidR="00086A34" w:rsidRPr="00C10B9C" w:rsidRDefault="00424AB0" w:rsidP="00C10B9C">
      <w:pPr>
        <w:tabs>
          <w:tab w:val="clear" w:pos="567"/>
          <w:tab w:val="left" w:pos="0"/>
          <w:tab w:val="left" w:pos="851"/>
        </w:tabs>
        <w:snapToGrid w:val="0"/>
        <w:spacing w:after="120"/>
        <w:outlineLvl w:val="0"/>
        <w:rPr>
          <w:rFonts w:asciiTheme="minorHAnsi" w:hAnsiTheme="minorHAnsi" w:cstheme="minorHAnsi"/>
          <w:szCs w:val="24"/>
        </w:rPr>
      </w:pPr>
      <w:r w:rsidRPr="00C10B9C">
        <w:rPr>
          <w:rFonts w:asciiTheme="minorHAnsi" w:hAnsiTheme="minorHAnsi" w:cstheme="minorHAnsi"/>
          <w:szCs w:val="24"/>
        </w:rPr>
        <w:t>1.</w:t>
      </w:r>
      <w:r w:rsidR="00086A34" w:rsidRPr="00C10B9C">
        <w:rPr>
          <w:rFonts w:asciiTheme="minorHAnsi" w:hAnsiTheme="minorHAnsi" w:cstheme="minorHAnsi"/>
          <w:szCs w:val="24"/>
        </w:rPr>
        <w:t>4</w:t>
      </w:r>
      <w:r w:rsidRPr="00C10B9C">
        <w:rPr>
          <w:rFonts w:asciiTheme="minorHAnsi" w:hAnsiTheme="minorHAnsi" w:cstheme="minorHAnsi"/>
          <w:szCs w:val="24"/>
        </w:rPr>
        <w:tab/>
      </w:r>
      <w:r w:rsidR="00086A34" w:rsidRPr="00C10B9C">
        <w:rPr>
          <w:rFonts w:asciiTheme="minorHAnsi" w:hAnsiTheme="minorHAnsi" w:cstheme="minorHAnsi"/>
          <w:szCs w:val="24"/>
        </w:rPr>
        <w:t>The Secretary-General</w:t>
      </w:r>
      <w:r w:rsidR="009E1F79" w:rsidRPr="00C10B9C">
        <w:rPr>
          <w:rFonts w:asciiTheme="minorHAnsi" w:hAnsiTheme="minorHAnsi" w:cstheme="minorHAnsi"/>
          <w:szCs w:val="24"/>
        </w:rPr>
        <w:t xml:space="preserve">, Ms Bogdan-Martin </w:t>
      </w:r>
      <w:r w:rsidR="00086A34" w:rsidRPr="00C10B9C">
        <w:rPr>
          <w:rFonts w:asciiTheme="minorHAnsi" w:hAnsiTheme="minorHAnsi" w:cstheme="minorHAnsi"/>
          <w:szCs w:val="24"/>
        </w:rPr>
        <w:t xml:space="preserve">welcomed delegates to the Council Working Group on </w:t>
      </w:r>
      <w:r w:rsidR="0099394D" w:rsidRPr="00C10B9C">
        <w:rPr>
          <w:rFonts w:asciiTheme="minorHAnsi" w:hAnsiTheme="minorHAnsi" w:cstheme="minorHAnsi"/>
          <w:szCs w:val="24"/>
        </w:rPr>
        <w:t xml:space="preserve">financial </w:t>
      </w:r>
      <w:r w:rsidR="00086A34" w:rsidRPr="00C10B9C">
        <w:rPr>
          <w:rFonts w:asciiTheme="minorHAnsi" w:hAnsiTheme="minorHAnsi" w:cstheme="minorHAnsi"/>
          <w:szCs w:val="24"/>
        </w:rPr>
        <w:t xml:space="preserve">and </w:t>
      </w:r>
      <w:r w:rsidR="0099394D" w:rsidRPr="00C10B9C">
        <w:rPr>
          <w:rFonts w:asciiTheme="minorHAnsi" w:hAnsiTheme="minorHAnsi" w:cstheme="minorHAnsi"/>
          <w:szCs w:val="24"/>
        </w:rPr>
        <w:t>human resources</w:t>
      </w:r>
      <w:r w:rsidR="00086A34" w:rsidRPr="00C10B9C">
        <w:rPr>
          <w:rFonts w:asciiTheme="minorHAnsi" w:hAnsiTheme="minorHAnsi" w:cstheme="minorHAnsi"/>
          <w:szCs w:val="24"/>
        </w:rPr>
        <w:t>, marking the start of two weeks of discussions. She highlighted key agenda items, including ITU’s draft budget for 2026–2027, contributions on the timing of the audited financial report, financial planning for 2028–2031, and the need to reassess ITU’s revenue structure. Emphasizing ITU’s commitment to its workforce, she announced the completion of the first staff engagement survey, aimed at improving workplace conditions, and outlined other efficiency measures, such as enhancements in travel cost management, recruitment, onboarding, and the integration of artificial intelligence to optimize operations. She also provided updates on ITU’s website, the selection of the first cohort of young professionals, and change-makers initiatives. Reaffirming ITU’s commitment to transparency and accountability, she noted efforts to strengthen oversight functions, staff mediation support, and internal regulations in alignment with ITU Council decisions. Concluding her remarks, she reflected on the increasing global focus on digital technologies, referencing ITU’s engagement in high-profile forums such as the World Economic Forum in Davos, the AI Action Summit in Paris, and the African Union Summit. She underscored ITU’s leadership in shaping the digital future and encouraged delegates to ensure ITU remains well-resourced and strategically positioned for sustainable and responsible digital development.</w:t>
      </w:r>
    </w:p>
    <w:p w14:paraId="3DB79AA2" w14:textId="52D7CCBC" w:rsidR="00086A34" w:rsidRPr="00C10B9C" w:rsidRDefault="00086A34" w:rsidP="00C10B9C">
      <w:pPr>
        <w:tabs>
          <w:tab w:val="clear" w:pos="567"/>
          <w:tab w:val="left" w:pos="851"/>
        </w:tabs>
        <w:spacing w:after="120"/>
        <w:rPr>
          <w:rFonts w:asciiTheme="minorHAnsi" w:hAnsiTheme="minorHAnsi" w:cstheme="minorHAnsi"/>
          <w:szCs w:val="24"/>
        </w:rPr>
      </w:pPr>
      <w:r w:rsidRPr="00C10B9C">
        <w:rPr>
          <w:rFonts w:asciiTheme="minorHAnsi" w:hAnsiTheme="minorHAnsi" w:cstheme="minorHAnsi"/>
          <w:szCs w:val="24"/>
        </w:rPr>
        <w:t>1.5</w:t>
      </w:r>
      <w:r w:rsidRPr="00C10B9C">
        <w:rPr>
          <w:rFonts w:asciiTheme="minorHAnsi" w:hAnsiTheme="minorHAnsi" w:cstheme="minorHAnsi"/>
          <w:szCs w:val="24"/>
        </w:rPr>
        <w:tab/>
      </w:r>
      <w:r w:rsidRPr="00C10B9C">
        <w:rPr>
          <w:rFonts w:asciiTheme="minorHAnsi" w:hAnsiTheme="minorHAnsi" w:cstheme="minorHAnsi"/>
          <w:spacing w:val="-4"/>
          <w:szCs w:val="24"/>
        </w:rPr>
        <w:t>She concluded by thanking the Chair, Ms Vernita Harris, and handed the floor back to her.</w:t>
      </w:r>
    </w:p>
    <w:p w14:paraId="041D55FD" w14:textId="6A754E6D" w:rsidR="004877F4" w:rsidRPr="00C10B9C" w:rsidRDefault="001618F3" w:rsidP="000D2039">
      <w:pPr>
        <w:tabs>
          <w:tab w:val="clear" w:pos="567"/>
          <w:tab w:val="clear" w:pos="1134"/>
          <w:tab w:val="clear" w:pos="1701"/>
          <w:tab w:val="clear" w:pos="2268"/>
          <w:tab w:val="clear" w:pos="2835"/>
          <w:tab w:val="left" w:pos="851"/>
        </w:tabs>
        <w:spacing w:before="480" w:after="120"/>
        <w:ind w:left="851" w:hanging="851"/>
        <w:rPr>
          <w:rFonts w:asciiTheme="minorHAnsi" w:hAnsiTheme="minorHAnsi" w:cstheme="minorHAnsi"/>
          <w:b/>
          <w:bCs/>
          <w:szCs w:val="24"/>
          <w:lang w:val="es-ES"/>
        </w:rPr>
      </w:pPr>
      <w:r w:rsidRPr="00C10B9C">
        <w:rPr>
          <w:rFonts w:asciiTheme="minorHAnsi" w:hAnsiTheme="minorHAnsi" w:cstheme="minorHAnsi"/>
          <w:b/>
          <w:bCs/>
          <w:szCs w:val="24"/>
        </w:rPr>
        <w:t>2</w:t>
      </w:r>
      <w:r w:rsidR="004877F4" w:rsidRPr="00C10B9C">
        <w:rPr>
          <w:rFonts w:asciiTheme="minorHAnsi" w:hAnsiTheme="minorHAnsi" w:cstheme="minorHAnsi"/>
          <w:szCs w:val="24"/>
        </w:rPr>
        <w:tab/>
      </w:r>
      <w:r w:rsidR="004877F4" w:rsidRPr="00C10B9C">
        <w:rPr>
          <w:rFonts w:asciiTheme="minorHAnsi" w:hAnsiTheme="minorHAnsi" w:cstheme="minorHAnsi"/>
          <w:b/>
          <w:bCs/>
          <w:szCs w:val="24"/>
        </w:rPr>
        <w:t xml:space="preserve">Contribution by the Russian Federation - Comments on the draft agenda for the Council Working Group on financial and human resources – Document </w:t>
      </w:r>
      <w:hyperlink r:id="rId9" w:history="1">
        <w:r w:rsidRPr="00C10B9C">
          <w:rPr>
            <w:rStyle w:val="Hyperlink"/>
            <w:rFonts w:asciiTheme="minorHAnsi" w:hAnsiTheme="minorHAnsi" w:cstheme="minorHAnsi"/>
            <w:b/>
            <w:bCs/>
            <w:szCs w:val="24"/>
          </w:rPr>
          <w:t>CWG-FHR-20/21</w:t>
        </w:r>
      </w:hyperlink>
    </w:p>
    <w:p w14:paraId="0BA929D8" w14:textId="0337D53B" w:rsidR="00B651C7" w:rsidRPr="00C10B9C" w:rsidRDefault="00B651C7" w:rsidP="00C10B9C">
      <w:pPr>
        <w:tabs>
          <w:tab w:val="clear" w:pos="567"/>
          <w:tab w:val="clear" w:pos="1134"/>
          <w:tab w:val="clear" w:pos="1701"/>
          <w:tab w:val="clear" w:pos="2268"/>
          <w:tab w:val="clear" w:pos="2835"/>
          <w:tab w:val="left" w:pos="851"/>
        </w:tabs>
        <w:spacing w:after="120"/>
        <w:rPr>
          <w:rFonts w:asciiTheme="minorHAnsi" w:hAnsiTheme="minorHAnsi" w:cstheme="minorHAnsi"/>
          <w:szCs w:val="24"/>
          <w:lang w:val="es-ES"/>
        </w:rPr>
      </w:pPr>
      <w:r w:rsidRPr="00C10B9C">
        <w:rPr>
          <w:rFonts w:asciiTheme="minorHAnsi" w:hAnsiTheme="minorHAnsi" w:cstheme="minorHAnsi"/>
          <w:szCs w:val="24"/>
          <w:lang w:val="es-ES"/>
        </w:rPr>
        <w:t>2.1</w:t>
      </w:r>
      <w:r w:rsidRPr="00C10B9C">
        <w:rPr>
          <w:rFonts w:asciiTheme="minorHAnsi" w:hAnsiTheme="minorHAnsi" w:cstheme="minorHAnsi"/>
          <w:szCs w:val="24"/>
          <w:lang w:val="es-ES"/>
        </w:rPr>
        <w:tab/>
      </w:r>
      <w:proofErr w:type="spellStart"/>
      <w:r w:rsidRPr="00C10B9C">
        <w:rPr>
          <w:rFonts w:asciiTheme="minorHAnsi" w:hAnsiTheme="minorHAnsi" w:cstheme="minorHAnsi"/>
          <w:szCs w:val="24"/>
          <w:lang w:val="es-ES"/>
        </w:rPr>
        <w:t>Delegates</w:t>
      </w:r>
      <w:proofErr w:type="spellEnd"/>
      <w:r w:rsidRPr="00C10B9C">
        <w:rPr>
          <w:rFonts w:asciiTheme="minorHAnsi" w:hAnsiTheme="minorHAnsi" w:cstheme="minorHAnsi"/>
          <w:szCs w:val="24"/>
          <w:lang w:val="es-ES"/>
        </w:rPr>
        <w:t xml:space="preserve"> </w:t>
      </w:r>
      <w:proofErr w:type="spellStart"/>
      <w:r w:rsidRPr="00C10B9C">
        <w:rPr>
          <w:rFonts w:asciiTheme="minorHAnsi" w:hAnsiTheme="minorHAnsi" w:cstheme="minorHAnsi"/>
          <w:szCs w:val="24"/>
          <w:lang w:val="es-ES"/>
        </w:rPr>
        <w:t>took</w:t>
      </w:r>
      <w:proofErr w:type="spellEnd"/>
      <w:r w:rsidRPr="00C10B9C">
        <w:rPr>
          <w:rFonts w:asciiTheme="minorHAnsi" w:hAnsiTheme="minorHAnsi" w:cstheme="minorHAnsi"/>
          <w:szCs w:val="24"/>
          <w:lang w:val="es-ES"/>
        </w:rPr>
        <w:t xml:space="preserve"> note of the </w:t>
      </w:r>
      <w:proofErr w:type="spellStart"/>
      <w:r w:rsidRPr="00C10B9C">
        <w:rPr>
          <w:rFonts w:asciiTheme="minorHAnsi" w:hAnsiTheme="minorHAnsi" w:cstheme="minorHAnsi"/>
          <w:szCs w:val="24"/>
          <w:lang w:val="es-ES"/>
        </w:rPr>
        <w:t>contribution</w:t>
      </w:r>
      <w:proofErr w:type="spellEnd"/>
      <w:r w:rsidRPr="00C10B9C">
        <w:rPr>
          <w:rFonts w:asciiTheme="minorHAnsi" w:hAnsiTheme="minorHAnsi" w:cstheme="minorHAnsi"/>
          <w:szCs w:val="24"/>
          <w:lang w:val="es-ES"/>
        </w:rPr>
        <w:t xml:space="preserve"> </w:t>
      </w:r>
      <w:proofErr w:type="spellStart"/>
      <w:r w:rsidRPr="00C10B9C">
        <w:rPr>
          <w:rFonts w:asciiTheme="minorHAnsi" w:hAnsiTheme="minorHAnsi" w:cstheme="minorHAnsi"/>
          <w:szCs w:val="24"/>
          <w:lang w:val="es-ES"/>
        </w:rPr>
        <w:t>by</w:t>
      </w:r>
      <w:proofErr w:type="spellEnd"/>
      <w:r w:rsidRPr="00C10B9C">
        <w:rPr>
          <w:rFonts w:asciiTheme="minorHAnsi" w:hAnsiTheme="minorHAnsi" w:cstheme="minorHAnsi"/>
          <w:szCs w:val="24"/>
          <w:lang w:val="es-ES"/>
        </w:rPr>
        <w:t xml:space="preserve"> the </w:t>
      </w:r>
      <w:proofErr w:type="spellStart"/>
      <w:r w:rsidRPr="00C10B9C">
        <w:rPr>
          <w:rFonts w:asciiTheme="minorHAnsi" w:hAnsiTheme="minorHAnsi" w:cstheme="minorHAnsi"/>
          <w:szCs w:val="24"/>
          <w:lang w:val="es-ES"/>
        </w:rPr>
        <w:t>Russian</w:t>
      </w:r>
      <w:proofErr w:type="spellEnd"/>
      <w:r w:rsidRPr="00C10B9C">
        <w:rPr>
          <w:rFonts w:asciiTheme="minorHAnsi" w:hAnsiTheme="minorHAnsi" w:cstheme="minorHAnsi"/>
          <w:szCs w:val="24"/>
          <w:lang w:val="es-ES"/>
        </w:rPr>
        <w:t xml:space="preserve"> </w:t>
      </w:r>
      <w:proofErr w:type="spellStart"/>
      <w:r w:rsidRPr="00C10B9C">
        <w:rPr>
          <w:rFonts w:asciiTheme="minorHAnsi" w:hAnsiTheme="minorHAnsi" w:cstheme="minorHAnsi"/>
          <w:szCs w:val="24"/>
          <w:lang w:val="es-ES"/>
        </w:rPr>
        <w:t>Federation</w:t>
      </w:r>
      <w:proofErr w:type="spellEnd"/>
      <w:r w:rsidRPr="00C10B9C">
        <w:rPr>
          <w:rFonts w:asciiTheme="minorHAnsi" w:hAnsiTheme="minorHAnsi" w:cstheme="minorHAnsi"/>
          <w:szCs w:val="24"/>
          <w:lang w:val="es-ES"/>
        </w:rPr>
        <w:t>.</w:t>
      </w:r>
    </w:p>
    <w:p w14:paraId="55F98B71" w14:textId="72D53774" w:rsidR="00424AB0" w:rsidRPr="00C10B9C" w:rsidRDefault="001618F3" w:rsidP="000D2039">
      <w:pPr>
        <w:tabs>
          <w:tab w:val="clear" w:pos="567"/>
          <w:tab w:val="clear" w:pos="1134"/>
          <w:tab w:val="clear" w:pos="1701"/>
          <w:tab w:val="clear" w:pos="2268"/>
          <w:tab w:val="clear" w:pos="2835"/>
          <w:tab w:val="left" w:pos="851"/>
        </w:tabs>
        <w:spacing w:before="480" w:after="120"/>
        <w:rPr>
          <w:rFonts w:asciiTheme="minorHAnsi" w:hAnsiTheme="minorHAnsi" w:cstheme="minorHAnsi"/>
          <w:b/>
          <w:bCs/>
          <w:szCs w:val="24"/>
          <w:lang w:val="es-ES"/>
        </w:rPr>
      </w:pPr>
      <w:r w:rsidRPr="00C10B9C">
        <w:rPr>
          <w:rFonts w:asciiTheme="minorHAnsi" w:hAnsiTheme="minorHAnsi" w:cstheme="minorHAnsi"/>
          <w:b/>
          <w:bCs/>
          <w:szCs w:val="24"/>
          <w:lang w:val="es-ES"/>
        </w:rPr>
        <w:t>3</w:t>
      </w:r>
      <w:r w:rsidR="00424AB0" w:rsidRPr="00C10B9C">
        <w:rPr>
          <w:rFonts w:asciiTheme="minorHAnsi" w:hAnsiTheme="minorHAnsi" w:cstheme="minorHAnsi"/>
          <w:b/>
          <w:bCs/>
          <w:szCs w:val="24"/>
          <w:lang w:val="es-ES"/>
        </w:rPr>
        <w:tab/>
      </w:r>
      <w:proofErr w:type="spellStart"/>
      <w:r w:rsidR="00424AB0" w:rsidRPr="00C10B9C">
        <w:rPr>
          <w:rFonts w:asciiTheme="minorHAnsi" w:hAnsiTheme="minorHAnsi" w:cstheme="minorHAnsi"/>
          <w:b/>
          <w:bCs/>
          <w:szCs w:val="24"/>
          <w:lang w:val="es-ES"/>
        </w:rPr>
        <w:t>Statement</w:t>
      </w:r>
      <w:proofErr w:type="spellEnd"/>
      <w:r w:rsidR="00424AB0" w:rsidRPr="00C10B9C">
        <w:rPr>
          <w:rFonts w:asciiTheme="minorHAnsi" w:hAnsiTheme="minorHAnsi" w:cstheme="minorHAnsi"/>
          <w:b/>
          <w:bCs/>
          <w:szCs w:val="24"/>
          <w:lang w:val="es-ES"/>
        </w:rPr>
        <w:t xml:space="preserve"> </w:t>
      </w:r>
      <w:proofErr w:type="spellStart"/>
      <w:r w:rsidR="00424AB0" w:rsidRPr="00C10B9C">
        <w:rPr>
          <w:rFonts w:asciiTheme="minorHAnsi" w:hAnsiTheme="minorHAnsi" w:cstheme="minorHAnsi"/>
          <w:b/>
          <w:bCs/>
          <w:szCs w:val="24"/>
          <w:lang w:val="es-ES"/>
        </w:rPr>
        <w:t>by</w:t>
      </w:r>
      <w:proofErr w:type="spellEnd"/>
      <w:r w:rsidR="00424AB0" w:rsidRPr="00C10B9C">
        <w:rPr>
          <w:rFonts w:asciiTheme="minorHAnsi" w:hAnsiTheme="minorHAnsi" w:cstheme="minorHAnsi"/>
          <w:b/>
          <w:bCs/>
          <w:szCs w:val="24"/>
          <w:lang w:val="es-ES"/>
        </w:rPr>
        <w:t xml:space="preserve"> the Staff Council</w:t>
      </w:r>
      <w:r w:rsidR="00D45595" w:rsidRPr="00C10B9C">
        <w:rPr>
          <w:rFonts w:asciiTheme="minorHAnsi" w:hAnsiTheme="minorHAnsi" w:cstheme="minorHAnsi"/>
          <w:b/>
          <w:bCs/>
          <w:szCs w:val="24"/>
          <w:lang w:val="es-ES"/>
        </w:rPr>
        <w:t xml:space="preserve"> (oral presentation)</w:t>
      </w:r>
    </w:p>
    <w:p w14:paraId="52F89F18" w14:textId="270F8413" w:rsidR="00424AB0" w:rsidRPr="00C10B9C" w:rsidRDefault="001618F3" w:rsidP="00C10B9C">
      <w:pPr>
        <w:tabs>
          <w:tab w:val="clear" w:pos="567"/>
          <w:tab w:val="clear" w:pos="1134"/>
          <w:tab w:val="clear" w:pos="1701"/>
          <w:tab w:val="clear" w:pos="2268"/>
          <w:tab w:val="clear" w:pos="2835"/>
          <w:tab w:val="left" w:pos="851"/>
        </w:tabs>
        <w:spacing w:after="120"/>
        <w:rPr>
          <w:rFonts w:asciiTheme="minorHAnsi" w:hAnsiTheme="minorHAnsi" w:cstheme="minorHAnsi"/>
          <w:b/>
          <w:bCs/>
          <w:szCs w:val="24"/>
        </w:rPr>
      </w:pPr>
      <w:r w:rsidRPr="00C10B9C">
        <w:rPr>
          <w:rFonts w:asciiTheme="minorHAnsi" w:hAnsiTheme="minorHAnsi" w:cstheme="minorHAnsi"/>
          <w:szCs w:val="24"/>
        </w:rPr>
        <w:t>3</w:t>
      </w:r>
      <w:r w:rsidR="00424AB0" w:rsidRPr="00C10B9C">
        <w:rPr>
          <w:rFonts w:asciiTheme="minorHAnsi" w:hAnsiTheme="minorHAnsi" w:cstheme="minorHAnsi"/>
          <w:szCs w:val="24"/>
        </w:rPr>
        <w:t>.1</w:t>
      </w:r>
      <w:r w:rsidR="00424AB0" w:rsidRPr="00C10B9C">
        <w:rPr>
          <w:rFonts w:asciiTheme="minorHAnsi" w:hAnsiTheme="minorHAnsi" w:cstheme="minorHAnsi"/>
          <w:szCs w:val="24"/>
        </w:rPr>
        <w:tab/>
        <w:t xml:space="preserve">The statement which is to be found in Document </w:t>
      </w:r>
      <w:hyperlink r:id="rId10" w:history="1">
        <w:r w:rsidR="00424AB0" w:rsidRPr="00C10B9C">
          <w:rPr>
            <w:rStyle w:val="Hyperlink"/>
            <w:rFonts w:asciiTheme="minorHAnsi" w:hAnsiTheme="minorHAnsi" w:cstheme="minorHAnsi"/>
            <w:szCs w:val="24"/>
          </w:rPr>
          <w:t>CWG-FHR-20/INF-3</w:t>
        </w:r>
      </w:hyperlink>
      <w:r w:rsidR="00424AB0" w:rsidRPr="00C10B9C">
        <w:rPr>
          <w:rFonts w:asciiTheme="minorHAnsi" w:hAnsiTheme="minorHAnsi" w:cstheme="minorHAnsi"/>
          <w:szCs w:val="24"/>
        </w:rPr>
        <w:t xml:space="preserve"> was made by the Chair of the Staff Council, Mr</w:t>
      </w:r>
      <w:r w:rsidR="00F81F1D" w:rsidRPr="00C10B9C">
        <w:rPr>
          <w:rFonts w:asciiTheme="minorHAnsi" w:hAnsiTheme="minorHAnsi" w:cstheme="minorHAnsi"/>
          <w:szCs w:val="24"/>
        </w:rPr>
        <w:t xml:space="preserve"> </w:t>
      </w:r>
      <w:r w:rsidR="00424AB0" w:rsidRPr="00C10B9C">
        <w:rPr>
          <w:rFonts w:asciiTheme="minorHAnsi" w:hAnsiTheme="minorHAnsi" w:cstheme="minorHAnsi"/>
          <w:szCs w:val="24"/>
        </w:rPr>
        <w:t>Onder Cetinkaya.</w:t>
      </w:r>
    </w:p>
    <w:p w14:paraId="278D7BCE" w14:textId="43C1772E" w:rsidR="00424AB0" w:rsidRPr="00C10B9C" w:rsidRDefault="001618F3" w:rsidP="000D2039">
      <w:pPr>
        <w:pStyle w:val="Tabletext"/>
        <w:tabs>
          <w:tab w:val="clear" w:pos="284"/>
          <w:tab w:val="clear" w:pos="567"/>
        </w:tabs>
        <w:spacing w:before="480" w:after="120"/>
        <w:ind w:left="851" w:hanging="851"/>
        <w:rPr>
          <w:rFonts w:asciiTheme="minorHAnsi" w:hAnsiTheme="minorHAnsi" w:cstheme="minorHAnsi"/>
          <w:b/>
          <w:bCs/>
          <w:sz w:val="24"/>
          <w:szCs w:val="24"/>
        </w:rPr>
      </w:pPr>
      <w:r w:rsidRPr="00C10B9C">
        <w:rPr>
          <w:rFonts w:asciiTheme="minorHAnsi" w:hAnsiTheme="minorHAnsi" w:cstheme="minorHAnsi"/>
          <w:b/>
          <w:bCs/>
          <w:sz w:val="24"/>
          <w:szCs w:val="24"/>
        </w:rPr>
        <w:t>4</w:t>
      </w:r>
      <w:r w:rsidRPr="00C10B9C">
        <w:rPr>
          <w:rFonts w:asciiTheme="minorHAnsi" w:hAnsiTheme="minorHAnsi" w:cstheme="minorHAnsi"/>
          <w:b/>
          <w:bCs/>
          <w:sz w:val="24"/>
          <w:szCs w:val="24"/>
        </w:rPr>
        <w:tab/>
        <w:t>Strengthening the regional presence: Report of the online correspondence group to develop terms of reference for the ITU to complete a review of regional presence under Resolution 25 – Document</w:t>
      </w:r>
      <w:r w:rsidR="00B73876" w:rsidRPr="00C10B9C">
        <w:rPr>
          <w:rFonts w:asciiTheme="minorHAnsi" w:hAnsiTheme="minorHAnsi" w:cstheme="minorHAnsi"/>
          <w:b/>
          <w:bCs/>
          <w:sz w:val="24"/>
          <w:szCs w:val="24"/>
        </w:rPr>
        <w:t>s</w:t>
      </w:r>
      <w:r w:rsidR="00F81F1D" w:rsidRPr="00C10B9C">
        <w:rPr>
          <w:rFonts w:asciiTheme="minorHAnsi" w:hAnsiTheme="minorHAnsi" w:cstheme="minorHAnsi"/>
          <w:b/>
          <w:bCs/>
          <w:sz w:val="24"/>
          <w:szCs w:val="24"/>
        </w:rPr>
        <w:t xml:space="preserve"> </w:t>
      </w:r>
      <w:hyperlink r:id="rId11" w:history="1">
        <w:r w:rsidRPr="00C10B9C">
          <w:rPr>
            <w:rStyle w:val="Hyperlink"/>
            <w:rFonts w:asciiTheme="minorHAnsi" w:hAnsiTheme="minorHAnsi" w:cstheme="minorHAnsi"/>
            <w:b/>
            <w:bCs/>
            <w:sz w:val="24"/>
            <w:szCs w:val="24"/>
          </w:rPr>
          <w:t>CWG-FHR-20/2</w:t>
        </w:r>
      </w:hyperlink>
      <w:r w:rsidR="00B73876" w:rsidRPr="00C10B9C">
        <w:rPr>
          <w:rFonts w:asciiTheme="minorHAnsi" w:hAnsiTheme="minorHAnsi" w:cstheme="minorHAnsi"/>
          <w:b/>
          <w:bCs/>
          <w:sz w:val="24"/>
          <w:szCs w:val="24"/>
        </w:rPr>
        <w:t xml:space="preserve"> and </w:t>
      </w:r>
      <w:hyperlink r:id="rId12" w:history="1">
        <w:r w:rsidR="00B73876" w:rsidRPr="00C10B9C">
          <w:rPr>
            <w:rStyle w:val="Hyperlink"/>
            <w:rFonts w:asciiTheme="minorHAnsi" w:hAnsiTheme="minorHAnsi" w:cstheme="minorHAnsi"/>
            <w:b/>
            <w:bCs/>
            <w:sz w:val="24"/>
            <w:szCs w:val="24"/>
          </w:rPr>
          <w:t>CWG-FHR-20/DT/1</w:t>
        </w:r>
      </w:hyperlink>
    </w:p>
    <w:p w14:paraId="3C54F961" w14:textId="6C496FC4" w:rsidR="00B44E8D" w:rsidRPr="00C10B9C" w:rsidRDefault="007800AE" w:rsidP="00C10B9C">
      <w:pPr>
        <w:tabs>
          <w:tab w:val="left" w:pos="851"/>
        </w:tabs>
        <w:spacing w:after="120"/>
        <w:rPr>
          <w:rFonts w:asciiTheme="minorHAnsi" w:hAnsiTheme="minorHAnsi" w:cstheme="minorHAnsi"/>
          <w:color w:val="000000"/>
          <w:szCs w:val="24"/>
          <w:lang w:eastAsia="en-GB"/>
        </w:rPr>
      </w:pPr>
      <w:r w:rsidRPr="00C10B9C">
        <w:rPr>
          <w:rFonts w:asciiTheme="minorHAnsi" w:hAnsiTheme="minorHAnsi" w:cstheme="minorHAnsi"/>
          <w:color w:val="000000"/>
          <w:szCs w:val="24"/>
        </w:rPr>
        <w:t>4.1</w:t>
      </w:r>
      <w:r w:rsidRPr="00C10B9C">
        <w:rPr>
          <w:rFonts w:asciiTheme="minorHAnsi" w:hAnsiTheme="minorHAnsi" w:cstheme="minorHAnsi"/>
          <w:color w:val="000000"/>
          <w:szCs w:val="24"/>
        </w:rPr>
        <w:tab/>
      </w:r>
      <w:r w:rsidRPr="00C10B9C">
        <w:rPr>
          <w:rFonts w:asciiTheme="minorHAnsi" w:hAnsiTheme="minorHAnsi" w:cstheme="minorHAnsi"/>
          <w:color w:val="000000"/>
          <w:szCs w:val="24"/>
        </w:rPr>
        <w:tab/>
        <w:t>T</w:t>
      </w:r>
      <w:r w:rsidR="00B44E8D" w:rsidRPr="00C10B9C">
        <w:rPr>
          <w:rFonts w:asciiTheme="minorHAnsi" w:hAnsiTheme="minorHAnsi" w:cstheme="minorHAnsi"/>
          <w:color w:val="000000"/>
          <w:szCs w:val="24"/>
        </w:rPr>
        <w:t>he Council Working Group (CWG) reviewed the report submitted by the Online Correspondence Group (OCG), which included the revised Terms of Reference (</w:t>
      </w:r>
      <w:proofErr w:type="spellStart"/>
      <w:r w:rsidR="00B44E8D" w:rsidRPr="00C10B9C">
        <w:rPr>
          <w:rFonts w:asciiTheme="minorHAnsi" w:hAnsiTheme="minorHAnsi" w:cstheme="minorHAnsi"/>
          <w:color w:val="000000"/>
          <w:szCs w:val="24"/>
        </w:rPr>
        <w:t>ToR</w:t>
      </w:r>
      <w:proofErr w:type="spellEnd"/>
      <w:r w:rsidR="00B44E8D" w:rsidRPr="00C10B9C">
        <w:rPr>
          <w:rFonts w:asciiTheme="minorHAnsi" w:hAnsiTheme="minorHAnsi" w:cstheme="minorHAnsi"/>
          <w:color w:val="000000"/>
          <w:szCs w:val="24"/>
        </w:rPr>
        <w:t xml:space="preserve">). During the discussion, several </w:t>
      </w:r>
      <w:r w:rsidRPr="00C10B9C">
        <w:rPr>
          <w:rFonts w:asciiTheme="minorHAnsi" w:hAnsiTheme="minorHAnsi" w:cstheme="minorHAnsi"/>
          <w:color w:val="000000"/>
          <w:szCs w:val="24"/>
        </w:rPr>
        <w:t xml:space="preserve">delegates </w:t>
      </w:r>
      <w:r w:rsidR="00B44E8D" w:rsidRPr="00C10B9C">
        <w:rPr>
          <w:rFonts w:asciiTheme="minorHAnsi" w:hAnsiTheme="minorHAnsi" w:cstheme="minorHAnsi"/>
          <w:color w:val="000000"/>
          <w:szCs w:val="24"/>
        </w:rPr>
        <w:t xml:space="preserve">sought clarifications and provided comments on key aspects of the revised </w:t>
      </w:r>
      <w:proofErr w:type="spellStart"/>
      <w:r w:rsidR="00B44E8D" w:rsidRPr="00C10B9C">
        <w:rPr>
          <w:rFonts w:asciiTheme="minorHAnsi" w:hAnsiTheme="minorHAnsi" w:cstheme="minorHAnsi"/>
          <w:color w:val="000000"/>
          <w:szCs w:val="24"/>
        </w:rPr>
        <w:t>ToR</w:t>
      </w:r>
      <w:proofErr w:type="spellEnd"/>
      <w:r w:rsidR="00B44E8D" w:rsidRPr="00C10B9C">
        <w:rPr>
          <w:rFonts w:asciiTheme="minorHAnsi" w:hAnsiTheme="minorHAnsi" w:cstheme="minorHAnsi"/>
          <w:color w:val="000000"/>
          <w:szCs w:val="24"/>
        </w:rPr>
        <w:t>, including:</w:t>
      </w:r>
    </w:p>
    <w:p w14:paraId="22EFDB60" w14:textId="77777777" w:rsidR="00B44E8D" w:rsidRPr="00C10B9C" w:rsidRDefault="00B44E8D" w:rsidP="000D2039">
      <w:pPr>
        <w:numPr>
          <w:ilvl w:val="1"/>
          <w:numId w:val="3"/>
        </w:numPr>
        <w:tabs>
          <w:tab w:val="clear" w:pos="567"/>
          <w:tab w:val="clear" w:pos="1134"/>
          <w:tab w:val="clear" w:pos="1701"/>
          <w:tab w:val="clear" w:pos="2268"/>
          <w:tab w:val="clear" w:pos="2835"/>
        </w:tabs>
        <w:overflowPunct/>
        <w:autoSpaceDE/>
        <w:autoSpaceDN/>
        <w:adjustRightInd/>
        <w:spacing w:after="60"/>
        <w:jc w:val="both"/>
        <w:textAlignment w:val="auto"/>
        <w:rPr>
          <w:rFonts w:asciiTheme="minorHAnsi" w:hAnsiTheme="minorHAnsi" w:cstheme="minorHAnsi"/>
          <w:color w:val="000000"/>
          <w:szCs w:val="24"/>
        </w:rPr>
      </w:pPr>
      <w:r w:rsidRPr="00C10B9C">
        <w:rPr>
          <w:rFonts w:asciiTheme="minorHAnsi" w:hAnsiTheme="minorHAnsi" w:cstheme="minorHAnsi"/>
          <w:color w:val="000000"/>
          <w:szCs w:val="24"/>
        </w:rPr>
        <w:t>The scope of stakeholder consultations,</w:t>
      </w:r>
    </w:p>
    <w:p w14:paraId="66BFC33F" w14:textId="77777777" w:rsidR="00B44E8D" w:rsidRPr="00C10B9C" w:rsidRDefault="00B44E8D" w:rsidP="000D2039">
      <w:pPr>
        <w:numPr>
          <w:ilvl w:val="1"/>
          <w:numId w:val="3"/>
        </w:numPr>
        <w:tabs>
          <w:tab w:val="clear" w:pos="567"/>
          <w:tab w:val="clear" w:pos="1134"/>
          <w:tab w:val="clear" w:pos="1701"/>
          <w:tab w:val="clear" w:pos="2268"/>
          <w:tab w:val="clear" w:pos="2835"/>
        </w:tabs>
        <w:overflowPunct/>
        <w:autoSpaceDE/>
        <w:autoSpaceDN/>
        <w:adjustRightInd/>
        <w:spacing w:before="60" w:after="60"/>
        <w:jc w:val="both"/>
        <w:textAlignment w:val="auto"/>
        <w:rPr>
          <w:rFonts w:asciiTheme="minorHAnsi" w:hAnsiTheme="minorHAnsi" w:cstheme="minorHAnsi"/>
          <w:color w:val="000000"/>
          <w:szCs w:val="24"/>
        </w:rPr>
      </w:pPr>
      <w:r w:rsidRPr="00C10B9C">
        <w:rPr>
          <w:rFonts w:asciiTheme="minorHAnsi" w:hAnsiTheme="minorHAnsi" w:cstheme="minorHAnsi"/>
          <w:color w:val="000000"/>
          <w:szCs w:val="24"/>
        </w:rPr>
        <w:t>The alignment of Key Performance Indicators (KPIs), and</w:t>
      </w:r>
    </w:p>
    <w:p w14:paraId="65B22BC4" w14:textId="77777777" w:rsidR="00B44E8D" w:rsidRPr="00C10B9C" w:rsidRDefault="00B44E8D" w:rsidP="000D2039">
      <w:pPr>
        <w:numPr>
          <w:ilvl w:val="1"/>
          <w:numId w:val="3"/>
        </w:numPr>
        <w:tabs>
          <w:tab w:val="clear" w:pos="567"/>
          <w:tab w:val="clear" w:pos="1134"/>
          <w:tab w:val="clear" w:pos="1701"/>
          <w:tab w:val="clear" w:pos="2268"/>
          <w:tab w:val="clear" w:pos="2835"/>
        </w:tabs>
        <w:overflowPunct/>
        <w:autoSpaceDE/>
        <w:autoSpaceDN/>
        <w:adjustRightInd/>
        <w:spacing w:before="60" w:after="120"/>
        <w:jc w:val="both"/>
        <w:textAlignment w:val="auto"/>
        <w:rPr>
          <w:rFonts w:asciiTheme="minorHAnsi" w:hAnsiTheme="minorHAnsi" w:cstheme="minorHAnsi"/>
          <w:color w:val="000000"/>
          <w:szCs w:val="24"/>
        </w:rPr>
      </w:pPr>
      <w:r w:rsidRPr="00C10B9C">
        <w:rPr>
          <w:rFonts w:asciiTheme="minorHAnsi" w:hAnsiTheme="minorHAnsi" w:cstheme="minorHAnsi"/>
          <w:color w:val="000000"/>
          <w:szCs w:val="24"/>
        </w:rPr>
        <w:t>The process for review and evaluation.</w:t>
      </w:r>
    </w:p>
    <w:p w14:paraId="7F45DCE9" w14:textId="08605E48" w:rsidR="00B44E8D" w:rsidRPr="00C10B9C" w:rsidRDefault="007800AE" w:rsidP="00C10B9C">
      <w:pPr>
        <w:tabs>
          <w:tab w:val="clear" w:pos="567"/>
          <w:tab w:val="clear" w:pos="1134"/>
          <w:tab w:val="clear" w:pos="1701"/>
          <w:tab w:val="clear" w:pos="2268"/>
          <w:tab w:val="clear" w:pos="2835"/>
          <w:tab w:val="left" w:pos="851"/>
        </w:tabs>
        <w:overflowPunct/>
        <w:autoSpaceDE/>
        <w:autoSpaceDN/>
        <w:adjustRightInd/>
        <w:spacing w:after="120"/>
        <w:jc w:val="both"/>
        <w:textAlignment w:val="auto"/>
        <w:rPr>
          <w:rFonts w:asciiTheme="minorHAnsi" w:hAnsiTheme="minorHAnsi" w:cstheme="minorHAnsi"/>
          <w:color w:val="000000"/>
          <w:szCs w:val="24"/>
        </w:rPr>
      </w:pPr>
      <w:r w:rsidRPr="00C10B9C">
        <w:rPr>
          <w:rFonts w:asciiTheme="minorHAnsi" w:hAnsiTheme="minorHAnsi" w:cstheme="minorHAnsi"/>
          <w:color w:val="000000"/>
          <w:szCs w:val="24"/>
        </w:rPr>
        <w:t>4.2</w:t>
      </w:r>
      <w:r w:rsidRPr="00C10B9C">
        <w:rPr>
          <w:rFonts w:asciiTheme="minorHAnsi" w:hAnsiTheme="minorHAnsi" w:cstheme="minorHAnsi"/>
          <w:color w:val="000000"/>
          <w:szCs w:val="24"/>
        </w:rPr>
        <w:tab/>
      </w:r>
      <w:r w:rsidR="00B44E8D" w:rsidRPr="00C10B9C">
        <w:rPr>
          <w:rFonts w:asciiTheme="minorHAnsi" w:hAnsiTheme="minorHAnsi" w:cstheme="minorHAnsi"/>
          <w:color w:val="000000"/>
          <w:szCs w:val="24"/>
        </w:rPr>
        <w:t>Following these discussions, it was agreed that the Chair of the Online Correspondence Group would engage with members who had raised comments and observations in an informal consultation. The outcome of these consultations would then inform the preparation of a revised report for further consideration by the Council Working Group.</w:t>
      </w:r>
    </w:p>
    <w:p w14:paraId="3638C743" w14:textId="30C06342" w:rsidR="00B44E8D" w:rsidRPr="00C10B9C" w:rsidRDefault="00AC11A8" w:rsidP="00C10B9C">
      <w:pPr>
        <w:tabs>
          <w:tab w:val="clear" w:pos="567"/>
          <w:tab w:val="clear" w:pos="1134"/>
          <w:tab w:val="clear" w:pos="1701"/>
          <w:tab w:val="clear" w:pos="2268"/>
          <w:tab w:val="clear" w:pos="2835"/>
          <w:tab w:val="left" w:pos="851"/>
        </w:tabs>
        <w:overflowPunct/>
        <w:autoSpaceDE/>
        <w:autoSpaceDN/>
        <w:adjustRightInd/>
        <w:spacing w:after="120"/>
        <w:jc w:val="both"/>
        <w:textAlignment w:val="auto"/>
        <w:rPr>
          <w:rFonts w:asciiTheme="minorHAnsi" w:hAnsiTheme="minorHAnsi" w:cstheme="minorHAnsi"/>
          <w:color w:val="000000"/>
          <w:szCs w:val="24"/>
        </w:rPr>
      </w:pPr>
      <w:r w:rsidRPr="00C10B9C">
        <w:rPr>
          <w:rFonts w:asciiTheme="minorHAnsi" w:hAnsiTheme="minorHAnsi" w:cstheme="minorHAnsi"/>
          <w:color w:val="000000"/>
          <w:szCs w:val="24"/>
        </w:rPr>
        <w:lastRenderedPageBreak/>
        <w:t>4.3</w:t>
      </w:r>
      <w:r w:rsidRPr="00C10B9C">
        <w:rPr>
          <w:rFonts w:asciiTheme="minorHAnsi" w:hAnsiTheme="minorHAnsi" w:cstheme="minorHAnsi"/>
          <w:color w:val="000000"/>
          <w:szCs w:val="24"/>
        </w:rPr>
        <w:tab/>
      </w:r>
      <w:r w:rsidR="007800AE" w:rsidRPr="00C10B9C">
        <w:rPr>
          <w:rFonts w:asciiTheme="minorHAnsi" w:hAnsiTheme="minorHAnsi" w:cstheme="minorHAnsi"/>
          <w:color w:val="000000"/>
          <w:szCs w:val="24"/>
        </w:rPr>
        <w:t xml:space="preserve">Following </w:t>
      </w:r>
      <w:r w:rsidR="00B44E8D" w:rsidRPr="00C10B9C">
        <w:rPr>
          <w:rFonts w:asciiTheme="minorHAnsi" w:hAnsiTheme="minorHAnsi" w:cstheme="minorHAnsi"/>
          <w:color w:val="000000"/>
          <w:szCs w:val="24"/>
        </w:rPr>
        <w:t>the completion of the informal consultations, amendments were made to the Terms of Reference. The revised document was subsequently submitted to the Council Working Group for consideration</w:t>
      </w:r>
      <w:r w:rsidR="007800AE" w:rsidRPr="00C10B9C">
        <w:rPr>
          <w:rFonts w:asciiTheme="minorHAnsi" w:hAnsiTheme="minorHAnsi" w:cstheme="minorHAnsi"/>
          <w:color w:val="000000"/>
          <w:szCs w:val="24"/>
        </w:rPr>
        <w:t>. T</w:t>
      </w:r>
      <w:r w:rsidR="00B44E8D" w:rsidRPr="00C10B9C">
        <w:rPr>
          <w:rFonts w:asciiTheme="minorHAnsi" w:hAnsiTheme="minorHAnsi" w:cstheme="minorHAnsi"/>
          <w:color w:val="000000"/>
          <w:szCs w:val="24"/>
        </w:rPr>
        <w:t>he revised Terms of Reference, subject to minor typographical adjustments</w:t>
      </w:r>
      <w:r w:rsidR="007800AE" w:rsidRPr="00C10B9C">
        <w:rPr>
          <w:rFonts w:asciiTheme="minorHAnsi" w:hAnsiTheme="minorHAnsi" w:cstheme="minorHAnsi"/>
          <w:color w:val="000000"/>
          <w:szCs w:val="24"/>
        </w:rPr>
        <w:t xml:space="preserve"> were </w:t>
      </w:r>
      <w:r w:rsidR="007800AE" w:rsidRPr="00E85E62">
        <w:rPr>
          <w:rFonts w:asciiTheme="minorHAnsi" w:hAnsiTheme="minorHAnsi" w:cstheme="minorHAnsi"/>
          <w:color w:val="000000"/>
          <w:szCs w:val="24"/>
        </w:rPr>
        <w:t>adopted</w:t>
      </w:r>
      <w:r w:rsidR="00A23F47" w:rsidRPr="00E85E62">
        <w:rPr>
          <w:rFonts w:asciiTheme="minorHAnsi" w:hAnsiTheme="minorHAnsi" w:cstheme="minorHAnsi"/>
          <w:color w:val="000000"/>
          <w:szCs w:val="24"/>
        </w:rPr>
        <w:t xml:space="preserve">, and </w:t>
      </w:r>
      <w:r w:rsidR="009D7FE2" w:rsidRPr="00E85E62">
        <w:rPr>
          <w:rFonts w:asciiTheme="minorHAnsi" w:hAnsiTheme="minorHAnsi" w:cstheme="minorHAnsi"/>
          <w:color w:val="000000"/>
          <w:szCs w:val="24"/>
        </w:rPr>
        <w:t>are reflected</w:t>
      </w:r>
      <w:r w:rsidR="00A23F47" w:rsidRPr="00E85E62">
        <w:rPr>
          <w:rFonts w:asciiTheme="minorHAnsi" w:hAnsiTheme="minorHAnsi" w:cstheme="minorHAnsi"/>
          <w:color w:val="000000"/>
          <w:szCs w:val="24"/>
        </w:rPr>
        <w:t xml:space="preserve"> in </w:t>
      </w:r>
      <w:hyperlink w:anchor="AnnexA" w:history="1">
        <w:r w:rsidR="00A23F47" w:rsidRPr="00E85E62">
          <w:rPr>
            <w:rStyle w:val="Hyperlink"/>
            <w:rFonts w:asciiTheme="minorHAnsi" w:hAnsiTheme="minorHAnsi" w:cstheme="minorHAnsi"/>
            <w:szCs w:val="24"/>
          </w:rPr>
          <w:t>Annex A</w:t>
        </w:r>
      </w:hyperlink>
      <w:r w:rsidR="00A23F47" w:rsidRPr="00E85E62">
        <w:rPr>
          <w:rFonts w:asciiTheme="minorHAnsi" w:hAnsiTheme="minorHAnsi" w:cstheme="minorHAnsi"/>
          <w:color w:val="000000"/>
          <w:szCs w:val="24"/>
        </w:rPr>
        <w:t xml:space="preserve"> to this document.</w:t>
      </w:r>
    </w:p>
    <w:p w14:paraId="136625D1" w14:textId="7F627F1B" w:rsidR="001618F3" w:rsidRPr="00C10B9C" w:rsidRDefault="00F002FD" w:rsidP="000D2039">
      <w:pPr>
        <w:pStyle w:val="Tabletext"/>
        <w:tabs>
          <w:tab w:val="clear" w:pos="284"/>
          <w:tab w:val="clear" w:pos="567"/>
        </w:tabs>
        <w:spacing w:before="480" w:after="120"/>
        <w:ind w:left="851" w:hanging="851"/>
        <w:rPr>
          <w:rFonts w:asciiTheme="minorHAnsi" w:hAnsiTheme="minorHAnsi" w:cstheme="minorHAnsi"/>
          <w:sz w:val="24"/>
          <w:szCs w:val="24"/>
        </w:rPr>
      </w:pPr>
      <w:bookmarkStart w:id="10" w:name="_Hlk191477813"/>
      <w:r w:rsidRPr="00C10B9C">
        <w:rPr>
          <w:rFonts w:asciiTheme="minorHAnsi" w:hAnsiTheme="minorHAnsi" w:cstheme="minorHAnsi"/>
          <w:b/>
          <w:bCs/>
          <w:sz w:val="24"/>
          <w:szCs w:val="24"/>
        </w:rPr>
        <w:t>5</w:t>
      </w:r>
      <w:r w:rsidRPr="00C10B9C">
        <w:rPr>
          <w:rFonts w:asciiTheme="minorHAnsi" w:hAnsiTheme="minorHAnsi" w:cstheme="minorHAnsi"/>
          <w:b/>
          <w:bCs/>
          <w:sz w:val="24"/>
          <w:szCs w:val="24"/>
        </w:rPr>
        <w:tab/>
        <w:t>Methodology for provision of estimates of the financial implications of proposed decisions and resolutions at ITU conferences and assemblies – Document </w:t>
      </w:r>
      <w:hyperlink r:id="rId13" w:history="1">
        <w:r w:rsidRPr="00C10B9C">
          <w:rPr>
            <w:rStyle w:val="Hyperlink"/>
            <w:rFonts w:asciiTheme="minorHAnsi" w:hAnsiTheme="minorHAnsi" w:cstheme="minorHAnsi"/>
            <w:b/>
            <w:bCs/>
            <w:sz w:val="24"/>
            <w:szCs w:val="24"/>
          </w:rPr>
          <w:t>CWG-FHR-20/4</w:t>
        </w:r>
      </w:hyperlink>
    </w:p>
    <w:p w14:paraId="5BE802B3" w14:textId="42EF0C6C" w:rsidR="00AB5A82" w:rsidRPr="00C10B9C" w:rsidRDefault="005F6915" w:rsidP="00C10B9C">
      <w:pPr>
        <w:pStyle w:val="Tabletext"/>
        <w:tabs>
          <w:tab w:val="clear" w:pos="284"/>
          <w:tab w:val="clear" w:pos="567"/>
        </w:tabs>
        <w:spacing w:before="120" w:after="120"/>
        <w:rPr>
          <w:rFonts w:asciiTheme="minorHAnsi" w:hAnsiTheme="minorHAnsi" w:cstheme="minorHAnsi"/>
          <w:sz w:val="24"/>
          <w:szCs w:val="24"/>
        </w:rPr>
      </w:pPr>
      <w:r w:rsidRPr="00C10B9C">
        <w:rPr>
          <w:rFonts w:asciiTheme="minorHAnsi" w:hAnsiTheme="minorHAnsi" w:cstheme="minorHAnsi"/>
          <w:sz w:val="24"/>
          <w:szCs w:val="24"/>
        </w:rPr>
        <w:t>5.1</w:t>
      </w:r>
      <w:r w:rsidRPr="00C10B9C">
        <w:rPr>
          <w:rFonts w:asciiTheme="minorHAnsi" w:hAnsiTheme="minorHAnsi" w:cstheme="minorHAnsi"/>
          <w:sz w:val="24"/>
          <w:szCs w:val="24"/>
        </w:rPr>
        <w:tab/>
      </w:r>
      <w:r w:rsidR="00AB5A82" w:rsidRPr="00C10B9C">
        <w:rPr>
          <w:rFonts w:asciiTheme="minorHAnsi" w:hAnsiTheme="minorHAnsi" w:cstheme="minorHAnsi"/>
          <w:sz w:val="24"/>
          <w:szCs w:val="24"/>
        </w:rPr>
        <w:t xml:space="preserve">The </w:t>
      </w:r>
      <w:r w:rsidRPr="00C10B9C">
        <w:rPr>
          <w:rFonts w:asciiTheme="minorHAnsi" w:hAnsiTheme="minorHAnsi" w:cstheme="minorHAnsi"/>
          <w:sz w:val="24"/>
          <w:szCs w:val="24"/>
        </w:rPr>
        <w:t>s</w:t>
      </w:r>
      <w:r w:rsidR="00AB5A82" w:rsidRPr="00C10B9C">
        <w:rPr>
          <w:rFonts w:asciiTheme="minorHAnsi" w:hAnsiTheme="minorHAnsi" w:cstheme="minorHAnsi"/>
          <w:sz w:val="24"/>
          <w:szCs w:val="24"/>
        </w:rPr>
        <w:t xml:space="preserve">ecretariat presented </w:t>
      </w:r>
      <w:r w:rsidRPr="00C10B9C">
        <w:rPr>
          <w:rFonts w:asciiTheme="minorHAnsi" w:hAnsiTheme="minorHAnsi" w:cstheme="minorHAnsi"/>
          <w:sz w:val="24"/>
          <w:szCs w:val="24"/>
        </w:rPr>
        <w:t>D</w:t>
      </w:r>
      <w:r w:rsidR="00AB5A82" w:rsidRPr="00C10B9C">
        <w:rPr>
          <w:rFonts w:asciiTheme="minorHAnsi" w:hAnsiTheme="minorHAnsi" w:cstheme="minorHAnsi"/>
          <w:sz w:val="24"/>
          <w:szCs w:val="24"/>
        </w:rPr>
        <w:t>ocument CWG-FHR 20/4.</w:t>
      </w:r>
    </w:p>
    <w:p w14:paraId="02E6D32E" w14:textId="5B3B7634" w:rsidR="00AB5A82" w:rsidRPr="00C10B9C" w:rsidRDefault="005F6915" w:rsidP="00C10B9C">
      <w:pPr>
        <w:pStyle w:val="Tabletext"/>
        <w:tabs>
          <w:tab w:val="clear" w:pos="284"/>
          <w:tab w:val="clear" w:pos="567"/>
        </w:tabs>
        <w:spacing w:before="120" w:after="120"/>
        <w:rPr>
          <w:rFonts w:asciiTheme="minorHAnsi" w:hAnsiTheme="minorHAnsi" w:cstheme="minorHAnsi"/>
          <w:sz w:val="24"/>
          <w:szCs w:val="24"/>
        </w:rPr>
      </w:pPr>
      <w:r w:rsidRPr="00C10B9C">
        <w:rPr>
          <w:rFonts w:asciiTheme="minorHAnsi" w:hAnsiTheme="minorHAnsi" w:cstheme="minorHAnsi"/>
          <w:sz w:val="24"/>
          <w:szCs w:val="24"/>
        </w:rPr>
        <w:t>5.2</w:t>
      </w:r>
      <w:r w:rsidRPr="00C10B9C">
        <w:rPr>
          <w:rFonts w:asciiTheme="minorHAnsi" w:hAnsiTheme="minorHAnsi" w:cstheme="minorHAnsi"/>
          <w:sz w:val="24"/>
          <w:szCs w:val="24"/>
        </w:rPr>
        <w:tab/>
      </w:r>
      <w:r w:rsidR="00AB5A82" w:rsidRPr="00C10B9C">
        <w:rPr>
          <w:rFonts w:asciiTheme="minorHAnsi" w:hAnsiTheme="minorHAnsi" w:cstheme="minorHAnsi"/>
          <w:sz w:val="24"/>
          <w:szCs w:val="24"/>
        </w:rPr>
        <w:t>After intense discussions</w:t>
      </w:r>
      <w:r w:rsidRPr="00C10B9C">
        <w:rPr>
          <w:rFonts w:asciiTheme="minorHAnsi" w:hAnsiTheme="minorHAnsi" w:cstheme="minorHAnsi"/>
          <w:sz w:val="24"/>
          <w:szCs w:val="24"/>
        </w:rPr>
        <w:t xml:space="preserve"> on the subject, </w:t>
      </w:r>
      <w:r w:rsidR="00AB5A82" w:rsidRPr="00C10B9C">
        <w:rPr>
          <w:rFonts w:asciiTheme="minorHAnsi" w:hAnsiTheme="minorHAnsi" w:cstheme="minorHAnsi"/>
          <w:sz w:val="24"/>
          <w:szCs w:val="24"/>
        </w:rPr>
        <w:t>the Chair decided to set up an informal group to find a consensus on this topic.</w:t>
      </w:r>
    </w:p>
    <w:p w14:paraId="653AD38E" w14:textId="48E5363A" w:rsidR="00D868FB" w:rsidRPr="00C10B9C" w:rsidRDefault="005F6915" w:rsidP="00C10B9C">
      <w:pPr>
        <w:pStyle w:val="Tabletext"/>
        <w:tabs>
          <w:tab w:val="clear" w:pos="284"/>
          <w:tab w:val="clear" w:pos="567"/>
        </w:tabs>
        <w:spacing w:before="120" w:after="120"/>
        <w:rPr>
          <w:rFonts w:asciiTheme="minorHAnsi" w:hAnsiTheme="minorHAnsi" w:cstheme="minorHAnsi"/>
          <w:sz w:val="24"/>
          <w:szCs w:val="24"/>
        </w:rPr>
      </w:pPr>
      <w:r w:rsidRPr="00C10B9C">
        <w:rPr>
          <w:rFonts w:asciiTheme="minorHAnsi" w:hAnsiTheme="minorHAnsi" w:cstheme="minorHAnsi"/>
          <w:sz w:val="24"/>
          <w:szCs w:val="24"/>
        </w:rPr>
        <w:t>5.3</w:t>
      </w:r>
      <w:r w:rsidRPr="00C10B9C">
        <w:rPr>
          <w:rFonts w:asciiTheme="minorHAnsi" w:hAnsiTheme="minorHAnsi" w:cstheme="minorHAnsi"/>
          <w:sz w:val="24"/>
          <w:szCs w:val="24"/>
        </w:rPr>
        <w:tab/>
      </w:r>
      <w:r w:rsidR="00D868FB" w:rsidRPr="00C10B9C">
        <w:rPr>
          <w:rFonts w:asciiTheme="minorHAnsi" w:hAnsiTheme="minorHAnsi" w:cstheme="minorHAnsi"/>
          <w:sz w:val="24"/>
          <w:szCs w:val="24"/>
        </w:rPr>
        <w:t>CWG-FHR invite</w:t>
      </w:r>
      <w:r w:rsidRPr="00C10B9C">
        <w:rPr>
          <w:rFonts w:asciiTheme="minorHAnsi" w:hAnsiTheme="minorHAnsi" w:cstheme="minorHAnsi"/>
          <w:sz w:val="24"/>
          <w:szCs w:val="24"/>
        </w:rPr>
        <w:t>d</w:t>
      </w:r>
      <w:r w:rsidR="00D868FB" w:rsidRPr="00C10B9C">
        <w:rPr>
          <w:rFonts w:asciiTheme="minorHAnsi" w:hAnsiTheme="minorHAnsi" w:cstheme="minorHAnsi"/>
          <w:sz w:val="24"/>
          <w:szCs w:val="24"/>
        </w:rPr>
        <w:t xml:space="preserve"> the </w:t>
      </w:r>
      <w:r w:rsidRPr="00C10B9C">
        <w:rPr>
          <w:rFonts w:asciiTheme="minorHAnsi" w:hAnsiTheme="minorHAnsi" w:cstheme="minorHAnsi"/>
          <w:sz w:val="24"/>
          <w:szCs w:val="24"/>
        </w:rPr>
        <w:t>s</w:t>
      </w:r>
      <w:r w:rsidR="00D868FB" w:rsidRPr="00C10B9C">
        <w:rPr>
          <w:rFonts w:asciiTheme="minorHAnsi" w:hAnsiTheme="minorHAnsi" w:cstheme="minorHAnsi"/>
          <w:sz w:val="24"/>
          <w:szCs w:val="24"/>
        </w:rPr>
        <w:t xml:space="preserve">ecretariat to present to the 21st </w:t>
      </w:r>
      <w:r w:rsidR="00F81F1D" w:rsidRPr="00C10B9C">
        <w:rPr>
          <w:rFonts w:asciiTheme="minorHAnsi" w:hAnsiTheme="minorHAnsi" w:cstheme="minorHAnsi"/>
          <w:sz w:val="24"/>
          <w:szCs w:val="24"/>
        </w:rPr>
        <w:t>m</w:t>
      </w:r>
      <w:r w:rsidR="00D868FB" w:rsidRPr="00C10B9C">
        <w:rPr>
          <w:rFonts w:asciiTheme="minorHAnsi" w:hAnsiTheme="minorHAnsi" w:cstheme="minorHAnsi"/>
          <w:sz w:val="24"/>
          <w:szCs w:val="24"/>
        </w:rPr>
        <w:t xml:space="preserve">eeting of the CWG-FHR the approach(s) for estimating the possible financial implications of proposals prior to the </w:t>
      </w:r>
      <w:r w:rsidRPr="00C10B9C">
        <w:rPr>
          <w:rFonts w:asciiTheme="minorHAnsi" w:hAnsiTheme="minorHAnsi" w:cstheme="minorHAnsi"/>
          <w:sz w:val="24"/>
          <w:szCs w:val="24"/>
        </w:rPr>
        <w:t>c</w:t>
      </w:r>
      <w:r w:rsidR="00D868FB" w:rsidRPr="00C10B9C">
        <w:rPr>
          <w:rFonts w:asciiTheme="minorHAnsi" w:hAnsiTheme="minorHAnsi" w:cstheme="minorHAnsi"/>
          <w:sz w:val="24"/>
          <w:szCs w:val="24"/>
        </w:rPr>
        <w:t xml:space="preserve">onferences and </w:t>
      </w:r>
      <w:r w:rsidRPr="00C10B9C">
        <w:rPr>
          <w:rFonts w:asciiTheme="minorHAnsi" w:hAnsiTheme="minorHAnsi" w:cstheme="minorHAnsi"/>
          <w:sz w:val="24"/>
          <w:szCs w:val="24"/>
        </w:rPr>
        <w:t>a</w:t>
      </w:r>
      <w:r w:rsidR="00D868FB" w:rsidRPr="00C10B9C">
        <w:rPr>
          <w:rFonts w:asciiTheme="minorHAnsi" w:hAnsiTheme="minorHAnsi" w:cstheme="minorHAnsi"/>
          <w:sz w:val="24"/>
          <w:szCs w:val="24"/>
        </w:rPr>
        <w:t>ssemblies.</w:t>
      </w:r>
    </w:p>
    <w:p w14:paraId="1CD2D324" w14:textId="329B8738" w:rsidR="00D868FB" w:rsidRPr="00C10B9C" w:rsidRDefault="005F6915" w:rsidP="00C10B9C">
      <w:pPr>
        <w:pStyle w:val="Tabletext"/>
        <w:tabs>
          <w:tab w:val="clear" w:pos="284"/>
          <w:tab w:val="clear" w:pos="567"/>
        </w:tabs>
        <w:spacing w:before="120" w:after="120"/>
        <w:rPr>
          <w:rFonts w:asciiTheme="minorHAnsi" w:hAnsiTheme="minorHAnsi" w:cstheme="minorHAnsi"/>
          <w:sz w:val="24"/>
          <w:szCs w:val="24"/>
        </w:rPr>
      </w:pPr>
      <w:r w:rsidRPr="00C10B9C">
        <w:rPr>
          <w:rFonts w:asciiTheme="minorHAnsi" w:hAnsiTheme="minorHAnsi" w:cstheme="minorHAnsi"/>
          <w:sz w:val="24"/>
          <w:szCs w:val="24"/>
        </w:rPr>
        <w:t>5.4</w:t>
      </w:r>
      <w:r w:rsidRPr="00C10B9C">
        <w:rPr>
          <w:rFonts w:asciiTheme="minorHAnsi" w:hAnsiTheme="minorHAnsi" w:cstheme="minorHAnsi"/>
          <w:sz w:val="24"/>
          <w:szCs w:val="24"/>
        </w:rPr>
        <w:tab/>
      </w:r>
      <w:r w:rsidR="00D868FB" w:rsidRPr="00C10B9C">
        <w:rPr>
          <w:rFonts w:asciiTheme="minorHAnsi" w:hAnsiTheme="minorHAnsi" w:cstheme="minorHAnsi"/>
          <w:sz w:val="24"/>
          <w:szCs w:val="24"/>
        </w:rPr>
        <w:t>Member States, R</w:t>
      </w:r>
      <w:r w:rsidR="00F81F1D" w:rsidRPr="00C10B9C">
        <w:rPr>
          <w:rFonts w:asciiTheme="minorHAnsi" w:hAnsiTheme="minorHAnsi" w:cstheme="minorHAnsi"/>
          <w:sz w:val="24"/>
          <w:szCs w:val="24"/>
        </w:rPr>
        <w:t>egional Telecommunication Organization</w:t>
      </w:r>
      <w:r w:rsidR="00D868FB" w:rsidRPr="00C10B9C">
        <w:rPr>
          <w:rFonts w:asciiTheme="minorHAnsi" w:hAnsiTheme="minorHAnsi" w:cstheme="minorHAnsi"/>
          <w:sz w:val="24"/>
          <w:szCs w:val="24"/>
        </w:rPr>
        <w:t>s</w:t>
      </w:r>
      <w:r w:rsidR="00F81F1D" w:rsidRPr="00C10B9C">
        <w:rPr>
          <w:rFonts w:asciiTheme="minorHAnsi" w:hAnsiTheme="minorHAnsi" w:cstheme="minorHAnsi"/>
          <w:sz w:val="24"/>
          <w:szCs w:val="24"/>
        </w:rPr>
        <w:t xml:space="preserve"> (RTOs)</w:t>
      </w:r>
      <w:r w:rsidR="00D868FB" w:rsidRPr="00C10B9C">
        <w:rPr>
          <w:rFonts w:asciiTheme="minorHAnsi" w:hAnsiTheme="minorHAnsi" w:cstheme="minorHAnsi"/>
          <w:sz w:val="24"/>
          <w:szCs w:val="24"/>
        </w:rPr>
        <w:t xml:space="preserve"> and Sector Members could voluntarily seek support from the </w:t>
      </w:r>
      <w:r w:rsidRPr="00C10B9C">
        <w:rPr>
          <w:rFonts w:asciiTheme="minorHAnsi" w:hAnsiTheme="minorHAnsi" w:cstheme="minorHAnsi"/>
          <w:sz w:val="24"/>
          <w:szCs w:val="24"/>
        </w:rPr>
        <w:t>s</w:t>
      </w:r>
      <w:r w:rsidR="00D868FB" w:rsidRPr="00C10B9C">
        <w:rPr>
          <w:rFonts w:asciiTheme="minorHAnsi" w:hAnsiTheme="minorHAnsi" w:cstheme="minorHAnsi"/>
          <w:sz w:val="24"/>
          <w:szCs w:val="24"/>
        </w:rPr>
        <w:t>ecretariat to obtain</w:t>
      </w:r>
      <w:r w:rsidRPr="00C10B9C">
        <w:rPr>
          <w:rFonts w:asciiTheme="minorHAnsi" w:hAnsiTheme="minorHAnsi" w:cstheme="minorHAnsi"/>
          <w:sz w:val="24"/>
          <w:szCs w:val="24"/>
        </w:rPr>
        <w:t xml:space="preserve"> </w:t>
      </w:r>
      <w:r w:rsidR="00D868FB" w:rsidRPr="00C10B9C">
        <w:rPr>
          <w:rFonts w:asciiTheme="minorHAnsi" w:hAnsiTheme="minorHAnsi" w:cstheme="minorHAnsi"/>
          <w:sz w:val="24"/>
          <w:szCs w:val="24"/>
        </w:rPr>
        <w:t xml:space="preserve">information related to the possible financial implications on their proposals – whether individual, joint or common - as early as possible prior to the </w:t>
      </w:r>
      <w:r w:rsidRPr="00C10B9C">
        <w:rPr>
          <w:rFonts w:asciiTheme="minorHAnsi" w:hAnsiTheme="minorHAnsi" w:cstheme="minorHAnsi"/>
          <w:sz w:val="24"/>
          <w:szCs w:val="24"/>
        </w:rPr>
        <w:t>c</w:t>
      </w:r>
      <w:r w:rsidR="00D868FB" w:rsidRPr="00C10B9C">
        <w:rPr>
          <w:rFonts w:asciiTheme="minorHAnsi" w:hAnsiTheme="minorHAnsi" w:cstheme="minorHAnsi"/>
          <w:sz w:val="24"/>
          <w:szCs w:val="24"/>
        </w:rPr>
        <w:t xml:space="preserve">onferences and </w:t>
      </w:r>
      <w:r w:rsidRPr="00C10B9C">
        <w:rPr>
          <w:rFonts w:asciiTheme="minorHAnsi" w:hAnsiTheme="minorHAnsi" w:cstheme="minorHAnsi"/>
          <w:sz w:val="24"/>
          <w:szCs w:val="24"/>
        </w:rPr>
        <w:t>a</w:t>
      </w:r>
      <w:r w:rsidR="00D868FB" w:rsidRPr="00C10B9C">
        <w:rPr>
          <w:rFonts w:asciiTheme="minorHAnsi" w:hAnsiTheme="minorHAnsi" w:cstheme="minorHAnsi"/>
          <w:sz w:val="24"/>
          <w:szCs w:val="24"/>
        </w:rPr>
        <w:t>ssemblies.</w:t>
      </w:r>
    </w:p>
    <w:p w14:paraId="58F489D2" w14:textId="5C4ED22C" w:rsidR="00D868FB" w:rsidRPr="00C10B9C" w:rsidRDefault="005F6915" w:rsidP="00C10B9C">
      <w:pPr>
        <w:pStyle w:val="Tabletext"/>
        <w:tabs>
          <w:tab w:val="clear" w:pos="284"/>
          <w:tab w:val="clear" w:pos="567"/>
        </w:tabs>
        <w:spacing w:before="120" w:after="120"/>
        <w:rPr>
          <w:rFonts w:asciiTheme="minorHAnsi" w:hAnsiTheme="minorHAnsi" w:cstheme="minorHAnsi"/>
          <w:sz w:val="24"/>
          <w:szCs w:val="24"/>
        </w:rPr>
      </w:pPr>
      <w:r w:rsidRPr="00C10B9C">
        <w:rPr>
          <w:rFonts w:asciiTheme="minorHAnsi" w:hAnsiTheme="minorHAnsi" w:cstheme="minorHAnsi"/>
          <w:sz w:val="24"/>
          <w:szCs w:val="24"/>
        </w:rPr>
        <w:t>5.5</w:t>
      </w:r>
      <w:r w:rsidRPr="00C10B9C">
        <w:rPr>
          <w:rFonts w:asciiTheme="minorHAnsi" w:hAnsiTheme="minorHAnsi" w:cstheme="minorHAnsi"/>
          <w:sz w:val="24"/>
          <w:szCs w:val="24"/>
        </w:rPr>
        <w:tab/>
      </w:r>
      <w:r w:rsidR="00D868FB" w:rsidRPr="00C10B9C">
        <w:rPr>
          <w:rFonts w:asciiTheme="minorHAnsi" w:hAnsiTheme="minorHAnsi" w:cstheme="minorHAnsi"/>
          <w:sz w:val="24"/>
          <w:szCs w:val="24"/>
        </w:rPr>
        <w:t xml:space="preserve">The </w:t>
      </w:r>
      <w:r w:rsidRPr="00C10B9C">
        <w:rPr>
          <w:rFonts w:asciiTheme="minorHAnsi" w:hAnsiTheme="minorHAnsi" w:cstheme="minorHAnsi"/>
          <w:sz w:val="24"/>
          <w:szCs w:val="24"/>
        </w:rPr>
        <w:t>s</w:t>
      </w:r>
      <w:r w:rsidR="00D868FB" w:rsidRPr="00C10B9C">
        <w:rPr>
          <w:rFonts w:asciiTheme="minorHAnsi" w:hAnsiTheme="minorHAnsi" w:cstheme="minorHAnsi"/>
          <w:sz w:val="24"/>
          <w:szCs w:val="24"/>
        </w:rPr>
        <w:t xml:space="preserve">ecretariat of the </w:t>
      </w:r>
      <w:r w:rsidRPr="00C10B9C">
        <w:rPr>
          <w:rFonts w:asciiTheme="minorHAnsi" w:hAnsiTheme="minorHAnsi" w:cstheme="minorHAnsi"/>
          <w:sz w:val="24"/>
          <w:szCs w:val="24"/>
        </w:rPr>
        <w:t>c</w:t>
      </w:r>
      <w:r w:rsidR="00D868FB" w:rsidRPr="00C10B9C">
        <w:rPr>
          <w:rFonts w:asciiTheme="minorHAnsi" w:hAnsiTheme="minorHAnsi" w:cstheme="minorHAnsi"/>
          <w:sz w:val="24"/>
          <w:szCs w:val="24"/>
        </w:rPr>
        <w:t>onference</w:t>
      </w:r>
      <w:r w:rsidRPr="00C10B9C">
        <w:rPr>
          <w:rFonts w:asciiTheme="minorHAnsi" w:hAnsiTheme="minorHAnsi" w:cstheme="minorHAnsi"/>
          <w:sz w:val="24"/>
          <w:szCs w:val="24"/>
        </w:rPr>
        <w:t>s</w:t>
      </w:r>
      <w:r w:rsidR="00D868FB" w:rsidRPr="00C10B9C">
        <w:rPr>
          <w:rFonts w:asciiTheme="minorHAnsi" w:hAnsiTheme="minorHAnsi" w:cstheme="minorHAnsi"/>
          <w:sz w:val="24"/>
          <w:szCs w:val="24"/>
        </w:rPr>
        <w:t xml:space="preserve"> and </w:t>
      </w:r>
      <w:r w:rsidRPr="00C10B9C">
        <w:rPr>
          <w:rFonts w:asciiTheme="minorHAnsi" w:hAnsiTheme="minorHAnsi" w:cstheme="minorHAnsi"/>
          <w:sz w:val="24"/>
          <w:szCs w:val="24"/>
        </w:rPr>
        <w:t>a</w:t>
      </w:r>
      <w:r w:rsidR="00D868FB" w:rsidRPr="00C10B9C">
        <w:rPr>
          <w:rFonts w:asciiTheme="minorHAnsi" w:hAnsiTheme="minorHAnsi" w:cstheme="minorHAnsi"/>
          <w:sz w:val="24"/>
          <w:szCs w:val="24"/>
        </w:rPr>
        <w:t>ssemblies is invited to provide transparent information on the possible financial implications of proposals submitted as early as possible to support discussion.</w:t>
      </w:r>
    </w:p>
    <w:bookmarkEnd w:id="10"/>
    <w:p w14:paraId="6F5CB1A2" w14:textId="705DC374" w:rsidR="00285A8E" w:rsidRPr="00C10B9C" w:rsidRDefault="00285A8E" w:rsidP="000D2039">
      <w:pPr>
        <w:pStyle w:val="Tabletext"/>
        <w:tabs>
          <w:tab w:val="clear" w:pos="284"/>
          <w:tab w:val="clear" w:pos="567"/>
        </w:tabs>
        <w:spacing w:before="480" w:after="120"/>
        <w:ind w:left="851" w:hanging="851"/>
        <w:rPr>
          <w:rStyle w:val="Hyperlink"/>
          <w:rFonts w:asciiTheme="minorHAnsi" w:hAnsiTheme="minorHAnsi" w:cstheme="minorHAnsi"/>
          <w:b/>
          <w:color w:val="auto"/>
          <w:sz w:val="24"/>
          <w:szCs w:val="24"/>
        </w:rPr>
      </w:pPr>
      <w:r w:rsidRPr="00C10B9C">
        <w:rPr>
          <w:rFonts w:asciiTheme="minorHAnsi" w:hAnsiTheme="minorHAnsi" w:cstheme="minorHAnsi"/>
          <w:b/>
          <w:bCs/>
          <w:sz w:val="24"/>
          <w:szCs w:val="24"/>
        </w:rPr>
        <w:t>6</w:t>
      </w:r>
      <w:r w:rsidRPr="00C10B9C">
        <w:rPr>
          <w:rFonts w:asciiTheme="minorHAnsi" w:hAnsiTheme="minorHAnsi" w:cstheme="minorHAnsi"/>
          <w:b/>
          <w:bCs/>
          <w:sz w:val="24"/>
          <w:szCs w:val="24"/>
        </w:rPr>
        <w:tab/>
      </w:r>
      <w:r w:rsidRPr="00C10B9C">
        <w:rPr>
          <w:rFonts w:asciiTheme="minorHAnsi" w:hAnsiTheme="minorHAnsi" w:cstheme="minorHAnsi"/>
          <w:b/>
          <w:sz w:val="24"/>
          <w:szCs w:val="24"/>
        </w:rPr>
        <w:t>Report from the CWG-FHR correspondence group on the Draft guidelines on the management of fully virtual and physical meetings with remote participation at ITU</w:t>
      </w:r>
      <w:r w:rsidR="00E93626" w:rsidRPr="00C10B9C">
        <w:rPr>
          <w:rFonts w:asciiTheme="minorHAnsi" w:hAnsiTheme="minorHAnsi" w:cstheme="minorHAnsi"/>
          <w:b/>
          <w:sz w:val="24"/>
          <w:szCs w:val="24"/>
        </w:rPr>
        <w:t xml:space="preserve"> - </w:t>
      </w:r>
      <w:r w:rsidRPr="00C10B9C">
        <w:rPr>
          <w:rFonts w:asciiTheme="minorHAnsi" w:hAnsiTheme="minorHAnsi" w:cstheme="minorHAnsi"/>
          <w:b/>
          <w:sz w:val="24"/>
          <w:szCs w:val="24"/>
        </w:rPr>
        <w:t>Document </w:t>
      </w:r>
      <w:hyperlink r:id="rId14" w:history="1">
        <w:r w:rsidRPr="00C10B9C">
          <w:rPr>
            <w:rStyle w:val="Hyperlink"/>
            <w:rFonts w:asciiTheme="minorHAnsi" w:hAnsiTheme="minorHAnsi" w:cstheme="minorHAnsi"/>
            <w:b/>
            <w:sz w:val="24"/>
            <w:szCs w:val="24"/>
          </w:rPr>
          <w:t>CWG-FHR-20/3</w:t>
        </w:r>
      </w:hyperlink>
      <w:r w:rsidRPr="00C10B9C">
        <w:rPr>
          <w:rStyle w:val="Hyperlink"/>
          <w:rFonts w:asciiTheme="minorHAnsi" w:hAnsiTheme="minorHAnsi" w:cstheme="minorHAnsi"/>
          <w:b/>
          <w:sz w:val="24"/>
          <w:szCs w:val="24"/>
        </w:rPr>
        <w:t xml:space="preserve"> (Rev.</w:t>
      </w:r>
      <w:r w:rsidR="002574BE" w:rsidRPr="00C10B9C">
        <w:rPr>
          <w:rStyle w:val="Hyperlink"/>
          <w:rFonts w:asciiTheme="minorHAnsi" w:hAnsiTheme="minorHAnsi" w:cstheme="minorHAnsi"/>
          <w:b/>
          <w:sz w:val="24"/>
          <w:szCs w:val="24"/>
        </w:rPr>
        <w:t>2</w:t>
      </w:r>
      <w:r w:rsidRPr="00C10B9C">
        <w:rPr>
          <w:rStyle w:val="Hyperlink"/>
          <w:rFonts w:asciiTheme="minorHAnsi" w:hAnsiTheme="minorHAnsi" w:cstheme="minorHAnsi"/>
          <w:b/>
          <w:sz w:val="24"/>
          <w:szCs w:val="24"/>
        </w:rPr>
        <w:t>)</w:t>
      </w:r>
    </w:p>
    <w:p w14:paraId="6542E67F" w14:textId="0F69E4B5" w:rsidR="00667710" w:rsidRPr="00C10B9C" w:rsidRDefault="00667710" w:rsidP="00C10B9C">
      <w:pPr>
        <w:tabs>
          <w:tab w:val="left" w:pos="851"/>
        </w:tabs>
        <w:spacing w:after="120"/>
        <w:rPr>
          <w:rFonts w:asciiTheme="minorHAnsi" w:eastAsia="SimSun" w:hAnsiTheme="minorHAnsi" w:cstheme="minorHAnsi"/>
          <w:color w:val="000000"/>
          <w:szCs w:val="24"/>
          <w:lang w:val="en-US"/>
        </w:rPr>
      </w:pPr>
      <w:r w:rsidRPr="00C10B9C">
        <w:rPr>
          <w:rFonts w:asciiTheme="minorHAnsi" w:eastAsia="SimSun" w:hAnsiTheme="minorHAnsi" w:cstheme="minorHAnsi"/>
          <w:color w:val="000000"/>
          <w:szCs w:val="24"/>
        </w:rPr>
        <w:t>6</w:t>
      </w:r>
      <w:r w:rsidR="00E93626" w:rsidRPr="00C10B9C">
        <w:rPr>
          <w:rFonts w:asciiTheme="minorHAnsi" w:eastAsia="SimSun" w:hAnsiTheme="minorHAnsi" w:cstheme="minorHAnsi"/>
          <w:color w:val="000000"/>
          <w:szCs w:val="24"/>
        </w:rPr>
        <w:t>.1</w:t>
      </w:r>
      <w:r w:rsidR="00354EAD" w:rsidRPr="00C10B9C">
        <w:rPr>
          <w:rFonts w:asciiTheme="minorHAnsi" w:eastAsia="SimSun" w:hAnsiTheme="minorHAnsi" w:cstheme="minorHAnsi"/>
          <w:color w:val="000000"/>
          <w:szCs w:val="24"/>
        </w:rPr>
        <w:tab/>
      </w:r>
      <w:r w:rsidR="00354EAD" w:rsidRPr="00C10B9C">
        <w:rPr>
          <w:rFonts w:asciiTheme="minorHAnsi" w:eastAsia="SimSun" w:hAnsiTheme="minorHAnsi" w:cstheme="minorHAnsi"/>
          <w:color w:val="000000"/>
          <w:szCs w:val="24"/>
        </w:rPr>
        <w:tab/>
      </w:r>
      <w:r w:rsidRPr="00C10B9C">
        <w:rPr>
          <w:rFonts w:asciiTheme="minorHAnsi" w:eastAsia="SimSun" w:hAnsiTheme="minorHAnsi" w:cstheme="minorHAnsi"/>
          <w:color w:val="000000"/>
          <w:szCs w:val="24"/>
        </w:rPr>
        <w:t xml:space="preserve">The document was presented by the </w:t>
      </w:r>
      <w:r w:rsidRPr="00E85E62">
        <w:rPr>
          <w:rFonts w:asciiTheme="minorHAnsi" w:eastAsia="SimSun" w:hAnsiTheme="minorHAnsi" w:cstheme="minorHAnsi"/>
          <w:color w:val="000000"/>
          <w:szCs w:val="24"/>
        </w:rPr>
        <w:t>Chair of the Co</w:t>
      </w:r>
      <w:r w:rsidR="008A20A3" w:rsidRPr="00E85E62">
        <w:rPr>
          <w:rFonts w:asciiTheme="minorHAnsi" w:eastAsia="SimSun" w:hAnsiTheme="minorHAnsi" w:cstheme="minorHAnsi"/>
          <w:color w:val="000000"/>
          <w:szCs w:val="24"/>
        </w:rPr>
        <w:t xml:space="preserve">rrespondence </w:t>
      </w:r>
      <w:r w:rsidRPr="00E85E62">
        <w:rPr>
          <w:rFonts w:asciiTheme="minorHAnsi" w:eastAsia="SimSun" w:hAnsiTheme="minorHAnsi" w:cstheme="minorHAnsi"/>
          <w:color w:val="000000"/>
          <w:szCs w:val="24"/>
        </w:rPr>
        <w:t>Group set up</w:t>
      </w:r>
      <w:r w:rsidRPr="00C10B9C">
        <w:rPr>
          <w:rFonts w:asciiTheme="minorHAnsi" w:eastAsia="SimSun" w:hAnsiTheme="minorHAnsi" w:cstheme="minorHAnsi"/>
          <w:color w:val="000000"/>
          <w:szCs w:val="24"/>
        </w:rPr>
        <w:t xml:space="preserve"> at the 19th</w:t>
      </w:r>
      <w:r w:rsidR="00F81F1D" w:rsidRPr="00C10B9C">
        <w:rPr>
          <w:rFonts w:asciiTheme="minorHAnsi" w:eastAsia="SimSun" w:hAnsiTheme="minorHAnsi" w:cstheme="minorHAnsi"/>
          <w:color w:val="000000"/>
          <w:szCs w:val="24"/>
        </w:rPr>
        <w:t xml:space="preserve"> </w:t>
      </w:r>
      <w:r w:rsidRPr="00C10B9C">
        <w:rPr>
          <w:rFonts w:asciiTheme="minorHAnsi" w:eastAsia="SimSun" w:hAnsiTheme="minorHAnsi" w:cstheme="minorHAnsi"/>
          <w:color w:val="000000"/>
          <w:szCs w:val="24"/>
        </w:rPr>
        <w:t>meeting of CWG</w:t>
      </w:r>
      <w:r w:rsidR="00F81F1D" w:rsidRPr="00C10B9C">
        <w:rPr>
          <w:rFonts w:asciiTheme="minorHAnsi" w:eastAsia="SimSun" w:hAnsiTheme="minorHAnsi" w:cstheme="minorHAnsi"/>
          <w:color w:val="000000"/>
          <w:szCs w:val="24"/>
        </w:rPr>
        <w:t>-</w:t>
      </w:r>
      <w:r w:rsidRPr="00C10B9C">
        <w:rPr>
          <w:rFonts w:asciiTheme="minorHAnsi" w:eastAsia="SimSun" w:hAnsiTheme="minorHAnsi" w:cstheme="minorHAnsi"/>
          <w:color w:val="000000"/>
          <w:szCs w:val="24"/>
        </w:rPr>
        <w:t xml:space="preserve">FHR in October 2024 to review the draft guidelines on the management of virtual meetings and </w:t>
      </w:r>
      <w:r w:rsidRPr="00C10B9C">
        <w:rPr>
          <w:rFonts w:asciiTheme="minorHAnsi" w:eastAsia="SimSun" w:hAnsiTheme="minorHAnsi" w:cstheme="minorHAnsi"/>
          <w:color w:val="000000"/>
          <w:szCs w:val="24"/>
          <w:lang w:val="en-US"/>
        </w:rPr>
        <w:t>physical meetings with remote participation in line with Annex 1 to Resolution 167 (Rev. Bucharest, 2022) on strengthening and developing ITU capabilities for fully virtual meetings and physical meetings with remote participation, and the electronic means to advance the work of the Union.</w:t>
      </w:r>
    </w:p>
    <w:p w14:paraId="529191C5" w14:textId="32FBC861" w:rsidR="00667710" w:rsidRPr="00C10B9C" w:rsidRDefault="00E93626" w:rsidP="00C10B9C">
      <w:pPr>
        <w:tabs>
          <w:tab w:val="left" w:pos="851"/>
          <w:tab w:val="left" w:pos="7371"/>
        </w:tabs>
        <w:spacing w:after="120"/>
        <w:rPr>
          <w:rFonts w:asciiTheme="minorHAnsi" w:eastAsia="SimSun" w:hAnsiTheme="minorHAnsi" w:cstheme="minorHAnsi"/>
          <w:color w:val="000000"/>
          <w:szCs w:val="24"/>
        </w:rPr>
      </w:pPr>
      <w:r w:rsidRPr="00C10B9C">
        <w:rPr>
          <w:rFonts w:asciiTheme="minorHAnsi" w:eastAsia="SimSun" w:hAnsiTheme="minorHAnsi" w:cstheme="minorHAnsi"/>
          <w:color w:val="000000"/>
          <w:szCs w:val="24"/>
        </w:rPr>
        <w:t>6.2</w:t>
      </w:r>
      <w:r w:rsidR="00354EAD" w:rsidRPr="00C10B9C">
        <w:rPr>
          <w:rFonts w:asciiTheme="minorHAnsi" w:eastAsia="SimSun" w:hAnsiTheme="minorHAnsi" w:cstheme="minorHAnsi"/>
          <w:color w:val="000000"/>
          <w:szCs w:val="24"/>
        </w:rPr>
        <w:tab/>
      </w:r>
      <w:r w:rsidR="00354EAD" w:rsidRPr="00C10B9C">
        <w:rPr>
          <w:rFonts w:asciiTheme="minorHAnsi" w:eastAsia="SimSun" w:hAnsiTheme="minorHAnsi" w:cstheme="minorHAnsi"/>
          <w:color w:val="000000"/>
          <w:szCs w:val="24"/>
        </w:rPr>
        <w:tab/>
      </w:r>
      <w:r w:rsidR="00667710" w:rsidRPr="00C10B9C">
        <w:rPr>
          <w:rFonts w:asciiTheme="minorHAnsi" w:eastAsia="SimSun" w:hAnsiTheme="minorHAnsi" w:cstheme="minorHAnsi"/>
          <w:color w:val="000000"/>
          <w:szCs w:val="24"/>
        </w:rPr>
        <w:t>The Chair presented an overview of the modifications to the draft document agreed upon and introduced by the Correspondence Group. Further modifications proposed by Bulgaria were presented in revision marks, as they were submitted after the closure of the Correspondence Group meetings in which Bulgaria could not participate due to technical difficulties in accessing the meeting platform.</w:t>
      </w:r>
    </w:p>
    <w:p w14:paraId="3592012B" w14:textId="2E9D67D9" w:rsidR="00667710" w:rsidRPr="00C10B9C" w:rsidRDefault="00E93626" w:rsidP="00C10B9C">
      <w:pPr>
        <w:tabs>
          <w:tab w:val="left" w:pos="851"/>
        </w:tabs>
        <w:spacing w:after="120"/>
        <w:rPr>
          <w:rFonts w:asciiTheme="minorHAnsi" w:hAnsiTheme="minorHAnsi" w:cstheme="minorHAnsi"/>
          <w:szCs w:val="24"/>
        </w:rPr>
      </w:pPr>
      <w:r w:rsidRPr="00C10B9C">
        <w:rPr>
          <w:rFonts w:asciiTheme="minorHAnsi" w:hAnsiTheme="minorHAnsi" w:cstheme="minorHAnsi"/>
          <w:szCs w:val="24"/>
        </w:rPr>
        <w:t>6.3</w:t>
      </w:r>
      <w:r w:rsidR="00354EAD" w:rsidRPr="00C10B9C">
        <w:rPr>
          <w:rFonts w:asciiTheme="minorHAnsi" w:hAnsiTheme="minorHAnsi" w:cstheme="minorHAnsi"/>
          <w:szCs w:val="24"/>
        </w:rPr>
        <w:tab/>
      </w:r>
      <w:r w:rsidR="00354EAD" w:rsidRPr="00C10B9C">
        <w:rPr>
          <w:rFonts w:asciiTheme="minorHAnsi" w:hAnsiTheme="minorHAnsi" w:cstheme="minorHAnsi"/>
          <w:szCs w:val="24"/>
        </w:rPr>
        <w:tab/>
      </w:r>
      <w:r w:rsidR="00667710" w:rsidRPr="00C10B9C">
        <w:rPr>
          <w:rFonts w:asciiTheme="minorHAnsi" w:hAnsiTheme="minorHAnsi" w:cstheme="minorHAnsi"/>
          <w:szCs w:val="24"/>
        </w:rPr>
        <w:t xml:space="preserve">Delegates discussed amending the language proposed by Bulgaria on ensuring equal access to meeting platforms for all participants. A delegate proposed new language on avoiding scheduling virtual meetings on Fridays when possible. </w:t>
      </w:r>
    </w:p>
    <w:p w14:paraId="3D4396DA" w14:textId="3E32D9BE" w:rsidR="00667710" w:rsidRPr="00C10B9C" w:rsidRDefault="00E93626" w:rsidP="00C10B9C">
      <w:pPr>
        <w:tabs>
          <w:tab w:val="left" w:pos="851"/>
        </w:tabs>
        <w:spacing w:after="120"/>
        <w:rPr>
          <w:rFonts w:asciiTheme="minorHAnsi" w:hAnsiTheme="minorHAnsi" w:cstheme="minorHAnsi"/>
          <w:szCs w:val="24"/>
        </w:rPr>
      </w:pPr>
      <w:r w:rsidRPr="00C10B9C">
        <w:rPr>
          <w:rFonts w:asciiTheme="minorHAnsi" w:hAnsiTheme="minorHAnsi" w:cstheme="minorHAnsi"/>
          <w:szCs w:val="24"/>
        </w:rPr>
        <w:t>6.4</w:t>
      </w:r>
      <w:r w:rsidR="00354EAD" w:rsidRPr="00C10B9C">
        <w:rPr>
          <w:rFonts w:asciiTheme="minorHAnsi" w:hAnsiTheme="minorHAnsi" w:cstheme="minorHAnsi"/>
          <w:szCs w:val="24"/>
        </w:rPr>
        <w:tab/>
      </w:r>
      <w:r w:rsidR="00354EAD" w:rsidRPr="00C10B9C">
        <w:rPr>
          <w:rFonts w:asciiTheme="minorHAnsi" w:hAnsiTheme="minorHAnsi" w:cstheme="minorHAnsi"/>
          <w:szCs w:val="24"/>
        </w:rPr>
        <w:tab/>
      </w:r>
      <w:r w:rsidR="00667710" w:rsidRPr="00C10B9C">
        <w:rPr>
          <w:rFonts w:asciiTheme="minorHAnsi" w:hAnsiTheme="minorHAnsi" w:cstheme="minorHAnsi"/>
          <w:szCs w:val="24"/>
        </w:rPr>
        <w:t xml:space="preserve">Delegates additionally queried whether captioning for remote meetings or physical meetings with remote participation was mandatory or optional; whether remote participants were considered active participants if they did not take the floor; how a </w:t>
      </w:r>
      <w:r w:rsidR="00F81F1D" w:rsidRPr="00C10B9C">
        <w:rPr>
          <w:rFonts w:asciiTheme="minorHAnsi" w:hAnsiTheme="minorHAnsi" w:cstheme="minorHAnsi"/>
          <w:szCs w:val="24"/>
        </w:rPr>
        <w:t>c</w:t>
      </w:r>
      <w:r w:rsidR="00667710" w:rsidRPr="00C10B9C">
        <w:rPr>
          <w:rFonts w:asciiTheme="minorHAnsi" w:hAnsiTheme="minorHAnsi" w:cstheme="minorHAnsi"/>
          <w:szCs w:val="24"/>
        </w:rPr>
        <w:t xml:space="preserve">hair should select the correct order of participants between those physically present and those online; and whether the secretariat could prepare a study of the existing rules of procedure for participation in </w:t>
      </w:r>
      <w:r w:rsidR="00667710" w:rsidRPr="00C10B9C">
        <w:rPr>
          <w:rFonts w:asciiTheme="minorHAnsi" w:hAnsiTheme="minorHAnsi" w:cstheme="minorHAnsi"/>
          <w:szCs w:val="24"/>
        </w:rPr>
        <w:lastRenderedPageBreak/>
        <w:t xml:space="preserve">meetings in line with </w:t>
      </w:r>
      <w:r w:rsidR="00667710" w:rsidRPr="00C10B9C">
        <w:rPr>
          <w:rFonts w:asciiTheme="minorHAnsi" w:hAnsiTheme="minorHAnsi" w:cstheme="minorHAnsi"/>
          <w:i/>
          <w:iCs/>
          <w:szCs w:val="24"/>
        </w:rPr>
        <w:t>resolves 4</w:t>
      </w:r>
      <w:r w:rsidR="00667710" w:rsidRPr="00C10B9C">
        <w:rPr>
          <w:rFonts w:asciiTheme="minorHAnsi" w:hAnsiTheme="minorHAnsi" w:cstheme="minorHAnsi"/>
          <w:szCs w:val="24"/>
        </w:rPr>
        <w:t xml:space="preserve"> of Resolution 167. A delegate further suggested that the secretariat propose a limited list of meetings in which remote participants could have the right to participate in decision-making and voting, with a strict procedure for accreditation of remote participants. As this was not provided for in existing ITU permanent acts, the secretariat could explore amending the GR to adapt to the new global trend of expanding the practice of holding remote meetings and reducing logistical costs. </w:t>
      </w:r>
    </w:p>
    <w:p w14:paraId="64FF06EE" w14:textId="05B579BD" w:rsidR="00667710" w:rsidRPr="00C10B9C" w:rsidRDefault="00E93626" w:rsidP="00C10B9C">
      <w:pPr>
        <w:tabs>
          <w:tab w:val="clear" w:pos="567"/>
          <w:tab w:val="clear" w:pos="1134"/>
          <w:tab w:val="clear" w:pos="1701"/>
          <w:tab w:val="clear" w:pos="2268"/>
          <w:tab w:val="clear" w:pos="2835"/>
          <w:tab w:val="left" w:pos="851"/>
        </w:tabs>
        <w:spacing w:after="120"/>
        <w:rPr>
          <w:rFonts w:asciiTheme="minorHAnsi" w:hAnsiTheme="minorHAnsi" w:cstheme="minorHAnsi"/>
          <w:szCs w:val="24"/>
        </w:rPr>
      </w:pPr>
      <w:r w:rsidRPr="00C10B9C">
        <w:rPr>
          <w:rFonts w:asciiTheme="minorHAnsi" w:hAnsiTheme="minorHAnsi" w:cstheme="minorHAnsi"/>
          <w:szCs w:val="24"/>
        </w:rPr>
        <w:t>6.5</w:t>
      </w:r>
      <w:r w:rsidR="00354EAD" w:rsidRPr="00C10B9C">
        <w:rPr>
          <w:rFonts w:asciiTheme="minorHAnsi" w:hAnsiTheme="minorHAnsi" w:cstheme="minorHAnsi"/>
          <w:szCs w:val="24"/>
        </w:rPr>
        <w:tab/>
      </w:r>
      <w:r w:rsidR="00667710" w:rsidRPr="00C10B9C">
        <w:rPr>
          <w:rFonts w:asciiTheme="minorHAnsi" w:hAnsiTheme="minorHAnsi" w:cstheme="minorHAnsi"/>
          <w:szCs w:val="24"/>
        </w:rPr>
        <w:t>Following further offline discussions and amendments to the text on the specific points of ensuring equal access to meeting platforms and avoiding scheduling virtual meetings on Fridays, the proposed modifications were approved by CWG-</w:t>
      </w:r>
      <w:proofErr w:type="gramStart"/>
      <w:r w:rsidR="00667710" w:rsidRPr="00C10B9C">
        <w:rPr>
          <w:rFonts w:asciiTheme="minorHAnsi" w:hAnsiTheme="minorHAnsi" w:cstheme="minorHAnsi"/>
          <w:szCs w:val="24"/>
        </w:rPr>
        <w:t>FHR</w:t>
      </w:r>
      <w:proofErr w:type="gramEnd"/>
      <w:r w:rsidR="00667710" w:rsidRPr="00C10B9C">
        <w:rPr>
          <w:rFonts w:asciiTheme="minorHAnsi" w:hAnsiTheme="minorHAnsi" w:cstheme="minorHAnsi"/>
          <w:szCs w:val="24"/>
        </w:rPr>
        <w:t xml:space="preserve"> and it was agreed that the document would be submitted as such to Council in its June 2025 session for endorsement.</w:t>
      </w:r>
    </w:p>
    <w:p w14:paraId="6A31ADDC" w14:textId="213FEA6B" w:rsidR="00F002FD" w:rsidRPr="00C10B9C" w:rsidRDefault="00285A8E" w:rsidP="000D2039">
      <w:pPr>
        <w:pStyle w:val="Tabletext"/>
        <w:tabs>
          <w:tab w:val="clear" w:pos="284"/>
          <w:tab w:val="clear" w:pos="567"/>
        </w:tabs>
        <w:spacing w:before="480" w:after="120"/>
        <w:ind w:left="851" w:hanging="851"/>
        <w:rPr>
          <w:rFonts w:asciiTheme="minorHAnsi" w:hAnsiTheme="minorHAnsi" w:cstheme="minorHAnsi"/>
          <w:b/>
          <w:bCs/>
          <w:sz w:val="24"/>
          <w:szCs w:val="24"/>
        </w:rPr>
      </w:pPr>
      <w:r w:rsidRPr="00C10B9C">
        <w:rPr>
          <w:rFonts w:asciiTheme="minorHAnsi" w:hAnsiTheme="minorHAnsi" w:cstheme="minorHAnsi"/>
          <w:b/>
          <w:bCs/>
          <w:sz w:val="24"/>
          <w:szCs w:val="24"/>
        </w:rPr>
        <w:t>7</w:t>
      </w:r>
      <w:r w:rsidR="005F4B0A" w:rsidRPr="00C10B9C">
        <w:rPr>
          <w:rFonts w:asciiTheme="minorHAnsi" w:hAnsiTheme="minorHAnsi" w:cstheme="minorHAnsi"/>
          <w:b/>
          <w:bCs/>
          <w:sz w:val="24"/>
          <w:szCs w:val="24"/>
        </w:rPr>
        <w:tab/>
        <w:t xml:space="preserve">Annual budgetary implications of addressing the WTSA-24 decisions </w:t>
      </w:r>
      <w:r w:rsidR="00685215" w:rsidRPr="00C10B9C">
        <w:rPr>
          <w:rFonts w:asciiTheme="minorHAnsi" w:hAnsiTheme="minorHAnsi" w:cstheme="minorHAnsi"/>
          <w:b/>
          <w:bCs/>
          <w:sz w:val="24"/>
          <w:szCs w:val="24"/>
        </w:rPr>
        <w:t>–</w:t>
      </w:r>
      <w:r w:rsidR="005F4B0A" w:rsidRPr="00C10B9C">
        <w:rPr>
          <w:rFonts w:asciiTheme="minorHAnsi" w:hAnsiTheme="minorHAnsi" w:cstheme="minorHAnsi"/>
          <w:b/>
          <w:bCs/>
          <w:sz w:val="24"/>
          <w:szCs w:val="24"/>
        </w:rPr>
        <w:t xml:space="preserve"> </w:t>
      </w:r>
      <w:r w:rsidR="00685215" w:rsidRPr="00C10B9C">
        <w:rPr>
          <w:rFonts w:asciiTheme="minorHAnsi" w:hAnsiTheme="minorHAnsi" w:cstheme="minorHAnsi"/>
          <w:b/>
          <w:bCs/>
          <w:sz w:val="24"/>
          <w:szCs w:val="24"/>
        </w:rPr>
        <w:t>Document </w:t>
      </w:r>
      <w:hyperlink r:id="rId15" w:history="1">
        <w:r w:rsidR="00685215" w:rsidRPr="00C10B9C">
          <w:rPr>
            <w:rStyle w:val="Hyperlink"/>
            <w:rFonts w:asciiTheme="minorHAnsi" w:hAnsiTheme="minorHAnsi" w:cstheme="minorHAnsi"/>
            <w:b/>
            <w:bCs/>
            <w:sz w:val="24"/>
            <w:szCs w:val="24"/>
          </w:rPr>
          <w:t>CWG-FHR-20/5</w:t>
        </w:r>
      </w:hyperlink>
    </w:p>
    <w:p w14:paraId="1DE1B391" w14:textId="0871188B" w:rsidR="00AB21D8" w:rsidRPr="00C10B9C" w:rsidRDefault="00981727" w:rsidP="00C10B9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Aptos" w:hAnsiTheme="minorHAnsi" w:cstheme="minorHAnsi"/>
          <w:szCs w:val="24"/>
          <w:lang w:val="en-US"/>
        </w:rPr>
      </w:pPr>
      <w:r w:rsidRPr="00C10B9C">
        <w:rPr>
          <w:rFonts w:asciiTheme="minorHAnsi" w:eastAsia="Aptos" w:hAnsiTheme="minorHAnsi" w:cstheme="minorHAnsi"/>
          <w:szCs w:val="24"/>
          <w:lang w:val="en-US"/>
        </w:rPr>
        <w:t>7.1</w:t>
      </w:r>
      <w:r w:rsidRPr="00C10B9C">
        <w:rPr>
          <w:rFonts w:asciiTheme="minorHAnsi" w:eastAsia="Aptos" w:hAnsiTheme="minorHAnsi" w:cstheme="minorHAnsi"/>
          <w:szCs w:val="24"/>
          <w:lang w:val="en-US"/>
        </w:rPr>
        <w:tab/>
      </w:r>
      <w:r w:rsidR="00AB21D8" w:rsidRPr="00C10B9C">
        <w:rPr>
          <w:rFonts w:asciiTheme="minorHAnsi" w:eastAsia="Aptos" w:hAnsiTheme="minorHAnsi" w:cstheme="minorHAnsi"/>
          <w:szCs w:val="24"/>
          <w:lang w:val="en-US"/>
        </w:rPr>
        <w:t>The TSB Director made the following statement:</w:t>
      </w:r>
      <w:r w:rsidR="000B1885">
        <w:rPr>
          <w:rFonts w:asciiTheme="minorHAnsi" w:eastAsia="Aptos" w:hAnsiTheme="minorHAnsi" w:cstheme="minorHAnsi"/>
          <w:szCs w:val="24"/>
          <w:lang w:val="en-US"/>
        </w:rPr>
        <w:br/>
      </w:r>
      <w:hyperlink r:id="rId16" w:history="1">
        <w:r w:rsidR="000B1885" w:rsidRPr="00C85C85">
          <w:rPr>
            <w:rStyle w:val="Hyperlink"/>
            <w:rFonts w:asciiTheme="minorHAnsi" w:eastAsia="Aptos" w:hAnsiTheme="minorHAnsi" w:cstheme="minorHAnsi"/>
            <w:szCs w:val="24"/>
            <w:lang w:val="en-US"/>
          </w:rPr>
          <w:t>https://</w:t>
        </w:r>
        <w:r w:rsidR="000B1885" w:rsidRPr="00C85C85">
          <w:rPr>
            <w:rStyle w:val="Hyperlink"/>
            <w:rFonts w:asciiTheme="minorHAnsi" w:eastAsia="Aptos" w:hAnsiTheme="minorHAnsi" w:cstheme="minorHAnsi"/>
            <w:szCs w:val="24"/>
            <w:lang w:val="en-US"/>
          </w:rPr>
          <w:t>www</w:t>
        </w:r>
        <w:r w:rsidR="000B1885" w:rsidRPr="00C85C85">
          <w:rPr>
            <w:rStyle w:val="Hyperlink"/>
            <w:rFonts w:asciiTheme="minorHAnsi" w:eastAsia="Aptos" w:hAnsiTheme="minorHAnsi" w:cstheme="minorHAnsi"/>
            <w:szCs w:val="24"/>
            <w:lang w:val="en-US"/>
          </w:rPr>
          <w:t>.itu.int/en/council/Documents/2025/Speech-TSB-Director-to-CWG-FHR.pdf</w:t>
        </w:r>
      </w:hyperlink>
      <w:r w:rsidR="000B1885">
        <w:rPr>
          <w:rFonts w:asciiTheme="minorHAnsi" w:eastAsia="Aptos" w:hAnsiTheme="minorHAnsi" w:cstheme="minorHAnsi"/>
          <w:szCs w:val="24"/>
          <w:lang w:val="en-US"/>
        </w:rPr>
        <w:t xml:space="preserve">. </w:t>
      </w:r>
    </w:p>
    <w:p w14:paraId="5DF05452" w14:textId="2C5B06F4" w:rsidR="00AB21D8" w:rsidRPr="00C10B9C" w:rsidRDefault="00981727" w:rsidP="00C10B9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Aptos" w:hAnsiTheme="minorHAnsi" w:cstheme="minorHAnsi"/>
          <w:szCs w:val="24"/>
        </w:rPr>
      </w:pPr>
      <w:r w:rsidRPr="00C10B9C">
        <w:rPr>
          <w:rFonts w:asciiTheme="minorHAnsi" w:eastAsia="Aptos" w:hAnsiTheme="minorHAnsi" w:cstheme="minorHAnsi"/>
          <w:szCs w:val="24"/>
        </w:rPr>
        <w:t>7.2</w:t>
      </w:r>
      <w:r w:rsidRPr="00C10B9C">
        <w:rPr>
          <w:rFonts w:asciiTheme="minorHAnsi" w:eastAsia="Aptos" w:hAnsiTheme="minorHAnsi" w:cstheme="minorHAnsi"/>
          <w:szCs w:val="24"/>
        </w:rPr>
        <w:tab/>
      </w:r>
      <w:r w:rsidR="00AB21D8" w:rsidRPr="00C10B9C">
        <w:rPr>
          <w:rFonts w:asciiTheme="minorHAnsi" w:eastAsia="Aptos" w:hAnsiTheme="minorHAnsi" w:cstheme="minorHAnsi"/>
          <w:szCs w:val="24"/>
        </w:rPr>
        <w:t>The TSB Deputy Director presented Document CWG-FHR-20/5 on behalf of the Secretary</w:t>
      </w:r>
      <w:r w:rsidR="00F81F1D" w:rsidRPr="00C10B9C">
        <w:rPr>
          <w:rFonts w:asciiTheme="minorHAnsi" w:eastAsia="Aptos" w:hAnsiTheme="minorHAnsi" w:cstheme="minorHAnsi"/>
          <w:szCs w:val="24"/>
        </w:rPr>
        <w:t>-</w:t>
      </w:r>
      <w:r w:rsidR="00AB21D8" w:rsidRPr="00C10B9C">
        <w:rPr>
          <w:rFonts w:asciiTheme="minorHAnsi" w:eastAsia="Aptos" w:hAnsiTheme="minorHAnsi" w:cstheme="minorHAnsi"/>
          <w:szCs w:val="24"/>
        </w:rPr>
        <w:t>General.</w:t>
      </w:r>
    </w:p>
    <w:p w14:paraId="67DFA827" w14:textId="5EB1B711" w:rsidR="00AB21D8" w:rsidRPr="00C10B9C" w:rsidRDefault="00981727" w:rsidP="00C10B9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Aptos" w:hAnsiTheme="minorHAnsi" w:cstheme="minorHAnsi"/>
          <w:szCs w:val="24"/>
        </w:rPr>
      </w:pPr>
      <w:r w:rsidRPr="00C10B9C">
        <w:rPr>
          <w:rFonts w:asciiTheme="minorHAnsi" w:eastAsia="Aptos" w:hAnsiTheme="minorHAnsi" w:cstheme="minorHAnsi"/>
          <w:szCs w:val="24"/>
        </w:rPr>
        <w:t>7.3</w:t>
      </w:r>
      <w:r w:rsidRPr="00C10B9C">
        <w:rPr>
          <w:rFonts w:asciiTheme="minorHAnsi" w:eastAsia="Aptos" w:hAnsiTheme="minorHAnsi" w:cstheme="minorHAnsi"/>
          <w:szCs w:val="24"/>
        </w:rPr>
        <w:tab/>
      </w:r>
      <w:r w:rsidR="00AB21D8" w:rsidRPr="00C10B9C">
        <w:rPr>
          <w:rFonts w:asciiTheme="minorHAnsi" w:eastAsia="Aptos" w:hAnsiTheme="minorHAnsi" w:cstheme="minorHAnsi"/>
          <w:szCs w:val="24"/>
        </w:rPr>
        <w:t>There were several questions on the method of computation of the financial impact, the priorities of the topics to implement, and the viability of the six options proposed.</w:t>
      </w:r>
    </w:p>
    <w:p w14:paraId="0A42BC42" w14:textId="7E0AAA1E" w:rsidR="00AB21D8" w:rsidRPr="00C10B9C" w:rsidRDefault="00981727" w:rsidP="00C10B9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Aptos" w:hAnsiTheme="minorHAnsi" w:cstheme="minorHAnsi"/>
          <w:szCs w:val="24"/>
        </w:rPr>
      </w:pPr>
      <w:r w:rsidRPr="00C10B9C">
        <w:rPr>
          <w:rFonts w:asciiTheme="minorHAnsi" w:eastAsia="Aptos" w:hAnsiTheme="minorHAnsi" w:cstheme="minorHAnsi"/>
          <w:szCs w:val="24"/>
        </w:rPr>
        <w:t>7.4</w:t>
      </w:r>
      <w:r w:rsidRPr="00C10B9C">
        <w:rPr>
          <w:rFonts w:asciiTheme="minorHAnsi" w:eastAsia="Aptos" w:hAnsiTheme="minorHAnsi" w:cstheme="minorHAnsi"/>
          <w:szCs w:val="24"/>
        </w:rPr>
        <w:tab/>
      </w:r>
      <w:r w:rsidR="00AB21D8" w:rsidRPr="00C10B9C">
        <w:rPr>
          <w:rFonts w:asciiTheme="minorHAnsi" w:eastAsia="Aptos" w:hAnsiTheme="minorHAnsi" w:cstheme="minorHAnsi"/>
          <w:szCs w:val="24"/>
        </w:rPr>
        <w:t xml:space="preserve">The secretariat explained that although WTSA-24 approved eight new resolutions, updated 44 resolutions, and approved fifteen actions that instruct the TSB Director to implement them, the WTSA-24 Budget Control Committee (COM2) and WTSA-24 plenary approved an estimated budget impact of </w:t>
      </w:r>
      <w:r w:rsidR="00F81F1D" w:rsidRPr="00C10B9C">
        <w:rPr>
          <w:rFonts w:asciiTheme="minorHAnsi" w:eastAsia="Aptos" w:hAnsiTheme="minorHAnsi" w:cstheme="minorHAnsi"/>
          <w:b/>
          <w:bCs/>
          <w:szCs w:val="24"/>
        </w:rPr>
        <w:t>MCHF </w:t>
      </w:r>
      <w:r w:rsidR="00AB21D8" w:rsidRPr="00C10B9C">
        <w:rPr>
          <w:rFonts w:asciiTheme="minorHAnsi" w:eastAsia="Aptos" w:hAnsiTheme="minorHAnsi" w:cstheme="minorHAnsi"/>
          <w:b/>
          <w:bCs/>
          <w:szCs w:val="24"/>
        </w:rPr>
        <w:t xml:space="preserve">1.414 </w:t>
      </w:r>
      <w:r w:rsidR="00AB21D8" w:rsidRPr="00C10B9C">
        <w:rPr>
          <w:rFonts w:asciiTheme="minorHAnsi" w:eastAsia="Aptos" w:hAnsiTheme="minorHAnsi" w:cstheme="minorHAnsi"/>
          <w:szCs w:val="24"/>
        </w:rPr>
        <w:t xml:space="preserve">that only covers Resolution 101 on </w:t>
      </w:r>
      <w:r w:rsidR="00AB21D8" w:rsidRPr="00C10B9C">
        <w:rPr>
          <w:rFonts w:asciiTheme="minorHAnsi" w:eastAsia="Aptos" w:hAnsiTheme="minorHAnsi" w:cstheme="minorHAnsi"/>
          <w:spacing w:val="-2"/>
          <w:szCs w:val="24"/>
        </w:rPr>
        <w:t>Artificial Intelligence (AI), Resolution 103 on Digital Public Infrastructure (DPI), and Resolution</w:t>
      </w:r>
      <w:r w:rsidR="00BB3C61" w:rsidRPr="00C10B9C">
        <w:rPr>
          <w:rFonts w:asciiTheme="minorHAnsi" w:eastAsia="Aptos" w:hAnsiTheme="minorHAnsi" w:cstheme="minorHAnsi"/>
          <w:spacing w:val="-2"/>
          <w:szCs w:val="24"/>
        </w:rPr>
        <w:t> </w:t>
      </w:r>
      <w:r w:rsidR="00AB21D8" w:rsidRPr="00C10B9C">
        <w:rPr>
          <w:rFonts w:asciiTheme="minorHAnsi" w:eastAsia="Aptos" w:hAnsiTheme="minorHAnsi" w:cstheme="minorHAnsi"/>
          <w:spacing w:val="-2"/>
          <w:szCs w:val="24"/>
        </w:rPr>
        <w:t>106</w:t>
      </w:r>
      <w:r w:rsidR="00AB21D8" w:rsidRPr="00C10B9C">
        <w:rPr>
          <w:rFonts w:asciiTheme="minorHAnsi" w:eastAsia="Aptos" w:hAnsiTheme="minorHAnsi" w:cstheme="minorHAnsi"/>
          <w:szCs w:val="24"/>
        </w:rPr>
        <w:t xml:space="preserve"> on Sustainable Digital Transformation (SDT).</w:t>
      </w:r>
    </w:p>
    <w:p w14:paraId="3D3CEC85" w14:textId="0A0503E5" w:rsidR="00AB21D8" w:rsidRPr="00C10B9C" w:rsidRDefault="00981727" w:rsidP="00C10B9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Aptos" w:hAnsiTheme="minorHAnsi" w:cstheme="minorHAnsi"/>
          <w:szCs w:val="24"/>
        </w:rPr>
      </w:pPr>
      <w:r w:rsidRPr="00C10B9C">
        <w:rPr>
          <w:rFonts w:asciiTheme="minorHAnsi" w:eastAsia="Aptos" w:hAnsiTheme="minorHAnsi" w:cstheme="minorHAnsi"/>
          <w:szCs w:val="24"/>
        </w:rPr>
        <w:t>7.5</w:t>
      </w:r>
      <w:r w:rsidRPr="00C10B9C">
        <w:rPr>
          <w:rFonts w:asciiTheme="minorHAnsi" w:eastAsia="Aptos" w:hAnsiTheme="minorHAnsi" w:cstheme="minorHAnsi"/>
          <w:szCs w:val="24"/>
        </w:rPr>
        <w:tab/>
      </w:r>
      <w:r w:rsidR="00AB21D8" w:rsidRPr="00C10B9C">
        <w:rPr>
          <w:rFonts w:asciiTheme="minorHAnsi" w:eastAsia="Aptos" w:hAnsiTheme="minorHAnsi" w:cstheme="minorHAnsi"/>
          <w:szCs w:val="24"/>
        </w:rPr>
        <w:t xml:space="preserve">The secretariat informed CWG-FHR that discussions are underway with </w:t>
      </w:r>
      <w:r w:rsidR="00AB21D8" w:rsidRPr="00C10B9C">
        <w:rPr>
          <w:rFonts w:asciiTheme="minorHAnsi" w:eastAsia="Aptos" w:hAnsiTheme="minorHAnsi" w:cstheme="minorHAnsi"/>
          <w:b/>
          <w:bCs/>
          <w:szCs w:val="24"/>
        </w:rPr>
        <w:t>India</w:t>
      </w:r>
      <w:r w:rsidR="00AB21D8" w:rsidRPr="00C10B9C">
        <w:rPr>
          <w:rFonts w:asciiTheme="minorHAnsi" w:eastAsia="Aptos" w:hAnsiTheme="minorHAnsi" w:cstheme="minorHAnsi"/>
          <w:szCs w:val="24"/>
        </w:rPr>
        <w:t xml:space="preserve"> to explore option 1 (savings from the funding provided by the host country to the organization of the Assembly, subject to the agreement of the host country). The exact amount of the savings is unclear at the time of presentation of this document as the WTSA-24 expenses have not been closed yet. </w:t>
      </w:r>
    </w:p>
    <w:p w14:paraId="654A7B29" w14:textId="1123ABD9" w:rsidR="00AB21D8" w:rsidRPr="00C10B9C" w:rsidRDefault="00981727" w:rsidP="00C10B9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Aptos" w:hAnsiTheme="minorHAnsi" w:cstheme="minorHAnsi"/>
          <w:szCs w:val="24"/>
        </w:rPr>
      </w:pPr>
      <w:r w:rsidRPr="00C10B9C">
        <w:rPr>
          <w:rFonts w:asciiTheme="minorHAnsi" w:eastAsia="Aptos" w:hAnsiTheme="minorHAnsi" w:cstheme="minorHAnsi"/>
          <w:szCs w:val="24"/>
        </w:rPr>
        <w:t>7.6</w:t>
      </w:r>
      <w:r w:rsidRPr="00C10B9C">
        <w:rPr>
          <w:rFonts w:asciiTheme="minorHAnsi" w:eastAsia="Aptos" w:hAnsiTheme="minorHAnsi" w:cstheme="minorHAnsi"/>
          <w:szCs w:val="24"/>
        </w:rPr>
        <w:tab/>
      </w:r>
      <w:r w:rsidR="00AB21D8" w:rsidRPr="00C10B9C">
        <w:rPr>
          <w:rFonts w:asciiTheme="minorHAnsi" w:eastAsia="Aptos" w:hAnsiTheme="minorHAnsi" w:cstheme="minorHAnsi"/>
          <w:szCs w:val="24"/>
        </w:rPr>
        <w:t xml:space="preserve">In addition, the secretariat highlighted Document </w:t>
      </w:r>
      <w:r w:rsidR="00D83AE2" w:rsidRPr="00C10B9C">
        <w:rPr>
          <w:rFonts w:asciiTheme="minorHAnsi" w:eastAsia="Aptos" w:hAnsiTheme="minorHAnsi" w:cstheme="minorHAnsi"/>
          <w:szCs w:val="24"/>
        </w:rPr>
        <w:t>CWG-FHR-20/</w:t>
      </w:r>
      <w:r w:rsidR="00AB21D8" w:rsidRPr="00C10B9C">
        <w:rPr>
          <w:rFonts w:asciiTheme="minorHAnsi" w:eastAsia="Aptos" w:hAnsiTheme="minorHAnsi" w:cstheme="minorHAnsi"/>
          <w:szCs w:val="24"/>
        </w:rPr>
        <w:t>14 to this CWG</w:t>
      </w:r>
      <w:r w:rsidR="00BB3C61" w:rsidRPr="00C10B9C">
        <w:rPr>
          <w:rFonts w:asciiTheme="minorHAnsi" w:eastAsia="Aptos" w:hAnsiTheme="minorHAnsi" w:cstheme="minorHAnsi"/>
          <w:szCs w:val="24"/>
        </w:rPr>
        <w:t>-</w:t>
      </w:r>
      <w:r w:rsidR="00AB21D8" w:rsidRPr="00C10B9C">
        <w:rPr>
          <w:rFonts w:asciiTheme="minorHAnsi" w:eastAsia="Aptos" w:hAnsiTheme="minorHAnsi" w:cstheme="minorHAnsi"/>
          <w:szCs w:val="24"/>
        </w:rPr>
        <w:t>FHR meeting that proposes that the one-time cost and first year implementation of WTSA-24, or</w:t>
      </w:r>
      <w:r w:rsidR="00AB21D8" w:rsidRPr="00C10B9C">
        <w:rPr>
          <w:rFonts w:asciiTheme="minorHAnsi" w:eastAsia="Aptos" w:hAnsiTheme="minorHAnsi" w:cstheme="minorHAnsi"/>
          <w:szCs w:val="24"/>
          <w:lang w:val="en-US"/>
        </w:rPr>
        <w:t xml:space="preserve"> </w:t>
      </w:r>
      <w:r w:rsidR="00AB21D8" w:rsidRPr="00C10B9C">
        <w:rPr>
          <w:rFonts w:asciiTheme="minorHAnsi" w:eastAsia="Aptos" w:hAnsiTheme="minorHAnsi" w:cstheme="minorHAnsi"/>
          <w:b/>
          <w:bCs/>
          <w:szCs w:val="24"/>
          <w:lang w:val="en-US"/>
        </w:rPr>
        <w:t>KCHF</w:t>
      </w:r>
      <w:r w:rsidR="00D83AE2" w:rsidRPr="00C10B9C">
        <w:rPr>
          <w:rFonts w:asciiTheme="minorHAnsi" w:eastAsia="Aptos" w:hAnsiTheme="minorHAnsi" w:cstheme="minorHAnsi"/>
          <w:b/>
          <w:bCs/>
          <w:szCs w:val="24"/>
          <w:lang w:val="en-US"/>
        </w:rPr>
        <w:t> </w:t>
      </w:r>
      <w:r w:rsidR="00AB21D8" w:rsidRPr="00C10B9C">
        <w:rPr>
          <w:rFonts w:asciiTheme="minorHAnsi" w:eastAsia="Aptos" w:hAnsiTheme="minorHAnsi" w:cstheme="minorHAnsi"/>
          <w:b/>
          <w:bCs/>
          <w:szCs w:val="24"/>
          <w:lang w:val="en-US"/>
        </w:rPr>
        <w:t>556</w:t>
      </w:r>
      <w:r w:rsidR="00AB21D8" w:rsidRPr="00C10B9C">
        <w:rPr>
          <w:rFonts w:asciiTheme="minorHAnsi" w:eastAsia="Aptos" w:hAnsiTheme="minorHAnsi" w:cstheme="minorHAnsi"/>
          <w:szCs w:val="24"/>
          <w:lang w:val="en-US"/>
        </w:rPr>
        <w:t xml:space="preserve">, </w:t>
      </w:r>
      <w:r w:rsidR="00AB21D8" w:rsidRPr="00C10B9C">
        <w:rPr>
          <w:rFonts w:asciiTheme="minorHAnsi" w:eastAsia="Aptos" w:hAnsiTheme="minorHAnsi" w:cstheme="minorHAnsi"/>
          <w:szCs w:val="24"/>
        </w:rPr>
        <w:t>be funded from the 2024 budget savings.</w:t>
      </w:r>
    </w:p>
    <w:p w14:paraId="7563D3B8" w14:textId="103BA1B1" w:rsidR="00AB21D8" w:rsidRPr="00C10B9C" w:rsidRDefault="00981727" w:rsidP="00C10B9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Aptos" w:hAnsiTheme="minorHAnsi" w:cstheme="minorHAnsi"/>
          <w:szCs w:val="24"/>
        </w:rPr>
      </w:pPr>
      <w:r w:rsidRPr="00C10B9C">
        <w:rPr>
          <w:rFonts w:asciiTheme="minorHAnsi" w:eastAsia="Aptos" w:hAnsiTheme="minorHAnsi" w:cstheme="minorHAnsi"/>
          <w:szCs w:val="24"/>
        </w:rPr>
        <w:t>7.7</w:t>
      </w:r>
      <w:r w:rsidRPr="00C10B9C">
        <w:rPr>
          <w:rFonts w:asciiTheme="minorHAnsi" w:eastAsia="Aptos" w:hAnsiTheme="minorHAnsi" w:cstheme="minorHAnsi"/>
          <w:szCs w:val="24"/>
        </w:rPr>
        <w:tab/>
      </w:r>
      <w:r w:rsidR="00AB21D8" w:rsidRPr="00C10B9C">
        <w:rPr>
          <w:rFonts w:asciiTheme="minorHAnsi" w:eastAsia="Aptos" w:hAnsiTheme="minorHAnsi" w:cstheme="minorHAnsi"/>
          <w:szCs w:val="24"/>
        </w:rPr>
        <w:t xml:space="preserve">The secretariat also explained that the </w:t>
      </w:r>
      <w:r w:rsidR="00AB21D8" w:rsidRPr="00C10B9C">
        <w:rPr>
          <w:rFonts w:asciiTheme="minorHAnsi" w:eastAsia="Aptos" w:hAnsiTheme="minorHAnsi" w:cstheme="minorHAnsi"/>
          <w:b/>
          <w:bCs/>
          <w:szCs w:val="24"/>
        </w:rPr>
        <w:t>priorities</w:t>
      </w:r>
      <w:r w:rsidR="00AB21D8" w:rsidRPr="00C10B9C">
        <w:rPr>
          <w:rFonts w:asciiTheme="minorHAnsi" w:eastAsia="Aptos" w:hAnsiTheme="minorHAnsi" w:cstheme="minorHAnsi"/>
          <w:szCs w:val="24"/>
        </w:rPr>
        <w:t xml:space="preserve"> guided by WTSA-24 decisions and regular requests from </w:t>
      </w:r>
      <w:r w:rsidR="00BB3C61" w:rsidRPr="00C10B9C">
        <w:rPr>
          <w:rFonts w:asciiTheme="minorHAnsi" w:eastAsia="Aptos" w:hAnsiTheme="minorHAnsi" w:cstheme="minorHAnsi"/>
          <w:szCs w:val="24"/>
        </w:rPr>
        <w:t>m</w:t>
      </w:r>
      <w:r w:rsidR="00AB21D8" w:rsidRPr="00C10B9C">
        <w:rPr>
          <w:rFonts w:asciiTheme="minorHAnsi" w:eastAsia="Aptos" w:hAnsiTheme="minorHAnsi" w:cstheme="minorHAnsi"/>
          <w:szCs w:val="24"/>
        </w:rPr>
        <w:t>embership includes AI, DPI, Sustainability, Quantum, and Disaster/Emergency Communications.</w:t>
      </w:r>
    </w:p>
    <w:p w14:paraId="11BE3567" w14:textId="63CD7998" w:rsidR="00AB21D8" w:rsidRPr="00C10B9C" w:rsidRDefault="00981727" w:rsidP="00C10B9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Aptos" w:hAnsiTheme="minorHAnsi" w:cstheme="minorHAnsi"/>
          <w:szCs w:val="24"/>
        </w:rPr>
      </w:pPr>
      <w:r w:rsidRPr="00C10B9C">
        <w:rPr>
          <w:rFonts w:asciiTheme="minorHAnsi" w:eastAsia="Aptos" w:hAnsiTheme="minorHAnsi" w:cstheme="minorHAnsi"/>
          <w:szCs w:val="24"/>
        </w:rPr>
        <w:t>7.8</w:t>
      </w:r>
      <w:r w:rsidRPr="00C10B9C">
        <w:rPr>
          <w:rFonts w:asciiTheme="minorHAnsi" w:eastAsia="Aptos" w:hAnsiTheme="minorHAnsi" w:cstheme="minorHAnsi"/>
          <w:szCs w:val="24"/>
        </w:rPr>
        <w:tab/>
      </w:r>
      <w:r w:rsidR="00AB21D8" w:rsidRPr="00C10B9C">
        <w:rPr>
          <w:rFonts w:asciiTheme="minorHAnsi" w:eastAsia="Aptos" w:hAnsiTheme="minorHAnsi" w:cstheme="minorHAnsi"/>
          <w:szCs w:val="24"/>
        </w:rPr>
        <w:t xml:space="preserve">Several delegates supported option 3 (using savings from ITU budget) to fund the implementation of WTSA-24 outcomes. Others encouraged further resource mobilisation, invited voluntary contributions, and exploring other cost recovery mechanisms. </w:t>
      </w:r>
    </w:p>
    <w:p w14:paraId="49137820" w14:textId="2C9AA862" w:rsidR="00AB21D8" w:rsidRPr="00C10B9C" w:rsidRDefault="00981727" w:rsidP="00C10B9C">
      <w:pPr>
        <w:tabs>
          <w:tab w:val="clear" w:pos="567"/>
          <w:tab w:val="clear" w:pos="1134"/>
          <w:tab w:val="clear" w:pos="1701"/>
          <w:tab w:val="clear" w:pos="2268"/>
          <w:tab w:val="clear" w:pos="2835"/>
          <w:tab w:val="left" w:pos="851"/>
        </w:tabs>
        <w:overflowPunct/>
        <w:autoSpaceDE/>
        <w:autoSpaceDN/>
        <w:adjustRightInd/>
        <w:spacing w:after="120"/>
        <w:textAlignment w:val="auto"/>
        <w:rPr>
          <w:rFonts w:asciiTheme="minorHAnsi" w:eastAsia="Aptos" w:hAnsiTheme="minorHAnsi" w:cstheme="minorHAnsi"/>
          <w:szCs w:val="24"/>
        </w:rPr>
      </w:pPr>
      <w:r w:rsidRPr="00C10B9C">
        <w:rPr>
          <w:rFonts w:asciiTheme="minorHAnsi" w:eastAsia="Aptos" w:hAnsiTheme="minorHAnsi" w:cstheme="minorHAnsi"/>
          <w:szCs w:val="24"/>
        </w:rPr>
        <w:t>7.9</w:t>
      </w:r>
      <w:r w:rsidRPr="00C10B9C">
        <w:rPr>
          <w:rFonts w:asciiTheme="minorHAnsi" w:eastAsia="Aptos" w:hAnsiTheme="minorHAnsi" w:cstheme="minorHAnsi"/>
          <w:szCs w:val="24"/>
        </w:rPr>
        <w:tab/>
      </w:r>
      <w:r w:rsidR="00AB21D8" w:rsidRPr="00C10B9C">
        <w:rPr>
          <w:rFonts w:asciiTheme="minorHAnsi" w:eastAsia="Aptos" w:hAnsiTheme="minorHAnsi" w:cstheme="minorHAnsi"/>
          <w:szCs w:val="24"/>
        </w:rPr>
        <w:t xml:space="preserve">The secretariat </w:t>
      </w:r>
      <w:r w:rsidR="00EA43FD" w:rsidRPr="00C10B9C">
        <w:rPr>
          <w:rFonts w:asciiTheme="minorHAnsi" w:eastAsia="Aptos" w:hAnsiTheme="minorHAnsi" w:cstheme="minorHAnsi"/>
          <w:szCs w:val="24"/>
        </w:rPr>
        <w:t xml:space="preserve">expressed its gratitude to the </w:t>
      </w:r>
      <w:r w:rsidR="00AB21D8" w:rsidRPr="00C10B9C">
        <w:rPr>
          <w:rFonts w:asciiTheme="minorHAnsi" w:eastAsia="Aptos" w:hAnsiTheme="minorHAnsi" w:cstheme="minorHAnsi"/>
          <w:szCs w:val="24"/>
        </w:rPr>
        <w:t>CWG-FHR for its support and guidance.</w:t>
      </w:r>
    </w:p>
    <w:p w14:paraId="0B1C80C1" w14:textId="28073D99" w:rsidR="00685215" w:rsidRPr="00C10B9C" w:rsidRDefault="00285A8E" w:rsidP="000B1885">
      <w:pPr>
        <w:pStyle w:val="Tabletext"/>
        <w:keepNext/>
        <w:keepLines/>
        <w:tabs>
          <w:tab w:val="clear" w:pos="284"/>
          <w:tab w:val="clear" w:pos="567"/>
        </w:tabs>
        <w:spacing w:before="480" w:after="120"/>
        <w:ind w:left="851" w:hanging="851"/>
        <w:rPr>
          <w:rFonts w:asciiTheme="minorHAnsi" w:hAnsiTheme="minorHAnsi" w:cstheme="minorHAnsi"/>
          <w:sz w:val="24"/>
          <w:szCs w:val="24"/>
        </w:rPr>
      </w:pPr>
      <w:bookmarkStart w:id="11" w:name="_Hlk191477904"/>
      <w:r w:rsidRPr="00C10B9C">
        <w:rPr>
          <w:rFonts w:asciiTheme="minorHAnsi" w:hAnsiTheme="minorHAnsi" w:cstheme="minorHAnsi"/>
          <w:b/>
          <w:bCs/>
          <w:sz w:val="24"/>
          <w:szCs w:val="24"/>
        </w:rPr>
        <w:lastRenderedPageBreak/>
        <w:t>8</w:t>
      </w:r>
      <w:r w:rsidR="00685215" w:rsidRPr="00C10B9C">
        <w:rPr>
          <w:rFonts w:asciiTheme="minorHAnsi" w:hAnsiTheme="minorHAnsi" w:cstheme="minorHAnsi"/>
          <w:b/>
          <w:bCs/>
          <w:sz w:val="24"/>
          <w:szCs w:val="24"/>
        </w:rPr>
        <w:tab/>
        <w:t xml:space="preserve">Preparation of the draft budget of the Union for 2026-2027 – </w:t>
      </w:r>
      <w:r w:rsidR="00295FC1" w:rsidRPr="00C10B9C">
        <w:rPr>
          <w:rFonts w:asciiTheme="minorHAnsi" w:hAnsiTheme="minorHAnsi" w:cstheme="minorHAnsi"/>
          <w:b/>
          <w:bCs/>
          <w:sz w:val="24"/>
          <w:szCs w:val="24"/>
        </w:rPr>
        <w:br/>
      </w:r>
      <w:r w:rsidR="00685215" w:rsidRPr="00C10B9C">
        <w:rPr>
          <w:rFonts w:asciiTheme="minorHAnsi" w:hAnsiTheme="minorHAnsi" w:cstheme="minorHAnsi"/>
          <w:b/>
          <w:bCs/>
          <w:sz w:val="24"/>
          <w:szCs w:val="24"/>
        </w:rPr>
        <w:t>Document </w:t>
      </w:r>
      <w:hyperlink r:id="rId17" w:history="1">
        <w:r w:rsidR="00685215" w:rsidRPr="00C10B9C">
          <w:rPr>
            <w:rStyle w:val="Hyperlink"/>
            <w:rFonts w:asciiTheme="minorHAnsi" w:hAnsiTheme="minorHAnsi" w:cstheme="minorHAnsi"/>
            <w:b/>
            <w:bCs/>
            <w:sz w:val="24"/>
            <w:szCs w:val="24"/>
          </w:rPr>
          <w:t>CWG-FHR-20/15</w:t>
        </w:r>
      </w:hyperlink>
    </w:p>
    <w:p w14:paraId="27A2E8E2" w14:textId="63ED0CE0" w:rsidR="00453670" w:rsidRPr="00C10B9C" w:rsidRDefault="00A70F63" w:rsidP="000B1885">
      <w:pPr>
        <w:pStyle w:val="Tabletext"/>
        <w:keepNext/>
        <w:keepLines/>
        <w:tabs>
          <w:tab w:val="clear" w:pos="284"/>
          <w:tab w:val="clear" w:pos="567"/>
          <w:tab w:val="clear" w:pos="851"/>
        </w:tabs>
        <w:spacing w:before="120" w:after="120"/>
        <w:rPr>
          <w:rFonts w:asciiTheme="minorHAnsi" w:hAnsiTheme="minorHAnsi" w:cstheme="minorHAnsi"/>
          <w:sz w:val="24"/>
          <w:szCs w:val="24"/>
        </w:rPr>
      </w:pPr>
      <w:r w:rsidRPr="00C10B9C">
        <w:rPr>
          <w:rFonts w:asciiTheme="minorHAnsi" w:hAnsiTheme="minorHAnsi" w:cstheme="minorHAnsi"/>
          <w:sz w:val="24"/>
          <w:szCs w:val="24"/>
        </w:rPr>
        <w:t>8.1</w:t>
      </w:r>
      <w:r w:rsidRPr="00C10B9C">
        <w:rPr>
          <w:rFonts w:asciiTheme="minorHAnsi" w:hAnsiTheme="minorHAnsi" w:cstheme="minorHAnsi"/>
          <w:sz w:val="24"/>
          <w:szCs w:val="24"/>
        </w:rPr>
        <w:tab/>
      </w:r>
      <w:r w:rsidR="00453670" w:rsidRPr="00C10B9C">
        <w:rPr>
          <w:rFonts w:asciiTheme="minorHAnsi" w:hAnsiTheme="minorHAnsi" w:cstheme="minorHAnsi"/>
          <w:sz w:val="24"/>
          <w:szCs w:val="24"/>
        </w:rPr>
        <w:t xml:space="preserve">The </w:t>
      </w:r>
      <w:r w:rsidRPr="00C10B9C">
        <w:rPr>
          <w:rFonts w:asciiTheme="minorHAnsi" w:hAnsiTheme="minorHAnsi" w:cstheme="minorHAnsi"/>
          <w:sz w:val="24"/>
          <w:szCs w:val="24"/>
        </w:rPr>
        <w:t>s</w:t>
      </w:r>
      <w:r w:rsidR="00453670" w:rsidRPr="00C10B9C">
        <w:rPr>
          <w:rFonts w:asciiTheme="minorHAnsi" w:hAnsiTheme="minorHAnsi" w:cstheme="minorHAnsi"/>
          <w:sz w:val="24"/>
          <w:szCs w:val="24"/>
        </w:rPr>
        <w:t xml:space="preserve">ecretariat presented </w:t>
      </w:r>
      <w:r w:rsidRPr="00C10B9C">
        <w:rPr>
          <w:rFonts w:asciiTheme="minorHAnsi" w:hAnsiTheme="minorHAnsi" w:cstheme="minorHAnsi"/>
          <w:sz w:val="24"/>
          <w:szCs w:val="24"/>
        </w:rPr>
        <w:t>D</w:t>
      </w:r>
      <w:r w:rsidR="00453670" w:rsidRPr="00C10B9C">
        <w:rPr>
          <w:rFonts w:asciiTheme="minorHAnsi" w:hAnsiTheme="minorHAnsi" w:cstheme="minorHAnsi"/>
          <w:sz w:val="24"/>
          <w:szCs w:val="24"/>
        </w:rPr>
        <w:t>ocument CWG-FHR 20/15.</w:t>
      </w:r>
    </w:p>
    <w:p w14:paraId="5C75DD6E" w14:textId="2D05F8F3" w:rsidR="00453670" w:rsidRPr="00C10B9C" w:rsidRDefault="00A70F63" w:rsidP="000B1885">
      <w:pPr>
        <w:keepNext/>
        <w:keepLines/>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t>8.2</w:t>
      </w:r>
      <w:r w:rsidRPr="00C10B9C">
        <w:rPr>
          <w:rFonts w:asciiTheme="minorHAnsi" w:hAnsiTheme="minorHAnsi" w:cstheme="minorHAnsi"/>
          <w:szCs w:val="24"/>
        </w:rPr>
        <w:tab/>
      </w:r>
      <w:r w:rsidR="00453670" w:rsidRPr="00C10B9C">
        <w:rPr>
          <w:rFonts w:asciiTheme="minorHAnsi" w:hAnsiTheme="minorHAnsi" w:cstheme="minorHAnsi"/>
          <w:szCs w:val="24"/>
        </w:rPr>
        <w:t>This document presents the status of the draft biennial Budget for the years 2026-2027, as of 20 January 2025. At this stage of the preparation of the draft budget for 2026-2027, expenses and revenue are not balanced and indicates a deficit of some CHF 18.1</w:t>
      </w:r>
      <w:r w:rsidRPr="00C10B9C">
        <w:rPr>
          <w:rFonts w:asciiTheme="minorHAnsi" w:hAnsiTheme="minorHAnsi" w:cstheme="minorHAnsi"/>
          <w:szCs w:val="24"/>
        </w:rPr>
        <w:t> million.</w:t>
      </w:r>
    </w:p>
    <w:p w14:paraId="30BCA5FF" w14:textId="37980ACF" w:rsidR="00453670" w:rsidRPr="00C10B9C" w:rsidRDefault="00A70F63"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t>8.3</w:t>
      </w:r>
      <w:r w:rsidRPr="00C10B9C">
        <w:rPr>
          <w:rFonts w:asciiTheme="minorHAnsi" w:hAnsiTheme="minorHAnsi" w:cstheme="minorHAnsi"/>
          <w:szCs w:val="24"/>
        </w:rPr>
        <w:tab/>
      </w:r>
      <w:r w:rsidR="00453670" w:rsidRPr="00C10B9C">
        <w:rPr>
          <w:rFonts w:asciiTheme="minorHAnsi" w:hAnsiTheme="minorHAnsi" w:cstheme="minorHAnsi"/>
          <w:szCs w:val="24"/>
        </w:rPr>
        <w:t xml:space="preserve">Table 1 </w:t>
      </w:r>
      <w:r w:rsidRPr="00C10B9C">
        <w:rPr>
          <w:rFonts w:asciiTheme="minorHAnsi" w:hAnsiTheme="minorHAnsi" w:cstheme="minorHAnsi"/>
          <w:szCs w:val="24"/>
        </w:rPr>
        <w:t>in the document presents</w:t>
      </w:r>
      <w:r w:rsidR="00453670" w:rsidRPr="00C10B9C">
        <w:rPr>
          <w:rFonts w:asciiTheme="minorHAnsi" w:hAnsiTheme="minorHAnsi" w:cstheme="minorHAnsi"/>
          <w:szCs w:val="24"/>
        </w:rPr>
        <w:t xml:space="preserve"> the level of planned expenses by sector included in the current draft budget. At this stage of the budget preparation process, the planned expenses for 2026-2027 are CHF 2.9</w:t>
      </w:r>
      <w:r w:rsidRPr="00C10B9C">
        <w:rPr>
          <w:rFonts w:asciiTheme="minorHAnsi" w:hAnsiTheme="minorHAnsi" w:cstheme="minorHAnsi"/>
          <w:szCs w:val="24"/>
        </w:rPr>
        <w:t> million</w:t>
      </w:r>
      <w:r w:rsidR="00453670" w:rsidRPr="00C10B9C">
        <w:rPr>
          <w:rFonts w:asciiTheme="minorHAnsi" w:hAnsiTheme="minorHAnsi" w:cstheme="minorHAnsi"/>
          <w:szCs w:val="24"/>
        </w:rPr>
        <w:t xml:space="preserve"> above the limits set by the </w:t>
      </w:r>
      <w:r w:rsidRPr="00C10B9C">
        <w:rPr>
          <w:rFonts w:asciiTheme="minorHAnsi" w:hAnsiTheme="minorHAnsi" w:cstheme="minorHAnsi"/>
          <w:szCs w:val="24"/>
        </w:rPr>
        <w:t>P</w:t>
      </w:r>
      <w:r w:rsidR="00453670" w:rsidRPr="00C10B9C">
        <w:rPr>
          <w:rFonts w:asciiTheme="minorHAnsi" w:hAnsiTheme="minorHAnsi" w:cstheme="minorHAnsi"/>
          <w:szCs w:val="24"/>
        </w:rPr>
        <w:t xml:space="preserve">lenipotentiary </w:t>
      </w:r>
      <w:r w:rsidRPr="00C10B9C">
        <w:rPr>
          <w:rFonts w:asciiTheme="minorHAnsi" w:hAnsiTheme="minorHAnsi" w:cstheme="minorHAnsi"/>
          <w:szCs w:val="24"/>
        </w:rPr>
        <w:t>C</w:t>
      </w:r>
      <w:r w:rsidR="00453670" w:rsidRPr="00C10B9C">
        <w:rPr>
          <w:rFonts w:asciiTheme="minorHAnsi" w:hAnsiTheme="minorHAnsi" w:cstheme="minorHAnsi"/>
          <w:szCs w:val="24"/>
        </w:rPr>
        <w:t>onference.</w:t>
      </w:r>
    </w:p>
    <w:p w14:paraId="5038E3BB" w14:textId="74FC94CB" w:rsidR="00453670" w:rsidRPr="00C10B9C" w:rsidRDefault="00A70F63"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t>8.4</w:t>
      </w:r>
      <w:r w:rsidRPr="00C10B9C">
        <w:rPr>
          <w:rFonts w:asciiTheme="minorHAnsi" w:hAnsiTheme="minorHAnsi" w:cstheme="minorHAnsi"/>
          <w:szCs w:val="24"/>
        </w:rPr>
        <w:tab/>
      </w:r>
      <w:r w:rsidR="00453670" w:rsidRPr="00C10B9C">
        <w:rPr>
          <w:rFonts w:asciiTheme="minorHAnsi" w:hAnsiTheme="minorHAnsi" w:cstheme="minorHAnsi"/>
          <w:szCs w:val="24"/>
        </w:rPr>
        <w:t xml:space="preserve">Table 2 </w:t>
      </w:r>
      <w:r w:rsidRPr="00C10B9C">
        <w:rPr>
          <w:rFonts w:asciiTheme="minorHAnsi" w:hAnsiTheme="minorHAnsi" w:cstheme="minorHAnsi"/>
          <w:szCs w:val="24"/>
        </w:rPr>
        <w:t xml:space="preserve">in the document </w:t>
      </w:r>
      <w:r w:rsidR="00453670" w:rsidRPr="00C10B9C">
        <w:rPr>
          <w:rFonts w:asciiTheme="minorHAnsi" w:hAnsiTheme="minorHAnsi" w:cstheme="minorHAnsi"/>
          <w:szCs w:val="24"/>
        </w:rPr>
        <w:t xml:space="preserve">provides the revenue forecast for 2026-2027. Anticipated revenues for the period 2026-2027 are </w:t>
      </w:r>
      <w:r w:rsidRPr="00C10B9C">
        <w:rPr>
          <w:rFonts w:asciiTheme="minorHAnsi" w:hAnsiTheme="minorHAnsi" w:cstheme="minorHAnsi"/>
          <w:szCs w:val="24"/>
        </w:rPr>
        <w:t>C</w:t>
      </w:r>
      <w:r w:rsidR="00453670" w:rsidRPr="00C10B9C">
        <w:rPr>
          <w:rFonts w:asciiTheme="minorHAnsi" w:hAnsiTheme="minorHAnsi" w:cstheme="minorHAnsi"/>
          <w:szCs w:val="24"/>
        </w:rPr>
        <w:t>HF 15.2</w:t>
      </w:r>
      <w:r w:rsidRPr="00C10B9C">
        <w:rPr>
          <w:rFonts w:asciiTheme="minorHAnsi" w:hAnsiTheme="minorHAnsi" w:cstheme="minorHAnsi"/>
          <w:szCs w:val="24"/>
        </w:rPr>
        <w:t> million</w:t>
      </w:r>
      <w:r w:rsidR="00453670" w:rsidRPr="00C10B9C">
        <w:rPr>
          <w:rFonts w:asciiTheme="minorHAnsi" w:hAnsiTheme="minorHAnsi" w:cstheme="minorHAnsi"/>
          <w:szCs w:val="24"/>
        </w:rPr>
        <w:t xml:space="preserve"> below the anticipated revenue foreseen by the </w:t>
      </w:r>
      <w:r w:rsidRPr="00C10B9C">
        <w:rPr>
          <w:rFonts w:asciiTheme="minorHAnsi" w:hAnsiTheme="minorHAnsi" w:cstheme="minorHAnsi"/>
          <w:szCs w:val="24"/>
        </w:rPr>
        <w:t>P</w:t>
      </w:r>
      <w:r w:rsidR="00453670" w:rsidRPr="00C10B9C">
        <w:rPr>
          <w:rFonts w:asciiTheme="minorHAnsi" w:hAnsiTheme="minorHAnsi" w:cstheme="minorHAnsi"/>
          <w:szCs w:val="24"/>
        </w:rPr>
        <w:t xml:space="preserve">lenipotentiary </w:t>
      </w:r>
      <w:r w:rsidRPr="00C10B9C">
        <w:rPr>
          <w:rFonts w:asciiTheme="minorHAnsi" w:hAnsiTheme="minorHAnsi" w:cstheme="minorHAnsi"/>
          <w:szCs w:val="24"/>
        </w:rPr>
        <w:t>C</w:t>
      </w:r>
      <w:r w:rsidR="00453670" w:rsidRPr="00C10B9C">
        <w:rPr>
          <w:rFonts w:asciiTheme="minorHAnsi" w:hAnsiTheme="minorHAnsi" w:cstheme="minorHAnsi"/>
          <w:szCs w:val="24"/>
        </w:rPr>
        <w:t>onference when the 2024-2027 Financial Plan was approved.</w:t>
      </w:r>
    </w:p>
    <w:p w14:paraId="31854A56" w14:textId="28DB0CB7" w:rsidR="00453670" w:rsidRPr="00C10B9C" w:rsidRDefault="00A70F63"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t>8.5</w:t>
      </w:r>
      <w:r w:rsidRPr="00C10B9C">
        <w:rPr>
          <w:rFonts w:asciiTheme="minorHAnsi" w:hAnsiTheme="minorHAnsi" w:cstheme="minorHAnsi"/>
          <w:szCs w:val="24"/>
        </w:rPr>
        <w:tab/>
      </w:r>
      <w:r w:rsidR="00453670" w:rsidRPr="00C10B9C">
        <w:rPr>
          <w:rFonts w:asciiTheme="minorHAnsi" w:hAnsiTheme="minorHAnsi" w:cstheme="minorHAnsi"/>
          <w:szCs w:val="24"/>
        </w:rPr>
        <w:t xml:space="preserve">The </w:t>
      </w:r>
      <w:r w:rsidRPr="00C10B9C">
        <w:rPr>
          <w:rFonts w:asciiTheme="minorHAnsi" w:hAnsiTheme="minorHAnsi" w:cstheme="minorHAnsi"/>
          <w:szCs w:val="24"/>
        </w:rPr>
        <w:t>s</w:t>
      </w:r>
      <w:r w:rsidR="00453670" w:rsidRPr="00C10B9C">
        <w:rPr>
          <w:rFonts w:asciiTheme="minorHAnsi" w:hAnsiTheme="minorHAnsi" w:cstheme="minorHAnsi"/>
          <w:szCs w:val="24"/>
        </w:rPr>
        <w:t>ecretariat will continue to work on the draft biennial budget and will present a balanced budget to Council 2025 in accordance with the mandated timelines.</w:t>
      </w:r>
    </w:p>
    <w:p w14:paraId="61819111" w14:textId="6B43ACE8" w:rsidR="00453670" w:rsidRPr="00C10B9C" w:rsidRDefault="00A70F63"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t>8.6</w:t>
      </w:r>
      <w:r w:rsidRPr="00C10B9C">
        <w:rPr>
          <w:rFonts w:asciiTheme="minorHAnsi" w:hAnsiTheme="minorHAnsi" w:cstheme="minorHAnsi"/>
          <w:szCs w:val="24"/>
        </w:rPr>
        <w:tab/>
      </w:r>
      <w:r w:rsidR="00453670" w:rsidRPr="00C10B9C">
        <w:rPr>
          <w:rFonts w:asciiTheme="minorHAnsi" w:hAnsiTheme="minorHAnsi" w:cstheme="minorHAnsi"/>
          <w:szCs w:val="24"/>
        </w:rPr>
        <w:t>The process for balancing the budget is considering the following elements:</w:t>
      </w:r>
    </w:p>
    <w:p w14:paraId="42A7327C" w14:textId="7E8E0874" w:rsidR="00453670" w:rsidRPr="00C10B9C" w:rsidRDefault="00453670" w:rsidP="00C10B9C">
      <w:pPr>
        <w:pStyle w:val="enumlev1"/>
        <w:tabs>
          <w:tab w:val="clear" w:pos="567"/>
          <w:tab w:val="clear" w:pos="1701"/>
          <w:tab w:val="clear" w:pos="2268"/>
          <w:tab w:val="clear" w:pos="2835"/>
          <w:tab w:val="left" w:pos="1276"/>
        </w:tabs>
        <w:spacing w:before="120" w:after="120"/>
        <w:ind w:left="709" w:firstLine="0"/>
        <w:rPr>
          <w:rFonts w:asciiTheme="minorHAnsi" w:hAnsiTheme="minorHAnsi" w:cstheme="minorHAnsi"/>
          <w:szCs w:val="24"/>
          <w:lang w:val="en-US"/>
        </w:rPr>
      </w:pPr>
      <w:r w:rsidRPr="00C10B9C">
        <w:rPr>
          <w:rFonts w:asciiTheme="minorHAnsi" w:hAnsiTheme="minorHAnsi" w:cstheme="minorHAnsi"/>
          <w:szCs w:val="24"/>
          <w:lang w:val="en-US"/>
        </w:rPr>
        <w:t>i)</w:t>
      </w:r>
      <w:r w:rsidRPr="00C10B9C">
        <w:rPr>
          <w:rFonts w:asciiTheme="minorHAnsi" w:hAnsiTheme="minorHAnsi" w:cstheme="minorHAnsi"/>
          <w:szCs w:val="24"/>
          <w:lang w:val="en-US"/>
        </w:rPr>
        <w:tab/>
        <w:t xml:space="preserve">Implementation of efficiency </w:t>
      </w:r>
      <w:proofErr w:type="gramStart"/>
      <w:r w:rsidRPr="00C10B9C">
        <w:rPr>
          <w:rFonts w:asciiTheme="minorHAnsi" w:hAnsiTheme="minorHAnsi" w:cstheme="minorHAnsi"/>
          <w:szCs w:val="24"/>
          <w:lang w:val="en-US"/>
        </w:rPr>
        <w:t>measures</w:t>
      </w:r>
      <w:r w:rsidR="00A70F63" w:rsidRPr="00C10B9C">
        <w:rPr>
          <w:rFonts w:asciiTheme="minorHAnsi" w:hAnsiTheme="minorHAnsi" w:cstheme="minorHAnsi"/>
          <w:szCs w:val="24"/>
          <w:lang w:val="en-US"/>
        </w:rPr>
        <w:t>;</w:t>
      </w:r>
      <w:proofErr w:type="gramEnd"/>
    </w:p>
    <w:p w14:paraId="23489BCF" w14:textId="29D6BB3C" w:rsidR="00453670" w:rsidRPr="00C10B9C" w:rsidRDefault="00453670" w:rsidP="00C10B9C">
      <w:pPr>
        <w:pStyle w:val="enumlev1"/>
        <w:keepNext/>
        <w:tabs>
          <w:tab w:val="clear" w:pos="567"/>
          <w:tab w:val="clear" w:pos="1701"/>
          <w:tab w:val="clear" w:pos="2268"/>
          <w:tab w:val="clear" w:pos="2835"/>
          <w:tab w:val="left" w:pos="1276"/>
        </w:tabs>
        <w:spacing w:before="120" w:after="120"/>
        <w:ind w:left="709" w:firstLine="0"/>
        <w:rPr>
          <w:rFonts w:asciiTheme="minorHAnsi" w:hAnsiTheme="minorHAnsi" w:cstheme="minorHAnsi"/>
          <w:szCs w:val="24"/>
          <w:lang w:val="en-US"/>
        </w:rPr>
      </w:pPr>
      <w:r w:rsidRPr="00C10B9C">
        <w:rPr>
          <w:rFonts w:asciiTheme="minorHAnsi" w:hAnsiTheme="minorHAnsi" w:cstheme="minorHAnsi"/>
          <w:szCs w:val="24"/>
          <w:lang w:val="en-US"/>
        </w:rPr>
        <w:t>ii)</w:t>
      </w:r>
      <w:r w:rsidRPr="00C10B9C">
        <w:rPr>
          <w:rFonts w:asciiTheme="minorHAnsi" w:hAnsiTheme="minorHAnsi" w:cstheme="minorHAnsi"/>
          <w:szCs w:val="24"/>
          <w:lang w:val="en-US"/>
        </w:rPr>
        <w:tab/>
        <w:t xml:space="preserve">Prioritization and efficiency efforts at Bureau/Departmental </w:t>
      </w:r>
      <w:proofErr w:type="gramStart"/>
      <w:r w:rsidRPr="00C10B9C">
        <w:rPr>
          <w:rFonts w:asciiTheme="minorHAnsi" w:hAnsiTheme="minorHAnsi" w:cstheme="minorHAnsi"/>
          <w:szCs w:val="24"/>
          <w:lang w:val="en-US"/>
        </w:rPr>
        <w:t>level</w:t>
      </w:r>
      <w:r w:rsidR="00A70F63" w:rsidRPr="00C10B9C">
        <w:rPr>
          <w:rFonts w:asciiTheme="minorHAnsi" w:hAnsiTheme="minorHAnsi" w:cstheme="minorHAnsi"/>
          <w:szCs w:val="24"/>
          <w:lang w:val="en-US"/>
        </w:rPr>
        <w:t>;</w:t>
      </w:r>
      <w:proofErr w:type="gramEnd"/>
    </w:p>
    <w:p w14:paraId="338E2918" w14:textId="16AECC80" w:rsidR="00453670" w:rsidRPr="00C10B9C" w:rsidRDefault="00453670" w:rsidP="00C10B9C">
      <w:pPr>
        <w:pStyle w:val="enumlev1"/>
        <w:tabs>
          <w:tab w:val="clear" w:pos="567"/>
          <w:tab w:val="clear" w:pos="1701"/>
          <w:tab w:val="clear" w:pos="2268"/>
          <w:tab w:val="clear" w:pos="2835"/>
          <w:tab w:val="left" w:pos="1276"/>
        </w:tabs>
        <w:spacing w:before="120" w:after="120"/>
        <w:ind w:left="709" w:firstLine="0"/>
        <w:rPr>
          <w:rFonts w:asciiTheme="minorHAnsi" w:hAnsiTheme="minorHAnsi" w:cstheme="minorHAnsi"/>
          <w:szCs w:val="24"/>
          <w:lang w:val="en-US"/>
        </w:rPr>
      </w:pPr>
      <w:r w:rsidRPr="00C10B9C">
        <w:rPr>
          <w:rFonts w:asciiTheme="minorHAnsi" w:hAnsiTheme="minorHAnsi" w:cstheme="minorHAnsi"/>
          <w:szCs w:val="24"/>
          <w:lang w:val="en-US"/>
        </w:rPr>
        <w:t>iii)</w:t>
      </w:r>
      <w:r w:rsidRPr="00C10B9C">
        <w:rPr>
          <w:rFonts w:asciiTheme="minorHAnsi" w:hAnsiTheme="minorHAnsi" w:cstheme="minorHAnsi"/>
          <w:szCs w:val="24"/>
          <w:lang w:val="en-US"/>
        </w:rPr>
        <w:tab/>
        <w:t xml:space="preserve">De-prioritization of non-essential </w:t>
      </w:r>
      <w:proofErr w:type="gramStart"/>
      <w:r w:rsidRPr="00C10B9C">
        <w:rPr>
          <w:rFonts w:asciiTheme="minorHAnsi" w:hAnsiTheme="minorHAnsi" w:cstheme="minorHAnsi"/>
          <w:szCs w:val="24"/>
          <w:lang w:val="en-US"/>
        </w:rPr>
        <w:t>activities</w:t>
      </w:r>
      <w:r w:rsidR="00A70F63" w:rsidRPr="00C10B9C">
        <w:rPr>
          <w:rFonts w:asciiTheme="minorHAnsi" w:hAnsiTheme="minorHAnsi" w:cstheme="minorHAnsi"/>
          <w:szCs w:val="24"/>
          <w:lang w:val="en-US"/>
        </w:rPr>
        <w:t>;</w:t>
      </w:r>
      <w:proofErr w:type="gramEnd"/>
      <w:r w:rsidRPr="00C10B9C">
        <w:rPr>
          <w:rFonts w:asciiTheme="minorHAnsi" w:hAnsiTheme="minorHAnsi" w:cstheme="minorHAnsi"/>
          <w:szCs w:val="24"/>
          <w:lang w:val="en-US"/>
        </w:rPr>
        <w:t xml:space="preserve"> </w:t>
      </w:r>
    </w:p>
    <w:p w14:paraId="6FCB4FD6" w14:textId="4AE81787" w:rsidR="00453670" w:rsidRPr="00C10B9C" w:rsidRDefault="00453670" w:rsidP="00C10B9C">
      <w:pPr>
        <w:pStyle w:val="enumlev1"/>
        <w:tabs>
          <w:tab w:val="clear" w:pos="567"/>
          <w:tab w:val="clear" w:pos="1701"/>
          <w:tab w:val="clear" w:pos="2268"/>
          <w:tab w:val="clear" w:pos="2835"/>
          <w:tab w:val="left" w:pos="1276"/>
        </w:tabs>
        <w:spacing w:before="120" w:after="120"/>
        <w:ind w:left="709" w:firstLine="0"/>
        <w:rPr>
          <w:rFonts w:asciiTheme="minorHAnsi" w:hAnsiTheme="minorHAnsi" w:cstheme="minorHAnsi"/>
          <w:szCs w:val="24"/>
          <w:lang w:val="en-US"/>
        </w:rPr>
      </w:pPr>
      <w:r w:rsidRPr="00C10B9C">
        <w:rPr>
          <w:rFonts w:asciiTheme="minorHAnsi" w:hAnsiTheme="minorHAnsi" w:cstheme="minorHAnsi"/>
          <w:szCs w:val="24"/>
          <w:lang w:val="en-US"/>
        </w:rPr>
        <w:t>iv)</w:t>
      </w:r>
      <w:r w:rsidRPr="00C10B9C">
        <w:rPr>
          <w:rFonts w:asciiTheme="minorHAnsi" w:hAnsiTheme="minorHAnsi" w:cstheme="minorHAnsi"/>
          <w:szCs w:val="24"/>
          <w:lang w:val="en-US"/>
        </w:rPr>
        <w:tab/>
        <w:t xml:space="preserve">Delayed recruitment for vacant positions in non-essential </w:t>
      </w:r>
      <w:proofErr w:type="gramStart"/>
      <w:r w:rsidRPr="00C10B9C">
        <w:rPr>
          <w:rFonts w:asciiTheme="minorHAnsi" w:hAnsiTheme="minorHAnsi" w:cstheme="minorHAnsi"/>
          <w:szCs w:val="24"/>
          <w:lang w:val="en-US"/>
        </w:rPr>
        <w:t>activities</w:t>
      </w:r>
      <w:r w:rsidR="00A70F63" w:rsidRPr="00C10B9C">
        <w:rPr>
          <w:rFonts w:asciiTheme="minorHAnsi" w:hAnsiTheme="minorHAnsi" w:cstheme="minorHAnsi"/>
          <w:szCs w:val="24"/>
          <w:lang w:val="en-US"/>
        </w:rPr>
        <w:t>;</w:t>
      </w:r>
      <w:proofErr w:type="gramEnd"/>
    </w:p>
    <w:p w14:paraId="2BD9A9EA" w14:textId="2D92804C" w:rsidR="00685215" w:rsidRPr="00C10B9C" w:rsidRDefault="00453670" w:rsidP="00C10B9C">
      <w:pPr>
        <w:pStyle w:val="Tabletext"/>
        <w:tabs>
          <w:tab w:val="clear" w:pos="284"/>
          <w:tab w:val="clear" w:pos="567"/>
          <w:tab w:val="clear" w:pos="851"/>
          <w:tab w:val="left" w:pos="1134"/>
          <w:tab w:val="left" w:pos="1276"/>
        </w:tabs>
        <w:spacing w:before="120" w:after="120"/>
        <w:ind w:left="709"/>
        <w:rPr>
          <w:rFonts w:asciiTheme="minorHAnsi" w:hAnsiTheme="minorHAnsi" w:cstheme="minorHAnsi"/>
          <w:sz w:val="24"/>
          <w:szCs w:val="24"/>
          <w:highlight w:val="green"/>
        </w:rPr>
      </w:pPr>
      <w:r w:rsidRPr="00C10B9C">
        <w:rPr>
          <w:rFonts w:asciiTheme="minorHAnsi" w:hAnsiTheme="minorHAnsi" w:cstheme="minorHAnsi"/>
          <w:sz w:val="24"/>
          <w:szCs w:val="24"/>
          <w:lang w:val="en-US"/>
        </w:rPr>
        <w:t>v)</w:t>
      </w:r>
      <w:r w:rsidRPr="00C10B9C">
        <w:rPr>
          <w:rFonts w:asciiTheme="minorHAnsi" w:hAnsiTheme="minorHAnsi" w:cstheme="minorHAnsi"/>
          <w:sz w:val="24"/>
          <w:szCs w:val="24"/>
          <w:lang w:val="en-US"/>
        </w:rPr>
        <w:tab/>
        <w:t>Incorporate anticipated gains from ITU resource mobilization efforts.</w:t>
      </w:r>
    </w:p>
    <w:p w14:paraId="7085BEC5" w14:textId="181065DE" w:rsidR="00AB6C44" w:rsidRPr="00C10B9C" w:rsidRDefault="00A70F63" w:rsidP="00C10B9C">
      <w:pPr>
        <w:pStyle w:val="Tabletext"/>
        <w:tabs>
          <w:tab w:val="clear" w:pos="284"/>
          <w:tab w:val="clear" w:pos="567"/>
          <w:tab w:val="clear" w:pos="851"/>
        </w:tabs>
        <w:spacing w:before="120" w:after="120"/>
        <w:rPr>
          <w:rFonts w:asciiTheme="minorHAnsi" w:hAnsiTheme="minorHAnsi" w:cstheme="minorHAnsi"/>
          <w:sz w:val="24"/>
          <w:szCs w:val="24"/>
        </w:rPr>
      </w:pPr>
      <w:r w:rsidRPr="00C10B9C">
        <w:rPr>
          <w:rFonts w:asciiTheme="minorHAnsi" w:hAnsiTheme="minorHAnsi" w:cstheme="minorHAnsi"/>
          <w:sz w:val="24"/>
          <w:szCs w:val="24"/>
        </w:rPr>
        <w:t>8.7</w:t>
      </w:r>
      <w:r w:rsidRPr="00C10B9C">
        <w:rPr>
          <w:rFonts w:asciiTheme="minorHAnsi" w:hAnsiTheme="minorHAnsi" w:cstheme="minorHAnsi"/>
          <w:sz w:val="24"/>
          <w:szCs w:val="24"/>
        </w:rPr>
        <w:tab/>
      </w:r>
      <w:r w:rsidR="00AB6C44" w:rsidRPr="00C10B9C">
        <w:rPr>
          <w:rFonts w:asciiTheme="minorHAnsi" w:hAnsiTheme="minorHAnsi" w:cstheme="minorHAnsi"/>
          <w:sz w:val="24"/>
          <w:szCs w:val="24"/>
        </w:rPr>
        <w:t>It should be noted that there is a lack of revenues, particularly on cost recovery. Following discussions with delegates on this document, ITU management undertook to present a balanced draft budget for the period 2026-2027 in the coming weeks.</w:t>
      </w:r>
    </w:p>
    <w:p w14:paraId="68958B2A" w14:textId="47652060" w:rsidR="00AB6C44" w:rsidRPr="00C10B9C" w:rsidRDefault="00A70F63"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t>8.8</w:t>
      </w:r>
      <w:r w:rsidRPr="00C10B9C">
        <w:rPr>
          <w:rFonts w:asciiTheme="minorHAnsi" w:hAnsiTheme="minorHAnsi" w:cstheme="minorHAnsi"/>
          <w:szCs w:val="24"/>
        </w:rPr>
        <w:tab/>
      </w:r>
      <w:r w:rsidR="00AB6C44" w:rsidRPr="00C10B9C">
        <w:rPr>
          <w:rFonts w:asciiTheme="minorHAnsi" w:hAnsiTheme="minorHAnsi" w:cstheme="minorHAnsi"/>
          <w:szCs w:val="24"/>
        </w:rPr>
        <w:t xml:space="preserve">The </w:t>
      </w:r>
      <w:r w:rsidR="00BB3C61" w:rsidRPr="00C10B9C">
        <w:rPr>
          <w:rFonts w:asciiTheme="minorHAnsi" w:hAnsiTheme="minorHAnsi" w:cstheme="minorHAnsi"/>
          <w:szCs w:val="24"/>
        </w:rPr>
        <w:t>CWG-FHR</w:t>
      </w:r>
      <w:r w:rsidR="00AB6C44" w:rsidRPr="00C10B9C">
        <w:rPr>
          <w:rFonts w:asciiTheme="minorHAnsi" w:hAnsiTheme="minorHAnsi" w:cstheme="minorHAnsi"/>
          <w:szCs w:val="24"/>
        </w:rPr>
        <w:t xml:space="preserve"> took note of this document, and the approaches taken by ITU to fund its activities within the agreed resources available through ITU’s regular budget.</w:t>
      </w:r>
    </w:p>
    <w:p w14:paraId="4A58DEEA" w14:textId="3D18F835" w:rsidR="00685215" w:rsidRPr="00C10B9C" w:rsidRDefault="00285A8E" w:rsidP="000D2039">
      <w:pPr>
        <w:pStyle w:val="Tabletext"/>
        <w:tabs>
          <w:tab w:val="clear" w:pos="284"/>
          <w:tab w:val="clear" w:pos="567"/>
        </w:tabs>
        <w:spacing w:before="480" w:after="120"/>
        <w:ind w:left="851" w:hanging="851"/>
        <w:rPr>
          <w:rFonts w:asciiTheme="minorHAnsi" w:hAnsiTheme="minorHAnsi" w:cstheme="minorHAnsi"/>
          <w:sz w:val="24"/>
          <w:szCs w:val="24"/>
        </w:rPr>
      </w:pPr>
      <w:r w:rsidRPr="00C10B9C">
        <w:rPr>
          <w:rFonts w:asciiTheme="minorHAnsi" w:hAnsiTheme="minorHAnsi" w:cstheme="minorHAnsi"/>
          <w:b/>
          <w:bCs/>
          <w:sz w:val="24"/>
          <w:szCs w:val="24"/>
        </w:rPr>
        <w:t>9</w:t>
      </w:r>
      <w:r w:rsidR="00685215" w:rsidRPr="00C10B9C">
        <w:rPr>
          <w:rFonts w:asciiTheme="minorHAnsi" w:hAnsiTheme="minorHAnsi" w:cstheme="minorHAnsi"/>
          <w:b/>
          <w:bCs/>
          <w:sz w:val="24"/>
          <w:szCs w:val="24"/>
        </w:rPr>
        <w:tab/>
        <w:t>Full cost – Processing of space notices – Document </w:t>
      </w:r>
      <w:hyperlink r:id="rId18" w:history="1">
        <w:r w:rsidR="00685215" w:rsidRPr="00C10B9C">
          <w:rPr>
            <w:rStyle w:val="Hyperlink"/>
            <w:rFonts w:asciiTheme="minorHAnsi" w:hAnsiTheme="minorHAnsi" w:cstheme="minorHAnsi"/>
            <w:b/>
            <w:bCs/>
            <w:sz w:val="24"/>
            <w:szCs w:val="24"/>
          </w:rPr>
          <w:t>CWG-FHR-20/10</w:t>
        </w:r>
      </w:hyperlink>
    </w:p>
    <w:p w14:paraId="3F27FD95" w14:textId="335B968B" w:rsidR="008064B1" w:rsidRPr="00C10B9C" w:rsidRDefault="002272D0" w:rsidP="00C10B9C">
      <w:pPr>
        <w:tabs>
          <w:tab w:val="clear" w:pos="567"/>
          <w:tab w:val="left" w:pos="851"/>
        </w:tabs>
        <w:spacing w:after="120"/>
        <w:jc w:val="both"/>
        <w:rPr>
          <w:rFonts w:asciiTheme="minorHAnsi" w:hAnsiTheme="minorHAnsi" w:cstheme="minorHAnsi"/>
          <w:szCs w:val="24"/>
        </w:rPr>
      </w:pPr>
      <w:r w:rsidRPr="00C10B9C">
        <w:rPr>
          <w:rFonts w:asciiTheme="minorHAnsi" w:hAnsiTheme="minorHAnsi" w:cstheme="minorHAnsi"/>
          <w:szCs w:val="24"/>
        </w:rPr>
        <w:t>9.1</w:t>
      </w:r>
      <w:r w:rsidRPr="00C10B9C">
        <w:rPr>
          <w:rFonts w:asciiTheme="minorHAnsi" w:hAnsiTheme="minorHAnsi" w:cstheme="minorHAnsi"/>
          <w:szCs w:val="24"/>
        </w:rPr>
        <w:tab/>
      </w:r>
      <w:r w:rsidR="008064B1" w:rsidRPr="00C10B9C">
        <w:rPr>
          <w:rFonts w:asciiTheme="minorHAnsi" w:hAnsiTheme="minorHAnsi" w:cstheme="minorHAnsi"/>
          <w:szCs w:val="24"/>
        </w:rPr>
        <w:t xml:space="preserve">The secretariat presented </w:t>
      </w:r>
      <w:r w:rsidRPr="00C10B9C">
        <w:rPr>
          <w:rFonts w:asciiTheme="minorHAnsi" w:hAnsiTheme="minorHAnsi" w:cstheme="minorHAnsi"/>
          <w:szCs w:val="24"/>
        </w:rPr>
        <w:t>D</w:t>
      </w:r>
      <w:r w:rsidR="008064B1" w:rsidRPr="00C10B9C">
        <w:rPr>
          <w:rFonts w:asciiTheme="minorHAnsi" w:hAnsiTheme="minorHAnsi" w:cstheme="minorHAnsi"/>
          <w:szCs w:val="24"/>
        </w:rPr>
        <w:t>ocument CWG-FHR 20/10.</w:t>
      </w:r>
    </w:p>
    <w:p w14:paraId="43540BCE" w14:textId="0D97E615" w:rsidR="008064B1" w:rsidRPr="00C10B9C" w:rsidRDefault="002272D0" w:rsidP="00C10B9C">
      <w:pPr>
        <w:tabs>
          <w:tab w:val="clear" w:pos="567"/>
          <w:tab w:val="left" w:pos="851"/>
        </w:tabs>
        <w:spacing w:after="120"/>
        <w:rPr>
          <w:rFonts w:asciiTheme="minorHAnsi" w:hAnsiTheme="minorHAnsi" w:cstheme="minorHAnsi"/>
          <w:szCs w:val="24"/>
        </w:rPr>
      </w:pPr>
      <w:r w:rsidRPr="00C10B9C">
        <w:rPr>
          <w:rFonts w:asciiTheme="minorHAnsi" w:hAnsiTheme="minorHAnsi" w:cstheme="minorHAnsi"/>
          <w:szCs w:val="24"/>
        </w:rPr>
        <w:t>9.2</w:t>
      </w:r>
      <w:r w:rsidRPr="00C10B9C">
        <w:rPr>
          <w:rFonts w:asciiTheme="minorHAnsi" w:hAnsiTheme="minorHAnsi" w:cstheme="minorHAnsi"/>
          <w:szCs w:val="24"/>
        </w:rPr>
        <w:tab/>
      </w:r>
      <w:r w:rsidR="008064B1" w:rsidRPr="00C10B9C">
        <w:rPr>
          <w:rFonts w:asciiTheme="minorHAnsi" w:hAnsiTheme="minorHAnsi" w:cstheme="minorHAnsi"/>
          <w:szCs w:val="24"/>
        </w:rPr>
        <w:t>The purpose of this document is to provide the breakdown of the 2024 budget full cost of the processing of space notices by category of filling. This full cost is calculated based on the cost allocation methodology described in Council Decision 535. Resolution 91 (Rev.</w:t>
      </w:r>
      <w:r w:rsidR="000A70D7" w:rsidRPr="00C10B9C">
        <w:rPr>
          <w:rFonts w:asciiTheme="minorHAnsi" w:hAnsiTheme="minorHAnsi" w:cstheme="minorHAnsi"/>
          <w:szCs w:val="24"/>
        </w:rPr>
        <w:t> </w:t>
      </w:r>
      <w:r w:rsidR="008064B1" w:rsidRPr="00C10B9C">
        <w:rPr>
          <w:rFonts w:asciiTheme="minorHAnsi" w:hAnsiTheme="minorHAnsi" w:cstheme="minorHAnsi"/>
          <w:szCs w:val="24"/>
        </w:rPr>
        <w:t>Guadalajara, 2010) states</w:t>
      </w:r>
      <w:r w:rsidRPr="00C10B9C">
        <w:rPr>
          <w:rFonts w:asciiTheme="minorHAnsi" w:hAnsiTheme="minorHAnsi" w:cstheme="minorHAnsi"/>
          <w:szCs w:val="24"/>
        </w:rPr>
        <w:t>,</w:t>
      </w:r>
      <w:r w:rsidR="008064B1" w:rsidRPr="00C10B9C">
        <w:rPr>
          <w:rFonts w:asciiTheme="minorHAnsi" w:hAnsiTheme="minorHAnsi" w:cstheme="minorHAnsi"/>
          <w:szCs w:val="24"/>
        </w:rPr>
        <w:t xml:space="preserve"> </w:t>
      </w:r>
      <w:r w:rsidR="008064B1" w:rsidRPr="00C10B9C">
        <w:rPr>
          <w:rFonts w:asciiTheme="minorHAnsi" w:hAnsiTheme="minorHAnsi" w:cstheme="minorHAnsi"/>
          <w:i/>
          <w:iCs/>
          <w:szCs w:val="24"/>
        </w:rPr>
        <w:t>inter alia</w:t>
      </w:r>
      <w:r w:rsidRPr="00C10B9C">
        <w:rPr>
          <w:rFonts w:asciiTheme="minorHAnsi" w:hAnsiTheme="minorHAnsi" w:cstheme="minorHAnsi"/>
          <w:i/>
          <w:iCs/>
          <w:szCs w:val="24"/>
        </w:rPr>
        <w:t>,</w:t>
      </w:r>
      <w:r w:rsidR="008064B1" w:rsidRPr="00C10B9C">
        <w:rPr>
          <w:rFonts w:asciiTheme="minorHAnsi" w:hAnsiTheme="minorHAnsi" w:cstheme="minorHAnsi"/>
          <w:szCs w:val="24"/>
        </w:rPr>
        <w:t xml:space="preserve"> that the Council should “continue developing appropriate charges based on full attribution of the costs of providing the service”. It is in this framework and to support the work undertaken by the Council Expert Group on Decision 482 that this document is prepared.</w:t>
      </w:r>
      <w:r w:rsidR="00BB3C61" w:rsidRPr="00C10B9C">
        <w:rPr>
          <w:rFonts w:asciiTheme="minorHAnsi" w:hAnsiTheme="minorHAnsi" w:cstheme="minorHAnsi"/>
          <w:szCs w:val="24"/>
        </w:rPr>
        <w:t xml:space="preserve"> </w:t>
      </w:r>
      <w:r w:rsidR="008064B1" w:rsidRPr="00C10B9C">
        <w:rPr>
          <w:rFonts w:asciiTheme="minorHAnsi" w:hAnsiTheme="minorHAnsi" w:cstheme="minorHAnsi"/>
          <w:szCs w:val="24"/>
        </w:rPr>
        <w:t>Several delegations expressed their concerns about the full cost recovery.</w:t>
      </w:r>
    </w:p>
    <w:p w14:paraId="0A569892" w14:textId="7EE00C1E" w:rsidR="008064B1" w:rsidRPr="00C10B9C" w:rsidRDefault="002272D0" w:rsidP="00C10B9C">
      <w:pPr>
        <w:tabs>
          <w:tab w:val="clear" w:pos="567"/>
          <w:tab w:val="left" w:pos="851"/>
        </w:tabs>
        <w:spacing w:after="120"/>
        <w:rPr>
          <w:rFonts w:asciiTheme="minorHAnsi" w:eastAsiaTheme="minorEastAsia" w:hAnsiTheme="minorHAnsi" w:cstheme="minorHAnsi"/>
          <w:szCs w:val="24"/>
        </w:rPr>
      </w:pPr>
      <w:r w:rsidRPr="00C10B9C">
        <w:rPr>
          <w:rFonts w:asciiTheme="minorHAnsi" w:hAnsiTheme="minorHAnsi" w:cstheme="minorHAnsi"/>
          <w:szCs w:val="24"/>
        </w:rPr>
        <w:t>9.3</w:t>
      </w:r>
      <w:r w:rsidRPr="00C10B9C">
        <w:rPr>
          <w:rFonts w:asciiTheme="minorHAnsi" w:hAnsiTheme="minorHAnsi" w:cstheme="minorHAnsi"/>
          <w:szCs w:val="24"/>
        </w:rPr>
        <w:tab/>
      </w:r>
      <w:r w:rsidR="008064B1" w:rsidRPr="00C10B9C">
        <w:rPr>
          <w:rFonts w:asciiTheme="minorHAnsi" w:hAnsiTheme="minorHAnsi" w:cstheme="minorHAnsi"/>
          <w:szCs w:val="24"/>
        </w:rPr>
        <w:t xml:space="preserve">The Council Working Group on financial and human resources took note of this document </w:t>
      </w:r>
      <w:r w:rsidRPr="00C10B9C">
        <w:rPr>
          <w:rFonts w:asciiTheme="minorHAnsi" w:hAnsiTheme="minorHAnsi" w:cstheme="minorHAnsi"/>
          <w:szCs w:val="24"/>
        </w:rPr>
        <w:t xml:space="preserve">pending </w:t>
      </w:r>
      <w:r w:rsidR="008064B1" w:rsidRPr="00C10B9C">
        <w:rPr>
          <w:rFonts w:asciiTheme="minorHAnsi" w:hAnsiTheme="minorHAnsi" w:cstheme="minorHAnsi"/>
          <w:szCs w:val="24"/>
        </w:rPr>
        <w:t xml:space="preserve">the report of </w:t>
      </w:r>
      <w:r w:rsidRPr="00C10B9C">
        <w:rPr>
          <w:rFonts w:asciiTheme="minorHAnsi" w:hAnsiTheme="minorHAnsi" w:cstheme="minorHAnsi"/>
          <w:szCs w:val="24"/>
        </w:rPr>
        <w:t xml:space="preserve">the </w:t>
      </w:r>
      <w:r w:rsidR="008064B1" w:rsidRPr="00C10B9C">
        <w:rPr>
          <w:rFonts w:asciiTheme="minorHAnsi" w:hAnsiTheme="minorHAnsi" w:cstheme="minorHAnsi"/>
          <w:szCs w:val="24"/>
        </w:rPr>
        <w:t xml:space="preserve">Expert Group on Decision 482 that will be communicated in April 2025 </w:t>
      </w:r>
      <w:r w:rsidR="005B701C" w:rsidRPr="00C10B9C">
        <w:rPr>
          <w:rFonts w:asciiTheme="minorHAnsi" w:hAnsiTheme="minorHAnsi" w:cstheme="minorHAnsi"/>
          <w:szCs w:val="24"/>
        </w:rPr>
        <w:t xml:space="preserve">and </w:t>
      </w:r>
      <w:r w:rsidR="008064B1" w:rsidRPr="00C10B9C">
        <w:rPr>
          <w:rFonts w:asciiTheme="minorHAnsi" w:hAnsiTheme="minorHAnsi" w:cstheme="minorHAnsi"/>
          <w:szCs w:val="24"/>
        </w:rPr>
        <w:t>provide guidance to Council 2025.</w:t>
      </w:r>
    </w:p>
    <w:p w14:paraId="2BE1059D" w14:textId="177AB5AF" w:rsidR="00685215" w:rsidRPr="00C10B9C" w:rsidRDefault="00285A8E" w:rsidP="000D2039">
      <w:pPr>
        <w:pStyle w:val="Tabletext"/>
        <w:tabs>
          <w:tab w:val="clear" w:pos="284"/>
          <w:tab w:val="clear" w:pos="567"/>
        </w:tabs>
        <w:spacing w:before="480" w:after="120"/>
        <w:ind w:left="851" w:hanging="851"/>
        <w:rPr>
          <w:rFonts w:asciiTheme="minorHAnsi" w:hAnsiTheme="minorHAnsi" w:cstheme="minorHAnsi"/>
          <w:b/>
          <w:bCs/>
          <w:sz w:val="24"/>
          <w:szCs w:val="24"/>
        </w:rPr>
      </w:pPr>
      <w:bookmarkStart w:id="12" w:name="_Hlk191477948"/>
      <w:bookmarkEnd w:id="11"/>
      <w:r w:rsidRPr="00C10B9C">
        <w:rPr>
          <w:rFonts w:asciiTheme="minorHAnsi" w:hAnsiTheme="minorHAnsi" w:cstheme="minorHAnsi"/>
          <w:b/>
          <w:bCs/>
          <w:sz w:val="24"/>
          <w:szCs w:val="24"/>
        </w:rPr>
        <w:lastRenderedPageBreak/>
        <w:t>10</w:t>
      </w:r>
      <w:r w:rsidR="00685215" w:rsidRPr="00C10B9C">
        <w:rPr>
          <w:rFonts w:asciiTheme="minorHAnsi" w:hAnsiTheme="minorHAnsi" w:cstheme="minorHAnsi"/>
          <w:b/>
          <w:bCs/>
          <w:sz w:val="24"/>
          <w:szCs w:val="24"/>
        </w:rPr>
        <w:tab/>
        <w:t>Contribution by Asia Satellite Telecommunications Co. Ltd. (</w:t>
      </w:r>
      <w:proofErr w:type="spellStart"/>
      <w:r w:rsidR="00685215" w:rsidRPr="00C10B9C">
        <w:rPr>
          <w:rFonts w:asciiTheme="minorHAnsi" w:hAnsiTheme="minorHAnsi" w:cstheme="minorHAnsi"/>
          <w:b/>
          <w:bCs/>
          <w:sz w:val="24"/>
          <w:szCs w:val="24"/>
        </w:rPr>
        <w:t>AsiaSat</w:t>
      </w:r>
      <w:proofErr w:type="spellEnd"/>
      <w:r w:rsidR="00685215" w:rsidRPr="00C10B9C">
        <w:rPr>
          <w:rFonts w:asciiTheme="minorHAnsi" w:hAnsiTheme="minorHAnsi" w:cstheme="minorHAnsi"/>
          <w:b/>
          <w:bCs/>
          <w:sz w:val="24"/>
          <w:szCs w:val="24"/>
        </w:rPr>
        <w:t>) - Processing of notices for satellite networks and systems – Document </w:t>
      </w:r>
      <w:hyperlink r:id="rId19" w:history="1">
        <w:r w:rsidR="00685215" w:rsidRPr="00C10B9C">
          <w:rPr>
            <w:rStyle w:val="Hyperlink"/>
            <w:rFonts w:asciiTheme="minorHAnsi" w:hAnsiTheme="minorHAnsi" w:cstheme="minorHAnsi"/>
            <w:b/>
            <w:bCs/>
            <w:sz w:val="24"/>
            <w:szCs w:val="24"/>
          </w:rPr>
          <w:t>CWG-FHR-20/23</w:t>
        </w:r>
      </w:hyperlink>
    </w:p>
    <w:p w14:paraId="7AD96D94" w14:textId="051DD7EC" w:rsidR="00B32494" w:rsidRPr="00C10B9C" w:rsidRDefault="00B32494" w:rsidP="00C10B9C">
      <w:pPr>
        <w:pStyle w:val="Tabletext"/>
        <w:tabs>
          <w:tab w:val="clear" w:pos="567"/>
        </w:tabs>
        <w:spacing w:before="120" w:after="120"/>
        <w:rPr>
          <w:rFonts w:asciiTheme="minorHAnsi" w:hAnsiTheme="minorHAnsi" w:cstheme="minorHAnsi"/>
          <w:sz w:val="24"/>
          <w:szCs w:val="24"/>
        </w:rPr>
      </w:pPr>
      <w:r w:rsidRPr="00C10B9C">
        <w:rPr>
          <w:rFonts w:asciiTheme="minorHAnsi" w:hAnsiTheme="minorHAnsi" w:cstheme="minorHAnsi"/>
          <w:sz w:val="24"/>
          <w:szCs w:val="24"/>
        </w:rPr>
        <w:t>10.1</w:t>
      </w:r>
      <w:r w:rsidRPr="00C10B9C">
        <w:rPr>
          <w:rFonts w:asciiTheme="minorHAnsi" w:hAnsiTheme="minorHAnsi" w:cstheme="minorHAnsi"/>
          <w:sz w:val="24"/>
          <w:szCs w:val="24"/>
        </w:rPr>
        <w:tab/>
        <w:t xml:space="preserve">A representative of </w:t>
      </w:r>
      <w:proofErr w:type="spellStart"/>
      <w:r w:rsidRPr="00C10B9C">
        <w:rPr>
          <w:rFonts w:asciiTheme="minorHAnsi" w:hAnsiTheme="minorHAnsi" w:cstheme="minorHAnsi"/>
          <w:sz w:val="24"/>
          <w:szCs w:val="24"/>
        </w:rPr>
        <w:t>AsiaSat</w:t>
      </w:r>
      <w:proofErr w:type="spellEnd"/>
      <w:r w:rsidRPr="00C10B9C">
        <w:rPr>
          <w:rFonts w:asciiTheme="minorHAnsi" w:hAnsiTheme="minorHAnsi" w:cstheme="minorHAnsi"/>
          <w:sz w:val="24"/>
          <w:szCs w:val="24"/>
        </w:rPr>
        <w:t xml:space="preserve"> introduced Document CWG-FHR-20/23 which contains three main considerations: </w:t>
      </w:r>
    </w:p>
    <w:p w14:paraId="2E2D55AD" w14:textId="22155671" w:rsidR="00B32494" w:rsidRPr="00C10B9C" w:rsidRDefault="00B32494" w:rsidP="00C10B9C">
      <w:pPr>
        <w:pStyle w:val="Tabletext"/>
        <w:tabs>
          <w:tab w:val="clear" w:pos="284"/>
          <w:tab w:val="clear" w:pos="567"/>
          <w:tab w:val="left" w:pos="1134"/>
        </w:tabs>
        <w:spacing w:before="120" w:after="120"/>
        <w:rPr>
          <w:rFonts w:asciiTheme="minorHAnsi" w:hAnsiTheme="minorHAnsi" w:cstheme="minorHAnsi"/>
          <w:sz w:val="24"/>
          <w:szCs w:val="24"/>
        </w:rPr>
      </w:pPr>
      <w:r w:rsidRPr="00C10B9C">
        <w:rPr>
          <w:rFonts w:asciiTheme="minorHAnsi" w:hAnsiTheme="minorHAnsi" w:cstheme="minorHAnsi"/>
          <w:sz w:val="24"/>
          <w:szCs w:val="24"/>
        </w:rPr>
        <w:tab/>
        <w:t>1)</w:t>
      </w:r>
      <w:r w:rsidRPr="00C10B9C">
        <w:rPr>
          <w:rFonts w:asciiTheme="minorHAnsi" w:hAnsiTheme="minorHAnsi" w:cstheme="minorHAnsi"/>
          <w:sz w:val="24"/>
          <w:szCs w:val="24"/>
        </w:rPr>
        <w:tab/>
        <w:t xml:space="preserve">what should be recovered through satellite filing </w:t>
      </w:r>
      <w:proofErr w:type="gramStart"/>
      <w:r w:rsidRPr="00C10B9C">
        <w:rPr>
          <w:rFonts w:asciiTheme="minorHAnsi" w:hAnsiTheme="minorHAnsi" w:cstheme="minorHAnsi"/>
          <w:sz w:val="24"/>
          <w:szCs w:val="24"/>
        </w:rPr>
        <w:t>charges;</w:t>
      </w:r>
      <w:proofErr w:type="gramEnd"/>
    </w:p>
    <w:p w14:paraId="77D81CDB" w14:textId="0AF84CA5" w:rsidR="00B32494" w:rsidRPr="00C10B9C" w:rsidRDefault="00B32494" w:rsidP="00C10B9C">
      <w:pPr>
        <w:pStyle w:val="Tabletext"/>
        <w:tabs>
          <w:tab w:val="clear" w:pos="284"/>
          <w:tab w:val="clear" w:pos="567"/>
          <w:tab w:val="left" w:pos="1134"/>
        </w:tabs>
        <w:spacing w:before="120" w:after="120"/>
        <w:ind w:left="1134" w:hanging="1134"/>
        <w:rPr>
          <w:rFonts w:asciiTheme="minorHAnsi" w:hAnsiTheme="minorHAnsi" w:cstheme="minorHAnsi"/>
          <w:sz w:val="24"/>
          <w:szCs w:val="24"/>
        </w:rPr>
      </w:pPr>
      <w:r w:rsidRPr="00C10B9C">
        <w:rPr>
          <w:rFonts w:asciiTheme="minorHAnsi" w:hAnsiTheme="minorHAnsi" w:cstheme="minorHAnsi"/>
          <w:sz w:val="24"/>
          <w:szCs w:val="24"/>
        </w:rPr>
        <w:tab/>
        <w:t>2)</w:t>
      </w:r>
      <w:r w:rsidRPr="00C10B9C">
        <w:rPr>
          <w:rFonts w:asciiTheme="minorHAnsi" w:hAnsiTheme="minorHAnsi" w:cstheme="minorHAnsi"/>
          <w:sz w:val="24"/>
          <w:szCs w:val="24"/>
        </w:rPr>
        <w:tab/>
        <w:t>what is to be recovered and what is a reasonable percentage to be attributed to indirect costs; and</w:t>
      </w:r>
    </w:p>
    <w:p w14:paraId="24532884" w14:textId="28F2C886" w:rsidR="00B32494" w:rsidRPr="00C10B9C" w:rsidRDefault="00B32494" w:rsidP="00C10B9C">
      <w:pPr>
        <w:pStyle w:val="Tabletext"/>
        <w:tabs>
          <w:tab w:val="clear" w:pos="284"/>
          <w:tab w:val="clear" w:pos="567"/>
          <w:tab w:val="left" w:pos="1134"/>
        </w:tabs>
        <w:spacing w:before="120" w:after="120"/>
        <w:rPr>
          <w:rFonts w:asciiTheme="minorHAnsi" w:hAnsiTheme="minorHAnsi" w:cstheme="minorHAnsi"/>
          <w:sz w:val="24"/>
          <w:szCs w:val="24"/>
        </w:rPr>
      </w:pPr>
      <w:r w:rsidRPr="00C10B9C">
        <w:rPr>
          <w:rFonts w:asciiTheme="minorHAnsi" w:hAnsiTheme="minorHAnsi" w:cstheme="minorHAnsi"/>
          <w:sz w:val="24"/>
          <w:szCs w:val="24"/>
        </w:rPr>
        <w:tab/>
        <w:t>3)</w:t>
      </w:r>
      <w:r w:rsidRPr="00C10B9C">
        <w:rPr>
          <w:rFonts w:asciiTheme="minorHAnsi" w:hAnsiTheme="minorHAnsi" w:cstheme="minorHAnsi"/>
          <w:sz w:val="24"/>
          <w:szCs w:val="24"/>
        </w:rPr>
        <w:tab/>
        <w:t>financing and requirements for free filings.</w:t>
      </w:r>
    </w:p>
    <w:p w14:paraId="0B2060C9" w14:textId="62DD8236" w:rsidR="00B32494" w:rsidRPr="00C10B9C" w:rsidRDefault="00B32494" w:rsidP="00C10B9C">
      <w:pPr>
        <w:pStyle w:val="Tabletext"/>
        <w:tabs>
          <w:tab w:val="clear" w:pos="284"/>
          <w:tab w:val="clear" w:pos="567"/>
        </w:tabs>
        <w:spacing w:before="120" w:after="120"/>
        <w:rPr>
          <w:rFonts w:asciiTheme="minorHAnsi" w:hAnsiTheme="minorHAnsi" w:cstheme="minorHAnsi"/>
          <w:sz w:val="24"/>
          <w:szCs w:val="24"/>
        </w:rPr>
      </w:pPr>
      <w:r w:rsidRPr="00C10B9C">
        <w:rPr>
          <w:rFonts w:asciiTheme="minorHAnsi" w:hAnsiTheme="minorHAnsi" w:cstheme="minorHAnsi"/>
          <w:sz w:val="24"/>
          <w:szCs w:val="24"/>
        </w:rPr>
        <w:t>10.2</w:t>
      </w:r>
      <w:r w:rsidRPr="00C10B9C">
        <w:rPr>
          <w:rFonts w:asciiTheme="minorHAnsi" w:hAnsiTheme="minorHAnsi" w:cstheme="minorHAnsi"/>
          <w:sz w:val="24"/>
          <w:szCs w:val="24"/>
        </w:rPr>
        <w:tab/>
        <w:t>Following this introduction, several delegates took the floor to highlight the importance of maintaining the mechanism of allocating one free filing per country and per year. Moreover, it was highlighted that the extent of costs to be recovered through Council Decision 482 should be determined in accordance with PP Resolution 91</w:t>
      </w:r>
      <w:r w:rsidR="00A2434E" w:rsidRPr="00C10B9C">
        <w:rPr>
          <w:rFonts w:asciiTheme="minorHAnsi" w:hAnsiTheme="minorHAnsi" w:cstheme="minorHAnsi"/>
          <w:sz w:val="24"/>
          <w:szCs w:val="24"/>
        </w:rPr>
        <w:t xml:space="preserve"> (Rev.</w:t>
      </w:r>
      <w:r w:rsidR="00F81B4B" w:rsidRPr="00C10B9C">
        <w:rPr>
          <w:rFonts w:asciiTheme="minorHAnsi" w:hAnsiTheme="minorHAnsi" w:cstheme="minorHAnsi"/>
          <w:sz w:val="24"/>
          <w:szCs w:val="24"/>
        </w:rPr>
        <w:t> </w:t>
      </w:r>
      <w:r w:rsidR="00A2434E" w:rsidRPr="00C10B9C">
        <w:rPr>
          <w:rFonts w:asciiTheme="minorHAnsi" w:hAnsiTheme="minorHAnsi" w:cstheme="minorHAnsi"/>
          <w:sz w:val="24"/>
          <w:szCs w:val="24"/>
        </w:rPr>
        <w:t>Guadalajara,</w:t>
      </w:r>
      <w:r w:rsidR="00F81B4B" w:rsidRPr="00C10B9C">
        <w:rPr>
          <w:rFonts w:asciiTheme="minorHAnsi" w:hAnsiTheme="minorHAnsi" w:cstheme="minorHAnsi"/>
          <w:sz w:val="24"/>
          <w:szCs w:val="24"/>
        </w:rPr>
        <w:t> </w:t>
      </w:r>
      <w:r w:rsidR="00A2434E" w:rsidRPr="00C10B9C">
        <w:rPr>
          <w:rFonts w:asciiTheme="minorHAnsi" w:hAnsiTheme="minorHAnsi" w:cstheme="minorHAnsi"/>
          <w:sz w:val="24"/>
          <w:szCs w:val="24"/>
        </w:rPr>
        <w:t>2010)</w:t>
      </w:r>
      <w:r w:rsidRPr="00C10B9C">
        <w:rPr>
          <w:rFonts w:asciiTheme="minorHAnsi" w:hAnsiTheme="minorHAnsi" w:cstheme="minorHAnsi"/>
          <w:sz w:val="24"/>
          <w:szCs w:val="24"/>
        </w:rPr>
        <w:t>. Finally, several delegates insisted on the need to wait for the final report of the Expert Group on Decision 482 before revisions to Decision 482 can be considered by Council.</w:t>
      </w:r>
    </w:p>
    <w:p w14:paraId="4D1E3183" w14:textId="2ECFCA21" w:rsidR="00685215" w:rsidRPr="00C10B9C" w:rsidRDefault="00685215" w:rsidP="000D2039">
      <w:pPr>
        <w:pStyle w:val="Tabletext"/>
        <w:tabs>
          <w:tab w:val="clear" w:pos="284"/>
          <w:tab w:val="clear" w:pos="567"/>
        </w:tabs>
        <w:spacing w:before="480" w:after="120"/>
        <w:rPr>
          <w:rFonts w:asciiTheme="minorHAnsi" w:hAnsiTheme="minorHAnsi" w:cstheme="minorHAnsi"/>
          <w:b/>
          <w:bCs/>
          <w:sz w:val="24"/>
          <w:szCs w:val="24"/>
        </w:rPr>
      </w:pPr>
      <w:r w:rsidRPr="00C10B9C">
        <w:rPr>
          <w:rFonts w:asciiTheme="minorHAnsi" w:hAnsiTheme="minorHAnsi" w:cstheme="minorHAnsi"/>
          <w:b/>
          <w:bCs/>
          <w:sz w:val="24"/>
          <w:szCs w:val="24"/>
        </w:rPr>
        <w:t>1</w:t>
      </w:r>
      <w:r w:rsidR="00285A8E" w:rsidRPr="00C10B9C">
        <w:rPr>
          <w:rFonts w:asciiTheme="minorHAnsi" w:hAnsiTheme="minorHAnsi" w:cstheme="minorHAnsi"/>
          <w:b/>
          <w:bCs/>
          <w:sz w:val="24"/>
          <w:szCs w:val="24"/>
        </w:rPr>
        <w:t>1</w:t>
      </w:r>
      <w:r w:rsidRPr="00C10B9C">
        <w:rPr>
          <w:rFonts w:asciiTheme="minorHAnsi" w:hAnsiTheme="minorHAnsi" w:cstheme="minorHAnsi"/>
          <w:sz w:val="24"/>
          <w:szCs w:val="24"/>
        </w:rPr>
        <w:tab/>
      </w:r>
      <w:r w:rsidRPr="00C10B9C">
        <w:rPr>
          <w:rFonts w:asciiTheme="minorHAnsi" w:hAnsiTheme="minorHAnsi" w:cstheme="minorHAnsi"/>
          <w:b/>
          <w:bCs/>
          <w:sz w:val="24"/>
          <w:szCs w:val="24"/>
        </w:rPr>
        <w:t xml:space="preserve">Interim report from the Expert Group on Decision 482 – Document </w:t>
      </w:r>
      <w:hyperlink r:id="rId20" w:history="1">
        <w:r w:rsidRPr="00C10B9C">
          <w:rPr>
            <w:rStyle w:val="Hyperlink"/>
            <w:rFonts w:asciiTheme="minorHAnsi" w:hAnsiTheme="minorHAnsi" w:cstheme="minorHAnsi"/>
            <w:b/>
            <w:bCs/>
            <w:sz w:val="24"/>
            <w:szCs w:val="24"/>
          </w:rPr>
          <w:t>CWG-FHR-20/6</w:t>
        </w:r>
      </w:hyperlink>
    </w:p>
    <w:p w14:paraId="485F13A8" w14:textId="12B50C4A" w:rsidR="00C548B7" w:rsidRPr="00C10B9C" w:rsidRDefault="00C548B7" w:rsidP="00C10B9C">
      <w:pPr>
        <w:pStyle w:val="Tabletext"/>
        <w:tabs>
          <w:tab w:val="clear" w:pos="284"/>
          <w:tab w:val="clear" w:pos="567"/>
          <w:tab w:val="clear" w:pos="851"/>
        </w:tabs>
        <w:spacing w:before="120" w:after="120"/>
        <w:rPr>
          <w:rFonts w:asciiTheme="minorHAnsi" w:hAnsiTheme="minorHAnsi" w:cstheme="minorHAnsi"/>
          <w:sz w:val="24"/>
          <w:szCs w:val="24"/>
        </w:rPr>
      </w:pPr>
      <w:r w:rsidRPr="00C10B9C">
        <w:rPr>
          <w:rFonts w:asciiTheme="minorHAnsi" w:hAnsiTheme="minorHAnsi" w:cstheme="minorHAnsi"/>
          <w:sz w:val="24"/>
          <w:szCs w:val="24"/>
        </w:rPr>
        <w:t>11.1</w:t>
      </w:r>
      <w:r w:rsidRPr="00C10B9C">
        <w:rPr>
          <w:rFonts w:asciiTheme="minorHAnsi" w:hAnsiTheme="minorHAnsi" w:cstheme="minorHAnsi"/>
          <w:sz w:val="24"/>
          <w:szCs w:val="24"/>
        </w:rPr>
        <w:tab/>
        <w:t xml:space="preserve">The secretariat presented the interim report from the Expert Group on Decision 482 on behalf of the Chair of the Expert Group. Three meetings had already taken place, including the third one during the week preceding the meeting of the CWG-FHR. Since the work of the group had not been completed yet, a fourth meeting is planned on 10 and 11 April 2025 </w:t>
      </w:r>
      <w:proofErr w:type="gramStart"/>
      <w:r w:rsidRPr="00C10B9C">
        <w:rPr>
          <w:rFonts w:asciiTheme="minorHAnsi" w:hAnsiTheme="minorHAnsi" w:cstheme="minorHAnsi"/>
          <w:sz w:val="24"/>
          <w:szCs w:val="24"/>
        </w:rPr>
        <w:t>in order to</w:t>
      </w:r>
      <w:proofErr w:type="gramEnd"/>
      <w:r w:rsidRPr="00C10B9C">
        <w:rPr>
          <w:rFonts w:asciiTheme="minorHAnsi" w:hAnsiTheme="minorHAnsi" w:cstheme="minorHAnsi"/>
          <w:sz w:val="24"/>
          <w:szCs w:val="24"/>
        </w:rPr>
        <w:t xml:space="preserve"> complete the report of the group to the 2025 session of Council. Several delegates stressed the importance for the group to complete its work in time for the Council.</w:t>
      </w:r>
    </w:p>
    <w:bookmarkEnd w:id="12"/>
    <w:p w14:paraId="18542FCF" w14:textId="3CF34077" w:rsidR="00685215" w:rsidRPr="00C10B9C" w:rsidRDefault="00685215" w:rsidP="000D2039">
      <w:pPr>
        <w:pStyle w:val="Tabletext"/>
        <w:keepNext/>
        <w:keepLines/>
        <w:tabs>
          <w:tab w:val="clear" w:pos="284"/>
          <w:tab w:val="clear" w:pos="567"/>
        </w:tabs>
        <w:spacing w:before="180" w:after="180"/>
        <w:ind w:left="851" w:hanging="851"/>
        <w:rPr>
          <w:rFonts w:asciiTheme="minorHAnsi" w:hAnsiTheme="minorHAnsi" w:cstheme="minorHAnsi"/>
          <w:b/>
          <w:bCs/>
          <w:sz w:val="24"/>
          <w:szCs w:val="24"/>
        </w:rPr>
      </w:pPr>
      <w:r w:rsidRPr="00C10B9C">
        <w:rPr>
          <w:rFonts w:asciiTheme="minorHAnsi" w:hAnsiTheme="minorHAnsi" w:cstheme="minorHAnsi"/>
          <w:b/>
          <w:bCs/>
          <w:sz w:val="24"/>
          <w:szCs w:val="24"/>
        </w:rPr>
        <w:tab/>
        <w:t>Analysis of the outcome of the 3</w:t>
      </w:r>
      <w:r w:rsidRPr="00C10B9C">
        <w:rPr>
          <w:rFonts w:asciiTheme="minorHAnsi" w:hAnsiTheme="minorHAnsi" w:cstheme="minorHAnsi"/>
          <w:b/>
          <w:bCs/>
          <w:sz w:val="24"/>
          <w:szCs w:val="24"/>
          <w:vertAlign w:val="superscript"/>
        </w:rPr>
        <w:t>rd</w:t>
      </w:r>
      <w:r w:rsidRPr="00C10B9C">
        <w:rPr>
          <w:rFonts w:asciiTheme="minorHAnsi" w:hAnsiTheme="minorHAnsi" w:cstheme="minorHAnsi"/>
          <w:b/>
          <w:bCs/>
          <w:sz w:val="24"/>
          <w:szCs w:val="24"/>
        </w:rPr>
        <w:t xml:space="preserve"> meeting of the Expert Group on Decision 482 – Document </w:t>
      </w:r>
      <w:hyperlink r:id="rId21" w:history="1">
        <w:r w:rsidRPr="00C10B9C">
          <w:rPr>
            <w:rStyle w:val="Hyperlink"/>
            <w:rFonts w:asciiTheme="minorHAnsi" w:hAnsiTheme="minorHAnsi" w:cstheme="minorHAnsi"/>
            <w:b/>
            <w:bCs/>
            <w:sz w:val="24"/>
            <w:szCs w:val="24"/>
          </w:rPr>
          <w:t>CWG-FHR-20/29</w:t>
        </w:r>
      </w:hyperlink>
    </w:p>
    <w:p w14:paraId="50F28313" w14:textId="79AABE09" w:rsidR="006616E9" w:rsidRPr="00C10B9C" w:rsidRDefault="00AC11A8" w:rsidP="00C10B9C">
      <w:pPr>
        <w:keepNext/>
        <w:keepLines/>
        <w:tabs>
          <w:tab w:val="clear" w:pos="567"/>
          <w:tab w:val="clear" w:pos="1134"/>
          <w:tab w:val="left" w:pos="851"/>
        </w:tabs>
        <w:spacing w:after="120"/>
        <w:rPr>
          <w:rFonts w:asciiTheme="minorHAnsi" w:hAnsiTheme="minorHAnsi" w:cstheme="minorHAnsi"/>
          <w:szCs w:val="24"/>
        </w:rPr>
      </w:pPr>
      <w:r w:rsidRPr="00C10B9C">
        <w:rPr>
          <w:rFonts w:asciiTheme="minorHAnsi" w:hAnsiTheme="minorHAnsi" w:cstheme="minorHAnsi"/>
          <w:szCs w:val="24"/>
        </w:rPr>
        <w:t>11.</w:t>
      </w:r>
      <w:r w:rsidR="003D4EF5" w:rsidRPr="00C10B9C">
        <w:rPr>
          <w:rFonts w:asciiTheme="minorHAnsi" w:hAnsiTheme="minorHAnsi" w:cstheme="minorHAnsi"/>
          <w:szCs w:val="24"/>
        </w:rPr>
        <w:t>2</w:t>
      </w:r>
      <w:r w:rsidRPr="00C10B9C">
        <w:rPr>
          <w:rFonts w:asciiTheme="minorHAnsi" w:hAnsiTheme="minorHAnsi" w:cstheme="minorHAnsi"/>
          <w:szCs w:val="24"/>
        </w:rPr>
        <w:tab/>
      </w:r>
      <w:r w:rsidR="006616E9" w:rsidRPr="00C10B9C">
        <w:rPr>
          <w:rFonts w:asciiTheme="minorHAnsi" w:hAnsiTheme="minorHAnsi" w:cstheme="minorHAnsi"/>
          <w:szCs w:val="24"/>
        </w:rPr>
        <w:t>The CWG-FHR reviewed the analysis presented on the outcome of the third meeting of the Council Expert Group on Decision 482, as outlined in document CWG FHR 20/29.</w:t>
      </w:r>
    </w:p>
    <w:p w14:paraId="1AA24D1D" w14:textId="2DFAC26B" w:rsidR="006616E9" w:rsidRPr="00C10B9C" w:rsidRDefault="00AC11A8" w:rsidP="00C10B9C">
      <w:pPr>
        <w:tabs>
          <w:tab w:val="left" w:pos="851"/>
        </w:tabs>
        <w:spacing w:after="120"/>
        <w:rPr>
          <w:rFonts w:asciiTheme="minorHAnsi" w:hAnsiTheme="minorHAnsi" w:cstheme="minorHAnsi"/>
          <w:szCs w:val="24"/>
        </w:rPr>
      </w:pPr>
      <w:r w:rsidRPr="00C10B9C">
        <w:rPr>
          <w:rFonts w:asciiTheme="minorHAnsi" w:hAnsiTheme="minorHAnsi" w:cstheme="minorHAnsi"/>
          <w:szCs w:val="24"/>
        </w:rPr>
        <w:t>11.</w:t>
      </w:r>
      <w:r w:rsidR="003D4EF5" w:rsidRPr="00C10B9C">
        <w:rPr>
          <w:rFonts w:asciiTheme="minorHAnsi" w:hAnsiTheme="minorHAnsi" w:cstheme="minorHAnsi"/>
          <w:szCs w:val="24"/>
        </w:rPr>
        <w:t>3</w:t>
      </w:r>
      <w:r w:rsidRPr="00C10B9C">
        <w:rPr>
          <w:rFonts w:asciiTheme="minorHAnsi" w:hAnsiTheme="minorHAnsi" w:cstheme="minorHAnsi"/>
          <w:szCs w:val="24"/>
        </w:rPr>
        <w:tab/>
      </w:r>
      <w:r w:rsidRPr="00C10B9C">
        <w:rPr>
          <w:rFonts w:asciiTheme="minorHAnsi" w:hAnsiTheme="minorHAnsi" w:cstheme="minorHAnsi"/>
          <w:szCs w:val="24"/>
        </w:rPr>
        <w:tab/>
      </w:r>
      <w:r w:rsidR="006616E9" w:rsidRPr="00C10B9C">
        <w:rPr>
          <w:rFonts w:asciiTheme="minorHAnsi" w:hAnsiTheme="minorHAnsi" w:cstheme="minorHAnsi"/>
          <w:szCs w:val="24"/>
        </w:rPr>
        <w:t xml:space="preserve">Key </w:t>
      </w:r>
      <w:r w:rsidR="00753A2D" w:rsidRPr="00C10B9C">
        <w:rPr>
          <w:rFonts w:asciiTheme="minorHAnsi" w:hAnsiTheme="minorHAnsi" w:cstheme="minorHAnsi"/>
          <w:szCs w:val="24"/>
        </w:rPr>
        <w:t>o</w:t>
      </w:r>
      <w:r w:rsidR="006616E9" w:rsidRPr="00C10B9C">
        <w:rPr>
          <w:rFonts w:asciiTheme="minorHAnsi" w:hAnsiTheme="minorHAnsi" w:cstheme="minorHAnsi"/>
          <w:szCs w:val="24"/>
        </w:rPr>
        <w:t xml:space="preserve">utcomes of the </w:t>
      </w:r>
      <w:r w:rsidR="00753A2D" w:rsidRPr="00C10B9C">
        <w:rPr>
          <w:rFonts w:asciiTheme="minorHAnsi" w:hAnsiTheme="minorHAnsi" w:cstheme="minorHAnsi"/>
          <w:szCs w:val="24"/>
        </w:rPr>
        <w:t>d</w:t>
      </w:r>
      <w:r w:rsidR="006616E9" w:rsidRPr="00C10B9C">
        <w:rPr>
          <w:rFonts w:asciiTheme="minorHAnsi" w:hAnsiTheme="minorHAnsi" w:cstheme="minorHAnsi"/>
          <w:szCs w:val="24"/>
        </w:rPr>
        <w:t>iscussion:</w:t>
      </w:r>
    </w:p>
    <w:p w14:paraId="5F74FEDE" w14:textId="44131E47" w:rsidR="006616E9" w:rsidRPr="00C10B9C" w:rsidRDefault="00107E89" w:rsidP="00C10B9C">
      <w:pPr>
        <w:numPr>
          <w:ilvl w:val="0"/>
          <w:numId w:val="2"/>
        </w:numPr>
        <w:tabs>
          <w:tab w:val="clear" w:pos="567"/>
          <w:tab w:val="clear" w:pos="720"/>
          <w:tab w:val="clear" w:pos="1701"/>
          <w:tab w:val="clear" w:pos="2268"/>
          <w:tab w:val="clear" w:pos="2835"/>
          <w:tab w:val="num" w:pos="851"/>
        </w:tabs>
        <w:overflowPunct/>
        <w:autoSpaceDE/>
        <w:autoSpaceDN/>
        <w:adjustRightInd/>
        <w:spacing w:after="120"/>
        <w:ind w:left="1135" w:hanging="284"/>
        <w:textAlignment w:val="auto"/>
        <w:rPr>
          <w:rFonts w:asciiTheme="minorHAnsi" w:hAnsiTheme="minorHAnsi" w:cstheme="minorHAnsi"/>
          <w:szCs w:val="24"/>
        </w:rPr>
      </w:pPr>
      <w:r w:rsidRPr="00C10B9C">
        <w:rPr>
          <w:rFonts w:asciiTheme="minorHAnsi" w:hAnsiTheme="minorHAnsi" w:cstheme="minorHAnsi"/>
          <w:szCs w:val="24"/>
        </w:rPr>
        <w:t xml:space="preserve">Delegates </w:t>
      </w:r>
      <w:r w:rsidR="006616E9" w:rsidRPr="00C10B9C">
        <w:rPr>
          <w:rFonts w:asciiTheme="minorHAnsi" w:hAnsiTheme="minorHAnsi" w:cstheme="minorHAnsi"/>
          <w:szCs w:val="24"/>
        </w:rPr>
        <w:t>took note of the presentation, and the financial implications highlighted.</w:t>
      </w:r>
    </w:p>
    <w:p w14:paraId="2662775F" w14:textId="385DB7A0" w:rsidR="006616E9" w:rsidRPr="00C10B9C" w:rsidRDefault="00107E89" w:rsidP="00C10B9C">
      <w:pPr>
        <w:numPr>
          <w:ilvl w:val="0"/>
          <w:numId w:val="2"/>
        </w:numPr>
        <w:tabs>
          <w:tab w:val="clear" w:pos="567"/>
          <w:tab w:val="clear" w:pos="720"/>
          <w:tab w:val="clear" w:pos="1701"/>
          <w:tab w:val="clear" w:pos="2268"/>
          <w:tab w:val="clear" w:pos="2835"/>
          <w:tab w:val="num" w:pos="851"/>
        </w:tabs>
        <w:overflowPunct/>
        <w:autoSpaceDE/>
        <w:autoSpaceDN/>
        <w:adjustRightInd/>
        <w:spacing w:after="120"/>
        <w:ind w:left="1135" w:hanging="284"/>
        <w:textAlignment w:val="auto"/>
        <w:rPr>
          <w:rFonts w:asciiTheme="minorHAnsi" w:hAnsiTheme="minorHAnsi" w:cstheme="minorHAnsi"/>
          <w:szCs w:val="24"/>
        </w:rPr>
      </w:pPr>
      <w:r w:rsidRPr="00C10B9C">
        <w:rPr>
          <w:rFonts w:asciiTheme="minorHAnsi" w:hAnsiTheme="minorHAnsi" w:cstheme="minorHAnsi"/>
          <w:szCs w:val="24"/>
        </w:rPr>
        <w:t xml:space="preserve">Some delegates </w:t>
      </w:r>
      <w:r w:rsidR="006616E9" w:rsidRPr="00C10B9C">
        <w:rPr>
          <w:rFonts w:asciiTheme="minorHAnsi" w:hAnsiTheme="minorHAnsi" w:cstheme="minorHAnsi"/>
          <w:szCs w:val="24"/>
        </w:rPr>
        <w:t>rejected Option 1, which proposed a flat fee increase of 103</w:t>
      </w:r>
      <w:r w:rsidRPr="00C10B9C">
        <w:rPr>
          <w:rFonts w:asciiTheme="minorHAnsi" w:hAnsiTheme="minorHAnsi" w:cstheme="minorHAnsi"/>
          <w:szCs w:val="24"/>
        </w:rPr>
        <w:t> per cent</w:t>
      </w:r>
      <w:r w:rsidR="006616E9" w:rsidRPr="00C10B9C">
        <w:rPr>
          <w:rFonts w:asciiTheme="minorHAnsi" w:hAnsiTheme="minorHAnsi" w:cstheme="minorHAnsi"/>
          <w:szCs w:val="24"/>
        </w:rPr>
        <w:t xml:space="preserve"> across all satellite network filings.</w:t>
      </w:r>
    </w:p>
    <w:p w14:paraId="2A8A407E" w14:textId="1C7E5BCD" w:rsidR="006616E9" w:rsidRPr="00C10B9C" w:rsidRDefault="006616E9" w:rsidP="00C10B9C">
      <w:pPr>
        <w:numPr>
          <w:ilvl w:val="0"/>
          <w:numId w:val="2"/>
        </w:numPr>
        <w:tabs>
          <w:tab w:val="clear" w:pos="567"/>
          <w:tab w:val="clear" w:pos="1701"/>
          <w:tab w:val="clear" w:pos="2268"/>
          <w:tab w:val="clear" w:pos="2835"/>
        </w:tabs>
        <w:overflowPunct/>
        <w:autoSpaceDE/>
        <w:autoSpaceDN/>
        <w:adjustRightInd/>
        <w:spacing w:after="120"/>
        <w:ind w:left="1135" w:hanging="284"/>
        <w:textAlignment w:val="auto"/>
        <w:rPr>
          <w:rFonts w:asciiTheme="minorHAnsi" w:hAnsiTheme="minorHAnsi" w:cstheme="minorHAnsi"/>
          <w:szCs w:val="24"/>
        </w:rPr>
      </w:pPr>
      <w:r w:rsidRPr="00C10B9C">
        <w:rPr>
          <w:rFonts w:asciiTheme="minorHAnsi" w:hAnsiTheme="minorHAnsi" w:cstheme="minorHAnsi"/>
          <w:szCs w:val="24"/>
        </w:rPr>
        <w:t xml:space="preserve">Recognizing the urgency of addressing the financial shortfall in cost recovery for satellite network filings (SNF), </w:t>
      </w:r>
      <w:r w:rsidR="00107E89" w:rsidRPr="00C10B9C">
        <w:rPr>
          <w:rFonts w:asciiTheme="minorHAnsi" w:hAnsiTheme="minorHAnsi" w:cstheme="minorHAnsi"/>
          <w:szCs w:val="24"/>
        </w:rPr>
        <w:t xml:space="preserve">some delegates </w:t>
      </w:r>
      <w:r w:rsidRPr="00C10B9C">
        <w:rPr>
          <w:rFonts w:asciiTheme="minorHAnsi" w:hAnsiTheme="minorHAnsi" w:cstheme="minorHAnsi"/>
          <w:szCs w:val="24"/>
        </w:rPr>
        <w:t>emphasized the need for the Expert Group to conclude its work.</w:t>
      </w:r>
    </w:p>
    <w:p w14:paraId="14D8F878" w14:textId="77777777" w:rsidR="006616E9" w:rsidRPr="00C10B9C" w:rsidRDefault="006616E9" w:rsidP="00C10B9C">
      <w:pPr>
        <w:numPr>
          <w:ilvl w:val="0"/>
          <w:numId w:val="2"/>
        </w:numPr>
        <w:tabs>
          <w:tab w:val="clear" w:pos="567"/>
          <w:tab w:val="clear" w:pos="1701"/>
          <w:tab w:val="clear" w:pos="2268"/>
          <w:tab w:val="clear" w:pos="2835"/>
        </w:tabs>
        <w:overflowPunct/>
        <w:autoSpaceDE/>
        <w:autoSpaceDN/>
        <w:adjustRightInd/>
        <w:spacing w:after="120"/>
        <w:ind w:left="1134" w:hanging="283"/>
        <w:textAlignment w:val="auto"/>
        <w:rPr>
          <w:rFonts w:asciiTheme="minorHAnsi" w:hAnsiTheme="minorHAnsi" w:cstheme="minorHAnsi"/>
          <w:szCs w:val="24"/>
        </w:rPr>
      </w:pPr>
      <w:r w:rsidRPr="00C10B9C">
        <w:rPr>
          <w:rFonts w:asciiTheme="minorHAnsi" w:hAnsiTheme="minorHAnsi" w:cstheme="minorHAnsi"/>
          <w:szCs w:val="24"/>
        </w:rPr>
        <w:t>The final meeting of the Expert Group will take place in April 2025 to finalize outstanding issues, particularly on non-geostationary (non-GSO) systems, and provide comprehensive recommendations for full cost recovery.</w:t>
      </w:r>
    </w:p>
    <w:p w14:paraId="198AA4BD" w14:textId="36B62AA5" w:rsidR="006616E9" w:rsidRPr="00C10B9C" w:rsidRDefault="00AC11A8" w:rsidP="00C10B9C">
      <w:pPr>
        <w:tabs>
          <w:tab w:val="clear" w:pos="567"/>
          <w:tab w:val="left" w:pos="851"/>
        </w:tabs>
        <w:spacing w:after="120"/>
        <w:rPr>
          <w:rFonts w:asciiTheme="minorHAnsi" w:eastAsiaTheme="minorHAnsi" w:hAnsiTheme="minorHAnsi" w:cstheme="minorHAnsi"/>
          <w:szCs w:val="24"/>
        </w:rPr>
      </w:pPr>
      <w:r w:rsidRPr="00C10B9C">
        <w:rPr>
          <w:rFonts w:asciiTheme="minorHAnsi" w:hAnsiTheme="minorHAnsi" w:cstheme="minorHAnsi"/>
          <w:szCs w:val="24"/>
        </w:rPr>
        <w:t>11.</w:t>
      </w:r>
      <w:r w:rsidR="003D4EF5" w:rsidRPr="00C10B9C">
        <w:rPr>
          <w:rFonts w:asciiTheme="minorHAnsi" w:hAnsiTheme="minorHAnsi" w:cstheme="minorHAnsi"/>
          <w:szCs w:val="24"/>
        </w:rPr>
        <w:t>4</w:t>
      </w:r>
      <w:r w:rsidR="00153DBF" w:rsidRPr="00C10B9C">
        <w:rPr>
          <w:rFonts w:asciiTheme="minorHAnsi" w:hAnsiTheme="minorHAnsi" w:cstheme="minorHAnsi"/>
          <w:szCs w:val="24"/>
        </w:rPr>
        <w:tab/>
      </w:r>
      <w:r w:rsidR="00107E89" w:rsidRPr="00C10B9C">
        <w:rPr>
          <w:rFonts w:asciiTheme="minorHAnsi" w:hAnsiTheme="minorHAnsi" w:cstheme="minorHAnsi"/>
          <w:szCs w:val="24"/>
        </w:rPr>
        <w:t xml:space="preserve">Several delegates </w:t>
      </w:r>
      <w:r w:rsidR="006616E9" w:rsidRPr="00C10B9C">
        <w:rPr>
          <w:rFonts w:asciiTheme="minorHAnsi" w:hAnsiTheme="minorHAnsi" w:cstheme="minorHAnsi"/>
          <w:szCs w:val="24"/>
        </w:rPr>
        <w:t>stressed the importance of ensuring a financially sustainable solution and expect the Expert Group’s final recommendations in April 2025 to resolve the outstanding issues and align fees with actual costs and report accordingly to Council 2025.</w:t>
      </w:r>
    </w:p>
    <w:p w14:paraId="58603D40" w14:textId="0A888C03" w:rsidR="00685215" w:rsidRPr="00C10B9C" w:rsidRDefault="00685215" w:rsidP="000D2039">
      <w:pPr>
        <w:pStyle w:val="Tabletext"/>
        <w:tabs>
          <w:tab w:val="clear" w:pos="284"/>
          <w:tab w:val="clear" w:pos="567"/>
        </w:tabs>
        <w:spacing w:before="480" w:after="120"/>
        <w:ind w:left="851" w:hanging="851"/>
        <w:rPr>
          <w:rFonts w:asciiTheme="minorHAnsi" w:hAnsiTheme="minorHAnsi" w:cstheme="minorHAnsi"/>
          <w:sz w:val="24"/>
          <w:szCs w:val="24"/>
        </w:rPr>
      </w:pPr>
      <w:r w:rsidRPr="00C10B9C">
        <w:rPr>
          <w:rFonts w:asciiTheme="minorHAnsi" w:hAnsiTheme="minorHAnsi" w:cstheme="minorHAnsi"/>
          <w:b/>
          <w:bCs/>
          <w:sz w:val="24"/>
          <w:szCs w:val="24"/>
        </w:rPr>
        <w:lastRenderedPageBreak/>
        <w:t>1</w:t>
      </w:r>
      <w:r w:rsidR="00285A8E" w:rsidRPr="00C10B9C">
        <w:rPr>
          <w:rFonts w:asciiTheme="minorHAnsi" w:hAnsiTheme="minorHAnsi" w:cstheme="minorHAnsi"/>
          <w:b/>
          <w:bCs/>
          <w:sz w:val="24"/>
          <w:szCs w:val="24"/>
        </w:rPr>
        <w:t>2</w:t>
      </w:r>
      <w:r w:rsidRPr="00C10B9C">
        <w:rPr>
          <w:rFonts w:asciiTheme="minorHAnsi" w:hAnsiTheme="minorHAnsi" w:cstheme="minorHAnsi"/>
          <w:b/>
          <w:bCs/>
          <w:sz w:val="24"/>
          <w:szCs w:val="24"/>
        </w:rPr>
        <w:tab/>
        <w:t>Code of conduct at ITU events – Working together for a culture of respect – Document </w:t>
      </w:r>
      <w:hyperlink r:id="rId22" w:history="1">
        <w:r w:rsidRPr="00C10B9C">
          <w:rPr>
            <w:rStyle w:val="Hyperlink"/>
            <w:rFonts w:asciiTheme="minorHAnsi" w:hAnsiTheme="minorHAnsi" w:cstheme="minorHAnsi"/>
            <w:b/>
            <w:bCs/>
            <w:sz w:val="24"/>
            <w:szCs w:val="24"/>
          </w:rPr>
          <w:t>CWG-FHR-20/17</w:t>
        </w:r>
      </w:hyperlink>
      <w:r w:rsidR="0094154A" w:rsidRPr="00C10B9C">
        <w:rPr>
          <w:rFonts w:asciiTheme="minorHAnsi" w:hAnsiTheme="minorHAnsi" w:cstheme="minorHAnsi"/>
          <w:sz w:val="24"/>
          <w:szCs w:val="24"/>
        </w:rPr>
        <w:t xml:space="preserve"> </w:t>
      </w:r>
      <w:r w:rsidRPr="00C10B9C">
        <w:rPr>
          <w:rFonts w:asciiTheme="minorHAnsi" w:hAnsiTheme="minorHAnsi" w:cstheme="minorHAnsi"/>
          <w:b/>
          <w:bCs/>
          <w:sz w:val="24"/>
          <w:szCs w:val="24"/>
        </w:rPr>
        <w:t>Contribution by RCC - Proposals related to the code of conduct at ITU events – Document </w:t>
      </w:r>
      <w:hyperlink r:id="rId23" w:history="1">
        <w:r w:rsidRPr="00C10B9C">
          <w:rPr>
            <w:rStyle w:val="Hyperlink"/>
            <w:rFonts w:asciiTheme="minorHAnsi" w:hAnsiTheme="minorHAnsi" w:cstheme="minorHAnsi"/>
            <w:b/>
            <w:bCs/>
            <w:sz w:val="24"/>
            <w:szCs w:val="24"/>
          </w:rPr>
          <w:t>CWG-FHR-20/26</w:t>
        </w:r>
      </w:hyperlink>
    </w:p>
    <w:p w14:paraId="1A984132" w14:textId="642EC153" w:rsidR="0094154A" w:rsidRPr="00C10B9C" w:rsidRDefault="0094154A" w:rsidP="00C10B9C">
      <w:pPr>
        <w:pStyle w:val="Tabletext"/>
        <w:tabs>
          <w:tab w:val="clear" w:pos="284"/>
          <w:tab w:val="clear" w:pos="567"/>
          <w:tab w:val="left" w:pos="0"/>
        </w:tabs>
        <w:spacing w:before="120" w:after="120"/>
        <w:jc w:val="both"/>
        <w:rPr>
          <w:rFonts w:asciiTheme="minorHAnsi" w:hAnsiTheme="minorHAnsi" w:cstheme="minorHAnsi"/>
          <w:sz w:val="24"/>
          <w:szCs w:val="24"/>
        </w:rPr>
      </w:pPr>
      <w:r w:rsidRPr="00C10B9C">
        <w:rPr>
          <w:rFonts w:asciiTheme="minorHAnsi" w:hAnsiTheme="minorHAnsi" w:cstheme="minorHAnsi"/>
          <w:sz w:val="24"/>
          <w:szCs w:val="24"/>
        </w:rPr>
        <w:t>12.1</w:t>
      </w:r>
      <w:r w:rsidRPr="00C10B9C">
        <w:rPr>
          <w:rFonts w:asciiTheme="minorHAnsi" w:hAnsiTheme="minorHAnsi" w:cstheme="minorHAnsi"/>
          <w:sz w:val="24"/>
          <w:szCs w:val="24"/>
        </w:rPr>
        <w:tab/>
        <w:t xml:space="preserve">The </w:t>
      </w:r>
      <w:r w:rsidR="006F7ABD" w:rsidRPr="00C10B9C">
        <w:rPr>
          <w:rFonts w:asciiTheme="minorHAnsi" w:hAnsiTheme="minorHAnsi" w:cstheme="minorHAnsi"/>
          <w:sz w:val="24"/>
          <w:szCs w:val="24"/>
        </w:rPr>
        <w:t>s</w:t>
      </w:r>
      <w:r w:rsidRPr="00C10B9C">
        <w:rPr>
          <w:rFonts w:asciiTheme="minorHAnsi" w:hAnsiTheme="minorHAnsi" w:cstheme="minorHAnsi"/>
          <w:sz w:val="24"/>
          <w:szCs w:val="24"/>
        </w:rPr>
        <w:t>ecretariat introduced Document CWG-FHR-20/17, recalling that the Council, at its 2024 session, endorsed the concept of a Code of Conduct for ITU events and instructed the secretariat to develop a preliminary draft Code of Conduct for ITU meetings and events. The objective is to foster a professional, inclusive, respectful, and safe environment for all delegates and participants. The draft is to be further developed by the CWG-FHR.</w:t>
      </w:r>
    </w:p>
    <w:p w14:paraId="390CF4F8" w14:textId="2243B8B9" w:rsidR="0094154A" w:rsidRPr="00C10B9C" w:rsidRDefault="0094154A" w:rsidP="00C10B9C">
      <w:pPr>
        <w:pStyle w:val="Tabletext"/>
        <w:tabs>
          <w:tab w:val="clear" w:pos="284"/>
          <w:tab w:val="clear" w:pos="567"/>
          <w:tab w:val="left" w:pos="0"/>
        </w:tabs>
        <w:spacing w:before="120" w:after="120"/>
        <w:jc w:val="both"/>
        <w:rPr>
          <w:rFonts w:asciiTheme="minorHAnsi" w:hAnsiTheme="minorHAnsi" w:cstheme="minorHAnsi"/>
          <w:sz w:val="24"/>
          <w:szCs w:val="24"/>
        </w:rPr>
      </w:pPr>
      <w:r w:rsidRPr="00C10B9C">
        <w:rPr>
          <w:rFonts w:asciiTheme="minorHAnsi" w:hAnsiTheme="minorHAnsi" w:cstheme="minorHAnsi"/>
          <w:sz w:val="24"/>
          <w:szCs w:val="24"/>
        </w:rPr>
        <w:t>12.2</w:t>
      </w:r>
      <w:r w:rsidRPr="00C10B9C">
        <w:rPr>
          <w:rFonts w:asciiTheme="minorHAnsi" w:hAnsiTheme="minorHAnsi" w:cstheme="minorHAnsi"/>
          <w:sz w:val="24"/>
          <w:szCs w:val="24"/>
        </w:rPr>
        <w:tab/>
        <w:t>As a result, a revised ITU Code of Conduct aimed at preventing harassment, including sexual harassment, at ITU events, along with the findings of a benchmarking exercise on how the UN Code of Conduct is applied in other organizations, was submitted for discussion and consideration at the February 2025 CWG-FHR meeting, in response to a request made during the October 2024 CWG-FHR meeting.</w:t>
      </w:r>
    </w:p>
    <w:p w14:paraId="5028CCFA" w14:textId="420801B9" w:rsidR="0094154A" w:rsidRPr="00C10B9C" w:rsidRDefault="0094154A" w:rsidP="00C10B9C">
      <w:pPr>
        <w:pStyle w:val="Tabletext"/>
        <w:tabs>
          <w:tab w:val="clear" w:pos="284"/>
          <w:tab w:val="clear" w:pos="567"/>
          <w:tab w:val="left" w:pos="0"/>
        </w:tabs>
        <w:spacing w:before="120" w:after="120"/>
        <w:jc w:val="both"/>
        <w:rPr>
          <w:rFonts w:asciiTheme="minorHAnsi" w:hAnsiTheme="minorHAnsi" w:cstheme="minorHAnsi"/>
          <w:sz w:val="24"/>
          <w:szCs w:val="24"/>
        </w:rPr>
      </w:pPr>
      <w:r w:rsidRPr="00C10B9C">
        <w:rPr>
          <w:rFonts w:asciiTheme="minorHAnsi" w:hAnsiTheme="minorHAnsi" w:cstheme="minorHAnsi"/>
          <w:sz w:val="24"/>
          <w:szCs w:val="24"/>
        </w:rPr>
        <w:t>12.3</w:t>
      </w:r>
      <w:r w:rsidRPr="00C10B9C">
        <w:rPr>
          <w:rFonts w:asciiTheme="minorHAnsi" w:hAnsiTheme="minorHAnsi" w:cstheme="minorHAnsi"/>
          <w:sz w:val="24"/>
          <w:szCs w:val="24"/>
        </w:rPr>
        <w:tab/>
        <w:t>It was noted that the secretariat based its work on the UN System Code of Conduct and revised the complaint process, including the addition of ITU contact details.</w:t>
      </w:r>
    </w:p>
    <w:p w14:paraId="570E7879" w14:textId="43DAC91B" w:rsidR="0094154A" w:rsidRPr="00C10B9C" w:rsidRDefault="0094154A" w:rsidP="000D2039">
      <w:pPr>
        <w:pStyle w:val="Tabletext"/>
        <w:tabs>
          <w:tab w:val="clear" w:pos="284"/>
          <w:tab w:val="clear" w:pos="567"/>
          <w:tab w:val="left" w:pos="0"/>
        </w:tabs>
        <w:spacing w:before="480" w:after="120"/>
        <w:ind w:left="851" w:hanging="851"/>
        <w:rPr>
          <w:rFonts w:asciiTheme="minorHAnsi" w:hAnsiTheme="minorHAnsi" w:cstheme="minorHAnsi"/>
          <w:sz w:val="24"/>
          <w:szCs w:val="24"/>
        </w:rPr>
      </w:pPr>
      <w:r w:rsidRPr="00C10B9C">
        <w:rPr>
          <w:rFonts w:asciiTheme="minorHAnsi" w:hAnsiTheme="minorHAnsi" w:cstheme="minorHAnsi"/>
          <w:b/>
          <w:bCs/>
          <w:sz w:val="24"/>
          <w:szCs w:val="24"/>
        </w:rPr>
        <w:t>13</w:t>
      </w:r>
      <w:r w:rsidRPr="00C10B9C">
        <w:rPr>
          <w:rFonts w:asciiTheme="minorHAnsi" w:hAnsiTheme="minorHAnsi" w:cstheme="minorHAnsi"/>
          <w:b/>
          <w:bCs/>
          <w:sz w:val="24"/>
          <w:szCs w:val="24"/>
        </w:rPr>
        <w:tab/>
        <w:t>Contribution by RCC - Proposals related to the code of conduct at ITU events – Document </w:t>
      </w:r>
      <w:hyperlink r:id="rId24" w:history="1">
        <w:r w:rsidRPr="00C10B9C">
          <w:rPr>
            <w:rStyle w:val="Hyperlink"/>
            <w:rFonts w:asciiTheme="minorHAnsi" w:hAnsiTheme="minorHAnsi" w:cstheme="minorHAnsi"/>
            <w:b/>
            <w:bCs/>
            <w:sz w:val="24"/>
            <w:szCs w:val="24"/>
          </w:rPr>
          <w:t>CWG-FHR-20/26</w:t>
        </w:r>
      </w:hyperlink>
    </w:p>
    <w:p w14:paraId="3A277C14" w14:textId="4A44A122" w:rsidR="0094154A" w:rsidRPr="00C10B9C" w:rsidRDefault="0094154A" w:rsidP="00C10B9C">
      <w:pPr>
        <w:pStyle w:val="Tabletext"/>
        <w:tabs>
          <w:tab w:val="clear" w:pos="284"/>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13.1</w:t>
      </w:r>
      <w:r w:rsidRPr="00C10B9C">
        <w:rPr>
          <w:rFonts w:asciiTheme="minorHAnsi" w:hAnsiTheme="minorHAnsi" w:cstheme="minorHAnsi"/>
          <w:sz w:val="24"/>
          <w:szCs w:val="24"/>
        </w:rPr>
        <w:tab/>
        <w:t>The Regional Commonwealth in the Field of Communications (RCC) representative introduced RCC’s contribution related to the Code of Conduct at ITU events (Document CWG-FHR-20/26), submitted for the CWG-FHR’s consideration.</w:t>
      </w:r>
    </w:p>
    <w:p w14:paraId="17CFEF4C" w14:textId="423BEE24" w:rsidR="0094154A" w:rsidRPr="00C10B9C" w:rsidRDefault="0094154A" w:rsidP="00C10B9C">
      <w:pPr>
        <w:pStyle w:val="Tabletext"/>
        <w:tabs>
          <w:tab w:val="clear" w:pos="284"/>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13.2</w:t>
      </w:r>
      <w:r w:rsidRPr="00C10B9C">
        <w:rPr>
          <w:rFonts w:asciiTheme="minorHAnsi" w:hAnsiTheme="minorHAnsi" w:cstheme="minorHAnsi"/>
          <w:sz w:val="24"/>
          <w:szCs w:val="24"/>
        </w:rPr>
        <w:tab/>
        <w:t xml:space="preserve">During a meeting of the RCC </w:t>
      </w:r>
      <w:r w:rsidR="006F7ABD" w:rsidRPr="00C10B9C">
        <w:rPr>
          <w:rFonts w:asciiTheme="minorHAnsi" w:hAnsiTheme="minorHAnsi" w:cstheme="minorHAnsi"/>
          <w:sz w:val="24"/>
          <w:szCs w:val="24"/>
        </w:rPr>
        <w:t>w</w:t>
      </w:r>
      <w:r w:rsidRPr="00C10B9C">
        <w:rPr>
          <w:rFonts w:asciiTheme="minorHAnsi" w:hAnsiTheme="minorHAnsi" w:cstheme="minorHAnsi"/>
          <w:sz w:val="24"/>
          <w:szCs w:val="24"/>
        </w:rPr>
        <w:t xml:space="preserve">orking </w:t>
      </w:r>
      <w:r w:rsidR="006F7ABD" w:rsidRPr="00C10B9C">
        <w:rPr>
          <w:rFonts w:asciiTheme="minorHAnsi" w:hAnsiTheme="minorHAnsi" w:cstheme="minorHAnsi"/>
          <w:sz w:val="24"/>
          <w:szCs w:val="24"/>
        </w:rPr>
        <w:t>g</w:t>
      </w:r>
      <w:r w:rsidRPr="00C10B9C">
        <w:rPr>
          <w:rFonts w:asciiTheme="minorHAnsi" w:hAnsiTheme="minorHAnsi" w:cstheme="minorHAnsi"/>
          <w:sz w:val="24"/>
          <w:szCs w:val="24"/>
        </w:rPr>
        <w:t xml:space="preserve">roup on cooperation with ITU, RCC </w:t>
      </w:r>
      <w:r w:rsidR="006F7ABD" w:rsidRPr="00C10B9C">
        <w:rPr>
          <w:rFonts w:asciiTheme="minorHAnsi" w:hAnsiTheme="minorHAnsi" w:cstheme="minorHAnsi"/>
          <w:sz w:val="24"/>
          <w:szCs w:val="24"/>
        </w:rPr>
        <w:t>m</w:t>
      </w:r>
      <w:r w:rsidRPr="00C10B9C">
        <w:rPr>
          <w:rFonts w:asciiTheme="minorHAnsi" w:hAnsiTheme="minorHAnsi" w:cstheme="minorHAnsi"/>
          <w:sz w:val="24"/>
          <w:szCs w:val="24"/>
        </w:rPr>
        <w:t>embers discussed the feasibility of applying the UN Code of Conduct to ITU events. They concluded that the substantive part of the Code lacks sufficient balance.</w:t>
      </w:r>
    </w:p>
    <w:p w14:paraId="1F1BFCE5" w14:textId="44C70CD0" w:rsidR="0094154A" w:rsidRPr="00C10B9C" w:rsidRDefault="0094154A" w:rsidP="00C10B9C">
      <w:pPr>
        <w:pStyle w:val="Tabletext"/>
        <w:tabs>
          <w:tab w:val="clear" w:pos="284"/>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13.3</w:t>
      </w:r>
      <w:r w:rsidRPr="00C10B9C">
        <w:rPr>
          <w:rFonts w:asciiTheme="minorHAnsi" w:hAnsiTheme="minorHAnsi" w:cstheme="minorHAnsi"/>
          <w:sz w:val="24"/>
          <w:szCs w:val="24"/>
        </w:rPr>
        <w:tab/>
        <w:t>It was noted that the Code does not explicitly define the right to file a complaint or the possibility of appealing an accusation. Moreover, it does not include provisions allowing a Member State or Sector Member to contest the adequacy or validity of a response to an alleged violation. This could potentially lead to the complete exclusion of an accused representative from participating in ITU meetings.</w:t>
      </w:r>
    </w:p>
    <w:p w14:paraId="0FC19F35" w14:textId="30A048A4" w:rsidR="0094154A" w:rsidRPr="00C10B9C" w:rsidRDefault="0094154A" w:rsidP="00C10B9C">
      <w:pPr>
        <w:pStyle w:val="Tabletext"/>
        <w:tabs>
          <w:tab w:val="clear" w:pos="284"/>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13.4</w:t>
      </w:r>
      <w:r w:rsidRPr="00C10B9C">
        <w:rPr>
          <w:rFonts w:asciiTheme="minorHAnsi" w:hAnsiTheme="minorHAnsi" w:cstheme="minorHAnsi"/>
          <w:sz w:val="24"/>
          <w:szCs w:val="24"/>
        </w:rPr>
        <w:tab/>
        <w:t xml:space="preserve">Document CWG-FHR-20/26 further stipulates that, </w:t>
      </w:r>
      <w:proofErr w:type="gramStart"/>
      <w:r w:rsidRPr="00C10B9C">
        <w:rPr>
          <w:rFonts w:asciiTheme="minorHAnsi" w:hAnsiTheme="minorHAnsi" w:cstheme="minorHAnsi"/>
          <w:sz w:val="24"/>
          <w:szCs w:val="24"/>
        </w:rPr>
        <w:t>in order to</w:t>
      </w:r>
      <w:proofErr w:type="gramEnd"/>
      <w:r w:rsidRPr="00C10B9C">
        <w:rPr>
          <w:rFonts w:asciiTheme="minorHAnsi" w:hAnsiTheme="minorHAnsi" w:cstheme="minorHAnsi"/>
          <w:sz w:val="24"/>
          <w:szCs w:val="24"/>
        </w:rPr>
        <w:t xml:space="preserve"> achieve consensus, CWG-FHR should recommend deviations or additions to the UN System Code of Conduct only when necessary to address ITU-specific considerations.</w:t>
      </w:r>
    </w:p>
    <w:p w14:paraId="748EA0EC" w14:textId="54151CE6" w:rsidR="0094154A" w:rsidRPr="00C10B9C" w:rsidRDefault="0094154A" w:rsidP="00C10B9C">
      <w:pPr>
        <w:pStyle w:val="Tabletext"/>
        <w:tabs>
          <w:tab w:val="clear" w:pos="284"/>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13.5</w:t>
      </w:r>
      <w:r w:rsidRPr="00C10B9C">
        <w:rPr>
          <w:rFonts w:asciiTheme="minorHAnsi" w:hAnsiTheme="minorHAnsi" w:cstheme="minorHAnsi"/>
          <w:sz w:val="24"/>
          <w:szCs w:val="24"/>
        </w:rPr>
        <w:tab/>
        <w:t>Several delegations expressed support for the draft ITU Code of Conduct outlined in Document CWG-FHR-20/17, emphasizing the need to ensure a safe environment for all participants attending ITU events. Some also highlighted the importance of providing a contact list for ITU events, including contact details for a focal point in the host country when an event is held outside Geneva.</w:t>
      </w:r>
    </w:p>
    <w:p w14:paraId="57536D0A" w14:textId="007D12C3" w:rsidR="0094154A" w:rsidRPr="00C10B9C" w:rsidRDefault="0094154A" w:rsidP="00C10B9C">
      <w:pPr>
        <w:pStyle w:val="Tabletext"/>
        <w:tabs>
          <w:tab w:val="clear" w:pos="284"/>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13.6</w:t>
      </w:r>
      <w:r w:rsidRPr="00C10B9C">
        <w:rPr>
          <w:rFonts w:asciiTheme="minorHAnsi" w:hAnsiTheme="minorHAnsi" w:cstheme="minorHAnsi"/>
          <w:sz w:val="24"/>
          <w:szCs w:val="24"/>
        </w:rPr>
        <w:tab/>
        <w:t>However, some delegations pointed out that the UN Code of Conduct is an informational document with no legal status. Certain delegates stressed that it must remain non-binding and should not, under any circumstances, carry legal or prescriptive weight. It was also underlined that delegates fall under the sovereign authority of their respective Member States, with jurisdiction resting with the Administration that nominates them.</w:t>
      </w:r>
    </w:p>
    <w:p w14:paraId="0A628AB2" w14:textId="59E14733" w:rsidR="0094154A" w:rsidRPr="00C10B9C" w:rsidRDefault="0094154A" w:rsidP="00C10B9C">
      <w:pPr>
        <w:pStyle w:val="Tabletext"/>
        <w:tabs>
          <w:tab w:val="clear" w:pos="284"/>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13.7</w:t>
      </w:r>
      <w:r w:rsidRPr="00C10B9C">
        <w:rPr>
          <w:rFonts w:asciiTheme="minorHAnsi" w:hAnsiTheme="minorHAnsi" w:cstheme="minorHAnsi"/>
          <w:sz w:val="24"/>
          <w:szCs w:val="24"/>
        </w:rPr>
        <w:tab/>
        <w:t>The Legal Advisor clarified that the UN Code of Conduct has been applied at ITU for several years. He confirmed that it is not a prescriptive document and that the ITU Secretary-</w:t>
      </w:r>
      <w:r w:rsidRPr="00C10B9C">
        <w:rPr>
          <w:rFonts w:asciiTheme="minorHAnsi" w:hAnsiTheme="minorHAnsi" w:cstheme="minorHAnsi"/>
          <w:sz w:val="24"/>
          <w:szCs w:val="24"/>
        </w:rPr>
        <w:lastRenderedPageBreak/>
        <w:t>General has no authority to impose sanctions on delegates. He also reiterated that ITU staff are subject to ITU policies, which do not apply to delegates. This is why ITU has implemented the UN System Code of Conduct, which is specifically aimed at event participants.</w:t>
      </w:r>
    </w:p>
    <w:p w14:paraId="2CF1DB7C" w14:textId="102BC541" w:rsidR="0094154A" w:rsidRPr="00C10B9C" w:rsidRDefault="0094154A" w:rsidP="00C10B9C">
      <w:pPr>
        <w:pStyle w:val="Tabletext"/>
        <w:tabs>
          <w:tab w:val="clear" w:pos="284"/>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13.8</w:t>
      </w:r>
      <w:r w:rsidRPr="00C10B9C">
        <w:rPr>
          <w:rFonts w:asciiTheme="minorHAnsi" w:hAnsiTheme="minorHAnsi" w:cstheme="minorHAnsi"/>
          <w:sz w:val="24"/>
          <w:szCs w:val="24"/>
        </w:rPr>
        <w:tab/>
        <w:t>Some delegations noted that the main rationale for developing an ITU Code of Conduct is that ITU already applies the UN System Code of Conduct. The request was simply to determine how best to implement the UN Code within ITU. Several delegations warned that exceeding this scope could present significant challenges, including jurisdictional issues and the current mandate of the Oversight Charter, definitional complexities, ITU’s in-house expertise and capacity, and financial costs. The United States requested to include a reservation on the record as to the current UN Code of Conduct’s mention of "gender".</w:t>
      </w:r>
    </w:p>
    <w:p w14:paraId="5CF4F0F9" w14:textId="5ACD6A39" w:rsidR="0094154A" w:rsidRPr="00C10B9C" w:rsidRDefault="0094154A" w:rsidP="00C10B9C">
      <w:pPr>
        <w:pStyle w:val="Tabletext"/>
        <w:tabs>
          <w:tab w:val="clear" w:pos="284"/>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13.9</w:t>
      </w:r>
      <w:r w:rsidRPr="00C10B9C">
        <w:rPr>
          <w:rFonts w:asciiTheme="minorHAnsi" w:hAnsiTheme="minorHAnsi" w:cstheme="minorHAnsi"/>
          <w:sz w:val="24"/>
          <w:szCs w:val="24"/>
        </w:rPr>
        <w:tab/>
        <w:t xml:space="preserve">As no consensus was reached on the proposed ITU Events Code of Conduct text and the contribution by RCC, the Chair of the CWG-FHR requested the </w:t>
      </w:r>
      <w:r w:rsidR="00836F9A" w:rsidRPr="00C10B9C">
        <w:rPr>
          <w:rFonts w:asciiTheme="minorHAnsi" w:hAnsiTheme="minorHAnsi" w:cstheme="minorHAnsi"/>
          <w:sz w:val="24"/>
          <w:szCs w:val="24"/>
        </w:rPr>
        <w:t>s</w:t>
      </w:r>
      <w:r w:rsidRPr="00C10B9C">
        <w:rPr>
          <w:rFonts w:asciiTheme="minorHAnsi" w:hAnsiTheme="minorHAnsi" w:cstheme="minorHAnsi"/>
          <w:sz w:val="24"/>
          <w:szCs w:val="24"/>
        </w:rPr>
        <w:t>ecretariat to submit, at the next CWG-FHR meeting, a detailed explanation of the implementation of the UN System Code of Conduct, which will remain in effect until further notice.</w:t>
      </w:r>
    </w:p>
    <w:p w14:paraId="53B41D40" w14:textId="3D1F68EA" w:rsidR="0094154A" w:rsidRPr="00C10B9C" w:rsidRDefault="0094154A" w:rsidP="00C10B9C">
      <w:pPr>
        <w:pStyle w:val="Tabletext"/>
        <w:tabs>
          <w:tab w:val="clear" w:pos="284"/>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13.10</w:t>
      </w:r>
      <w:r w:rsidRPr="00C10B9C">
        <w:rPr>
          <w:rFonts w:asciiTheme="minorHAnsi" w:hAnsiTheme="minorHAnsi" w:cstheme="minorHAnsi"/>
          <w:sz w:val="24"/>
          <w:szCs w:val="24"/>
        </w:rPr>
        <w:tab/>
        <w:t>The meeting’s report will be submitted to the ITU Council and will serve as a basis for future work.</w:t>
      </w:r>
    </w:p>
    <w:p w14:paraId="71B62A8F" w14:textId="02B54843" w:rsidR="00135DAF" w:rsidRPr="00C10B9C" w:rsidRDefault="00135DAF" w:rsidP="000D2039">
      <w:pPr>
        <w:pStyle w:val="Tabletext"/>
        <w:keepNext/>
        <w:keepLines/>
        <w:tabs>
          <w:tab w:val="clear" w:pos="284"/>
          <w:tab w:val="clear" w:pos="567"/>
        </w:tabs>
        <w:spacing w:before="480" w:after="120"/>
        <w:ind w:left="851" w:hanging="851"/>
        <w:rPr>
          <w:rFonts w:asciiTheme="minorHAnsi" w:hAnsiTheme="minorHAnsi" w:cstheme="minorHAnsi"/>
          <w:b/>
          <w:bCs/>
          <w:sz w:val="24"/>
          <w:szCs w:val="24"/>
          <w:lang w:val="fr-FR"/>
        </w:rPr>
      </w:pPr>
      <w:r w:rsidRPr="00C10B9C">
        <w:rPr>
          <w:rFonts w:asciiTheme="minorHAnsi" w:hAnsiTheme="minorHAnsi" w:cstheme="minorHAnsi"/>
          <w:b/>
          <w:bCs/>
          <w:sz w:val="24"/>
          <w:szCs w:val="24"/>
          <w:lang w:val="fr-FR"/>
        </w:rPr>
        <w:t>14</w:t>
      </w:r>
      <w:r w:rsidRPr="00C10B9C">
        <w:rPr>
          <w:rFonts w:asciiTheme="minorHAnsi" w:hAnsiTheme="minorHAnsi" w:cstheme="minorHAnsi"/>
          <w:b/>
          <w:bCs/>
          <w:sz w:val="24"/>
          <w:szCs w:val="24"/>
          <w:lang w:val="fr-FR"/>
        </w:rPr>
        <w:tab/>
      </w:r>
      <w:proofErr w:type="spellStart"/>
      <w:r w:rsidRPr="00C10B9C">
        <w:rPr>
          <w:rFonts w:asciiTheme="minorHAnsi" w:hAnsiTheme="minorHAnsi" w:cstheme="minorHAnsi"/>
          <w:b/>
          <w:bCs/>
          <w:sz w:val="24"/>
          <w:szCs w:val="24"/>
          <w:lang w:val="fr-FR"/>
        </w:rPr>
        <w:t>Fee</w:t>
      </w:r>
      <w:proofErr w:type="spellEnd"/>
      <w:r w:rsidRPr="00C10B9C">
        <w:rPr>
          <w:rFonts w:asciiTheme="minorHAnsi" w:hAnsiTheme="minorHAnsi" w:cstheme="minorHAnsi"/>
          <w:b/>
          <w:bCs/>
          <w:sz w:val="24"/>
          <w:szCs w:val="24"/>
          <w:lang w:val="fr-FR"/>
        </w:rPr>
        <w:t xml:space="preserve"> exemptions </w:t>
      </w:r>
      <w:proofErr w:type="spellStart"/>
      <w:r w:rsidRPr="00C10B9C">
        <w:rPr>
          <w:rFonts w:asciiTheme="minorHAnsi" w:hAnsiTheme="minorHAnsi" w:cstheme="minorHAnsi"/>
          <w:b/>
          <w:bCs/>
          <w:sz w:val="24"/>
          <w:szCs w:val="24"/>
          <w:lang w:val="fr-FR"/>
        </w:rPr>
        <w:t>analysis</w:t>
      </w:r>
      <w:proofErr w:type="spellEnd"/>
      <w:r w:rsidRPr="00C10B9C">
        <w:rPr>
          <w:rFonts w:asciiTheme="minorHAnsi" w:hAnsiTheme="minorHAnsi" w:cstheme="minorHAnsi"/>
          <w:b/>
          <w:bCs/>
          <w:sz w:val="24"/>
          <w:szCs w:val="24"/>
          <w:lang w:val="fr-FR"/>
        </w:rPr>
        <w:t xml:space="preserve"> – Document </w:t>
      </w:r>
      <w:hyperlink r:id="rId25" w:history="1">
        <w:r w:rsidRPr="00C10B9C">
          <w:rPr>
            <w:rStyle w:val="Hyperlink"/>
            <w:rFonts w:asciiTheme="minorHAnsi" w:hAnsiTheme="minorHAnsi" w:cstheme="minorHAnsi"/>
            <w:b/>
            <w:bCs/>
            <w:sz w:val="24"/>
            <w:szCs w:val="24"/>
            <w:lang w:val="fr-FR"/>
          </w:rPr>
          <w:t>CWG-FHR-19/9</w:t>
        </w:r>
      </w:hyperlink>
    </w:p>
    <w:p w14:paraId="330C5F3D" w14:textId="13A1E13F" w:rsidR="00971B6E" w:rsidRPr="00C10B9C" w:rsidRDefault="006031E9" w:rsidP="00C10B9C">
      <w:pPr>
        <w:keepNext/>
        <w:keepLines/>
        <w:tabs>
          <w:tab w:val="clear" w:pos="567"/>
          <w:tab w:val="clear" w:pos="1134"/>
          <w:tab w:val="clear" w:pos="1701"/>
          <w:tab w:val="clear" w:pos="2268"/>
          <w:tab w:val="clear" w:pos="2835"/>
          <w:tab w:val="left" w:pos="851"/>
        </w:tabs>
        <w:spacing w:after="120"/>
        <w:rPr>
          <w:rFonts w:asciiTheme="minorHAnsi" w:hAnsiTheme="minorHAnsi" w:cstheme="minorHAnsi"/>
          <w:color w:val="000000"/>
          <w:szCs w:val="24"/>
          <w:lang w:eastAsia="en-GB"/>
        </w:rPr>
      </w:pPr>
      <w:r w:rsidRPr="00C10B9C">
        <w:rPr>
          <w:rFonts w:asciiTheme="minorHAnsi" w:hAnsiTheme="minorHAnsi" w:cstheme="minorHAnsi"/>
          <w:color w:val="000000"/>
          <w:szCs w:val="24"/>
        </w:rPr>
        <w:t>14.1</w:t>
      </w:r>
      <w:r w:rsidRPr="00C10B9C">
        <w:rPr>
          <w:rFonts w:asciiTheme="minorHAnsi" w:hAnsiTheme="minorHAnsi" w:cstheme="minorHAnsi"/>
          <w:color w:val="000000"/>
          <w:szCs w:val="24"/>
        </w:rPr>
        <w:tab/>
      </w:r>
      <w:r w:rsidR="00971B6E" w:rsidRPr="00C10B9C">
        <w:rPr>
          <w:rFonts w:asciiTheme="minorHAnsi" w:hAnsiTheme="minorHAnsi" w:cstheme="minorHAnsi"/>
          <w:color w:val="000000"/>
          <w:szCs w:val="24"/>
        </w:rPr>
        <w:t>At its January 2024 session, following a discussion of the multi-country contribution CWG-FHR 17/15 regarding fee exemptions, the CWG-FHR chair asked the secretariat to assess the impact of changes proposed in this contribution. The secretariat provided this assessment in document CWG-FHR 19/9, which was presented to the October 2024 session and again to this February 2025 session. In summary, the multi-country contribution would bring Res</w:t>
      </w:r>
      <w:r w:rsidR="006F7ABD" w:rsidRPr="00C10B9C">
        <w:rPr>
          <w:rFonts w:asciiTheme="minorHAnsi" w:hAnsiTheme="minorHAnsi" w:cstheme="minorHAnsi"/>
          <w:color w:val="000000"/>
          <w:szCs w:val="24"/>
        </w:rPr>
        <w:t>olution</w:t>
      </w:r>
      <w:r w:rsidR="00971B6E" w:rsidRPr="00C10B9C">
        <w:rPr>
          <w:rFonts w:asciiTheme="minorHAnsi" w:hAnsiTheme="minorHAnsi" w:cstheme="minorHAnsi"/>
          <w:color w:val="000000"/>
          <w:szCs w:val="24"/>
        </w:rPr>
        <w:t xml:space="preserve"> 925 up to date and in alignment with current </w:t>
      </w:r>
      <w:proofErr w:type="gramStart"/>
      <w:r w:rsidR="00971B6E" w:rsidRPr="00C10B9C">
        <w:rPr>
          <w:rFonts w:asciiTheme="minorHAnsi" w:hAnsiTheme="minorHAnsi" w:cstheme="minorHAnsi"/>
          <w:color w:val="000000"/>
          <w:szCs w:val="24"/>
        </w:rPr>
        <w:t>practice</w:t>
      </w:r>
      <w:proofErr w:type="gramEnd"/>
      <w:r w:rsidR="00971B6E" w:rsidRPr="00C10B9C">
        <w:rPr>
          <w:rFonts w:asciiTheme="minorHAnsi" w:hAnsiTheme="minorHAnsi" w:cstheme="minorHAnsi"/>
          <w:color w:val="000000"/>
          <w:szCs w:val="24"/>
        </w:rPr>
        <w:t xml:space="preserve"> but the secretariat highlighted some areas requiring clarification for implementation. Following consultations with the authors of the multi-country contribution, the main proposed change for clarification is to remove reference to “taking into consideration the economic situation” of requesting entities in considering, ADD</w:t>
      </w:r>
      <w:r w:rsidR="00C0246E" w:rsidRPr="00C10B9C">
        <w:rPr>
          <w:rFonts w:asciiTheme="minorHAnsi" w:hAnsiTheme="minorHAnsi" w:cstheme="minorHAnsi"/>
          <w:color w:val="000000"/>
          <w:szCs w:val="24"/>
        </w:rPr>
        <w:t> </w:t>
      </w:r>
      <w:r w:rsidR="00971B6E" w:rsidRPr="00C10B9C">
        <w:rPr>
          <w:rFonts w:asciiTheme="minorHAnsi" w:hAnsiTheme="minorHAnsi" w:cstheme="minorHAnsi"/>
          <w:color w:val="000000"/>
          <w:szCs w:val="24"/>
        </w:rPr>
        <w:t>f, as the applying entity's revenues are not taken into consideration in the exemption criteria.</w:t>
      </w:r>
    </w:p>
    <w:p w14:paraId="7CAE6738" w14:textId="0849F7BC" w:rsidR="00971B6E" w:rsidRPr="00C10B9C" w:rsidRDefault="006031E9" w:rsidP="00C10B9C">
      <w:pPr>
        <w:tabs>
          <w:tab w:val="clear" w:pos="567"/>
          <w:tab w:val="clear" w:pos="1134"/>
          <w:tab w:val="clear" w:pos="1701"/>
          <w:tab w:val="clear" w:pos="2268"/>
          <w:tab w:val="clear" w:pos="2835"/>
          <w:tab w:val="left" w:pos="851"/>
        </w:tabs>
        <w:spacing w:after="120"/>
        <w:rPr>
          <w:rFonts w:asciiTheme="minorHAnsi" w:hAnsiTheme="minorHAnsi" w:cstheme="minorHAnsi"/>
          <w:color w:val="000000"/>
          <w:szCs w:val="24"/>
        </w:rPr>
      </w:pPr>
      <w:r w:rsidRPr="00C10B9C">
        <w:rPr>
          <w:rFonts w:asciiTheme="minorHAnsi" w:hAnsiTheme="minorHAnsi" w:cstheme="minorHAnsi"/>
          <w:color w:val="000000"/>
          <w:szCs w:val="24"/>
        </w:rPr>
        <w:t>14.2</w:t>
      </w:r>
      <w:r w:rsidRPr="00C10B9C">
        <w:rPr>
          <w:rFonts w:asciiTheme="minorHAnsi" w:hAnsiTheme="minorHAnsi" w:cstheme="minorHAnsi"/>
          <w:color w:val="000000"/>
          <w:szCs w:val="24"/>
        </w:rPr>
        <w:tab/>
      </w:r>
      <w:r w:rsidR="00971B6E" w:rsidRPr="00C10B9C">
        <w:rPr>
          <w:rFonts w:asciiTheme="minorHAnsi" w:hAnsiTheme="minorHAnsi" w:cstheme="minorHAnsi"/>
          <w:color w:val="000000"/>
          <w:szCs w:val="24"/>
        </w:rPr>
        <w:t>The issue of grandfathering of entities on the list prior to 2017 remains an open point. If the Council were to adopt the changes proposed to Resolution 925,</w:t>
      </w:r>
      <w:r w:rsidR="006F7ABD" w:rsidRPr="00C10B9C">
        <w:rPr>
          <w:rFonts w:asciiTheme="minorHAnsi" w:hAnsiTheme="minorHAnsi" w:cstheme="minorHAnsi"/>
          <w:color w:val="000000"/>
          <w:szCs w:val="24"/>
        </w:rPr>
        <w:t xml:space="preserve"> </w:t>
      </w:r>
      <w:r w:rsidR="00971B6E" w:rsidRPr="00C10B9C">
        <w:rPr>
          <w:rFonts w:asciiTheme="minorHAnsi" w:hAnsiTheme="minorHAnsi" w:cstheme="minorHAnsi"/>
          <w:color w:val="000000"/>
          <w:szCs w:val="24"/>
        </w:rPr>
        <w:t xml:space="preserve">without explicitly deciding to continue to grandfather the entities approved prior to 2017, about 50 entities (see Annexes 3 and 4 in Document </w:t>
      </w:r>
      <w:hyperlink r:id="rId26" w:history="1">
        <w:r w:rsidR="00971B6E" w:rsidRPr="00C10B9C">
          <w:rPr>
            <w:rStyle w:val="Hyperlink"/>
            <w:rFonts w:asciiTheme="minorHAnsi" w:hAnsiTheme="minorHAnsi" w:cstheme="minorHAnsi"/>
            <w:b/>
            <w:bCs/>
            <w:szCs w:val="24"/>
          </w:rPr>
          <w:t>C22/100</w:t>
        </w:r>
      </w:hyperlink>
      <w:r w:rsidR="00971B6E" w:rsidRPr="00C10B9C">
        <w:rPr>
          <w:rFonts w:asciiTheme="minorHAnsi" w:hAnsiTheme="minorHAnsi" w:cstheme="minorHAnsi"/>
          <w:color w:val="000000"/>
          <w:szCs w:val="24"/>
        </w:rPr>
        <w:t>) would in principle lose their exemption status.</w:t>
      </w:r>
    </w:p>
    <w:p w14:paraId="49BADB29" w14:textId="54E473C7" w:rsidR="00971B6E" w:rsidRPr="00C10B9C" w:rsidRDefault="006031E9" w:rsidP="00C10B9C">
      <w:pPr>
        <w:tabs>
          <w:tab w:val="clear" w:pos="567"/>
          <w:tab w:val="clear" w:pos="1134"/>
          <w:tab w:val="clear" w:pos="1701"/>
          <w:tab w:val="clear" w:pos="2268"/>
          <w:tab w:val="clear" w:pos="2835"/>
          <w:tab w:val="left" w:pos="851"/>
        </w:tabs>
        <w:spacing w:after="120"/>
        <w:rPr>
          <w:rFonts w:asciiTheme="minorHAnsi" w:hAnsiTheme="minorHAnsi" w:cstheme="minorHAnsi"/>
          <w:color w:val="000000"/>
          <w:szCs w:val="24"/>
        </w:rPr>
      </w:pPr>
      <w:r w:rsidRPr="00C10B9C">
        <w:rPr>
          <w:rFonts w:asciiTheme="minorHAnsi" w:hAnsiTheme="minorHAnsi" w:cstheme="minorHAnsi"/>
          <w:color w:val="000000"/>
          <w:szCs w:val="24"/>
        </w:rPr>
        <w:t>14.3</w:t>
      </w:r>
      <w:r w:rsidRPr="00C10B9C">
        <w:rPr>
          <w:rFonts w:asciiTheme="minorHAnsi" w:hAnsiTheme="minorHAnsi" w:cstheme="minorHAnsi"/>
          <w:color w:val="000000"/>
          <w:szCs w:val="24"/>
        </w:rPr>
        <w:tab/>
      </w:r>
      <w:r w:rsidR="00971B6E" w:rsidRPr="00C10B9C">
        <w:rPr>
          <w:rFonts w:asciiTheme="minorHAnsi" w:hAnsiTheme="minorHAnsi" w:cstheme="minorHAnsi"/>
          <w:color w:val="000000"/>
          <w:szCs w:val="24"/>
        </w:rPr>
        <w:t>Lastly, when examining the practices of other UN bodies, the secretariat highlighted the approach of UPU which charges reduced fees for non-governmental, not-for profit entities rather than offering fee exemption. This is an option that the CWG-FHR may also wish to consider.</w:t>
      </w:r>
    </w:p>
    <w:p w14:paraId="20768BA3" w14:textId="5F2538CD" w:rsidR="00971B6E" w:rsidRPr="00C10B9C" w:rsidRDefault="006031E9" w:rsidP="00C10B9C">
      <w:pPr>
        <w:tabs>
          <w:tab w:val="clear" w:pos="567"/>
          <w:tab w:val="clear" w:pos="1134"/>
          <w:tab w:val="clear" w:pos="1701"/>
          <w:tab w:val="clear" w:pos="2268"/>
          <w:tab w:val="clear" w:pos="2835"/>
          <w:tab w:val="left" w:pos="851"/>
        </w:tabs>
        <w:spacing w:after="120"/>
        <w:rPr>
          <w:rFonts w:asciiTheme="minorHAnsi" w:hAnsiTheme="minorHAnsi" w:cstheme="minorHAnsi"/>
          <w:color w:val="000000"/>
          <w:szCs w:val="24"/>
        </w:rPr>
      </w:pPr>
      <w:r w:rsidRPr="00C10B9C">
        <w:rPr>
          <w:rFonts w:asciiTheme="minorHAnsi" w:hAnsiTheme="minorHAnsi" w:cstheme="minorHAnsi"/>
          <w:color w:val="000000"/>
          <w:szCs w:val="24"/>
        </w:rPr>
        <w:t>14.4</w:t>
      </w:r>
      <w:r w:rsidRPr="00C10B9C">
        <w:rPr>
          <w:rFonts w:asciiTheme="minorHAnsi" w:hAnsiTheme="minorHAnsi" w:cstheme="minorHAnsi"/>
          <w:color w:val="000000"/>
          <w:szCs w:val="24"/>
        </w:rPr>
        <w:tab/>
      </w:r>
      <w:r w:rsidR="00971B6E" w:rsidRPr="00C10B9C">
        <w:rPr>
          <w:rFonts w:asciiTheme="minorHAnsi" w:hAnsiTheme="minorHAnsi" w:cstheme="minorHAnsi"/>
          <w:color w:val="000000"/>
          <w:szCs w:val="24"/>
        </w:rPr>
        <w:t>One delegation asked if the secretariat had considered how national NGOs might be accommodated to increase multistakeholder engagement. The secretariat replied it receives some applications for exemptions from national NGOs, but they do not meet the criteria as revised in 2017. Council could choose to include national NGOs within the exemption criteria. Alternatively, ITU could potentially adopt the approach of UPU and offer reduced fees for NGOs rather than fee exemption, which could cover national and international NGOs. Another delegate added that Council should review the criteria.</w:t>
      </w:r>
    </w:p>
    <w:p w14:paraId="7ED7BA96" w14:textId="567EAE55" w:rsidR="00971B6E" w:rsidRPr="00C10B9C" w:rsidRDefault="006031E9" w:rsidP="00C10B9C">
      <w:pPr>
        <w:tabs>
          <w:tab w:val="clear" w:pos="567"/>
          <w:tab w:val="clear" w:pos="1134"/>
          <w:tab w:val="clear" w:pos="1701"/>
          <w:tab w:val="clear" w:pos="2268"/>
          <w:tab w:val="clear" w:pos="2835"/>
          <w:tab w:val="left" w:pos="851"/>
        </w:tabs>
        <w:spacing w:after="120"/>
        <w:rPr>
          <w:rFonts w:asciiTheme="minorHAnsi" w:hAnsiTheme="minorHAnsi" w:cstheme="minorHAnsi"/>
          <w:color w:val="000000"/>
          <w:szCs w:val="24"/>
        </w:rPr>
      </w:pPr>
      <w:r w:rsidRPr="00C10B9C">
        <w:rPr>
          <w:rFonts w:asciiTheme="minorHAnsi" w:hAnsiTheme="minorHAnsi" w:cstheme="minorHAnsi"/>
          <w:color w:val="000000"/>
          <w:szCs w:val="24"/>
        </w:rPr>
        <w:lastRenderedPageBreak/>
        <w:t>14.5</w:t>
      </w:r>
      <w:r w:rsidRPr="00C10B9C">
        <w:rPr>
          <w:rFonts w:asciiTheme="minorHAnsi" w:hAnsiTheme="minorHAnsi" w:cstheme="minorHAnsi"/>
          <w:color w:val="000000"/>
          <w:szCs w:val="24"/>
        </w:rPr>
        <w:tab/>
      </w:r>
      <w:r w:rsidR="00971B6E" w:rsidRPr="00C10B9C">
        <w:rPr>
          <w:rFonts w:asciiTheme="minorHAnsi" w:hAnsiTheme="minorHAnsi" w:cstheme="minorHAnsi"/>
          <w:color w:val="000000"/>
          <w:szCs w:val="24"/>
        </w:rPr>
        <w:t>With no further comments, the Chair concluded that this topic will be included in the proposed review of sector membership by the sector advisory groups and inter-sector coordination group, as outlined in the liaison statement.</w:t>
      </w:r>
    </w:p>
    <w:p w14:paraId="3C1BE002" w14:textId="63BBF6F7" w:rsidR="00135DAF" w:rsidRPr="00C10B9C" w:rsidRDefault="00135DAF" w:rsidP="000D2039">
      <w:pPr>
        <w:pStyle w:val="Tabletext"/>
        <w:tabs>
          <w:tab w:val="clear" w:pos="284"/>
          <w:tab w:val="clear" w:pos="567"/>
        </w:tabs>
        <w:spacing w:before="180" w:after="180"/>
        <w:ind w:left="851" w:hanging="851"/>
        <w:rPr>
          <w:rFonts w:asciiTheme="minorHAnsi" w:hAnsiTheme="minorHAnsi" w:cstheme="minorHAnsi"/>
          <w:b/>
          <w:bCs/>
          <w:sz w:val="24"/>
          <w:szCs w:val="24"/>
        </w:rPr>
      </w:pPr>
      <w:r w:rsidRPr="00C10B9C">
        <w:rPr>
          <w:rFonts w:asciiTheme="minorHAnsi" w:hAnsiTheme="minorHAnsi" w:cstheme="minorHAnsi"/>
          <w:b/>
          <w:bCs/>
          <w:sz w:val="24"/>
          <w:szCs w:val="24"/>
        </w:rPr>
        <w:tab/>
        <w:t xml:space="preserve">Liaison statement on strengthening Sector Member engagement and revenues - </w:t>
      </w:r>
      <w:hyperlink r:id="rId27" w:history="1">
        <w:r w:rsidRPr="00C10B9C">
          <w:rPr>
            <w:rStyle w:val="Hyperlink"/>
            <w:rFonts w:asciiTheme="minorHAnsi" w:hAnsiTheme="minorHAnsi" w:cstheme="minorHAnsi"/>
            <w:b/>
            <w:bCs/>
            <w:sz w:val="24"/>
            <w:szCs w:val="24"/>
          </w:rPr>
          <w:t>CWG-FHR-20/2</w:t>
        </w:r>
        <w:r w:rsidR="006F7ABD" w:rsidRPr="00C10B9C">
          <w:rPr>
            <w:rStyle w:val="Hyperlink"/>
            <w:rFonts w:asciiTheme="minorHAnsi" w:hAnsiTheme="minorHAnsi" w:cstheme="minorHAnsi"/>
            <w:b/>
            <w:bCs/>
            <w:sz w:val="24"/>
            <w:szCs w:val="24"/>
          </w:rPr>
          <w:t>0 (Rev.1)</w:t>
        </w:r>
      </w:hyperlink>
    </w:p>
    <w:p w14:paraId="38A200CB" w14:textId="7FB81991" w:rsidR="00971B6E" w:rsidRPr="00C10B9C" w:rsidRDefault="00D012F5" w:rsidP="000B1885">
      <w:pPr>
        <w:tabs>
          <w:tab w:val="clear" w:pos="567"/>
          <w:tab w:val="clear" w:pos="1134"/>
          <w:tab w:val="clear" w:pos="1701"/>
          <w:tab w:val="clear" w:pos="2268"/>
          <w:tab w:val="clear" w:pos="2835"/>
          <w:tab w:val="left" w:pos="851"/>
        </w:tabs>
        <w:spacing w:before="240" w:after="120"/>
        <w:rPr>
          <w:rFonts w:asciiTheme="minorHAnsi" w:hAnsiTheme="minorHAnsi" w:cstheme="minorHAnsi"/>
          <w:color w:val="000000"/>
          <w:szCs w:val="24"/>
          <w:lang w:eastAsia="en-GB"/>
        </w:rPr>
      </w:pPr>
      <w:r w:rsidRPr="00C10B9C">
        <w:rPr>
          <w:rFonts w:asciiTheme="minorHAnsi" w:hAnsiTheme="minorHAnsi" w:cstheme="minorHAnsi"/>
          <w:color w:val="000000"/>
          <w:szCs w:val="24"/>
        </w:rPr>
        <w:t>14.6</w:t>
      </w:r>
      <w:r w:rsidRPr="00C10B9C">
        <w:rPr>
          <w:rFonts w:asciiTheme="minorHAnsi" w:hAnsiTheme="minorHAnsi" w:cstheme="minorHAnsi"/>
          <w:color w:val="000000"/>
          <w:szCs w:val="24"/>
        </w:rPr>
        <w:tab/>
      </w:r>
      <w:r w:rsidR="00971B6E" w:rsidRPr="00C10B9C">
        <w:rPr>
          <w:rFonts w:asciiTheme="minorHAnsi" w:hAnsiTheme="minorHAnsi" w:cstheme="minorHAnsi"/>
          <w:color w:val="000000"/>
          <w:szCs w:val="24"/>
        </w:rPr>
        <w:t xml:space="preserve">The Resource Mobilization strategy adopted by Council 2024 calls for a review of Sector </w:t>
      </w:r>
      <w:r w:rsidR="006F7ABD" w:rsidRPr="00C10B9C">
        <w:rPr>
          <w:rFonts w:asciiTheme="minorHAnsi" w:hAnsiTheme="minorHAnsi" w:cstheme="minorHAnsi"/>
          <w:color w:val="000000"/>
          <w:szCs w:val="24"/>
        </w:rPr>
        <w:t>m</w:t>
      </w:r>
      <w:r w:rsidR="00971B6E" w:rsidRPr="00C10B9C">
        <w:rPr>
          <w:rFonts w:asciiTheme="minorHAnsi" w:hAnsiTheme="minorHAnsi" w:cstheme="minorHAnsi"/>
          <w:color w:val="000000"/>
          <w:szCs w:val="24"/>
        </w:rPr>
        <w:t xml:space="preserve">embership rights and benefits in consultation with the Sector </w:t>
      </w:r>
      <w:r w:rsidR="00843D5A" w:rsidRPr="00C10B9C">
        <w:rPr>
          <w:rFonts w:asciiTheme="minorHAnsi" w:hAnsiTheme="minorHAnsi" w:cstheme="minorHAnsi"/>
          <w:color w:val="000000"/>
          <w:szCs w:val="24"/>
        </w:rPr>
        <w:t>a</w:t>
      </w:r>
      <w:r w:rsidR="00971B6E" w:rsidRPr="00C10B9C">
        <w:rPr>
          <w:rFonts w:asciiTheme="minorHAnsi" w:hAnsiTheme="minorHAnsi" w:cstheme="minorHAnsi"/>
          <w:color w:val="000000"/>
          <w:szCs w:val="24"/>
        </w:rPr>
        <w:t xml:space="preserve">dvisory </w:t>
      </w:r>
      <w:r w:rsidR="00843D5A" w:rsidRPr="00C10B9C">
        <w:rPr>
          <w:rFonts w:asciiTheme="minorHAnsi" w:hAnsiTheme="minorHAnsi" w:cstheme="minorHAnsi"/>
          <w:color w:val="000000"/>
          <w:szCs w:val="24"/>
        </w:rPr>
        <w:t>g</w:t>
      </w:r>
      <w:r w:rsidR="00971B6E" w:rsidRPr="00C10B9C">
        <w:rPr>
          <w:rFonts w:asciiTheme="minorHAnsi" w:hAnsiTheme="minorHAnsi" w:cstheme="minorHAnsi"/>
          <w:color w:val="000000"/>
          <w:szCs w:val="24"/>
        </w:rPr>
        <w:t>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3A053627" w14:textId="641C33CB" w:rsidR="00971B6E" w:rsidRPr="00C10B9C" w:rsidRDefault="00D012F5" w:rsidP="00C10B9C">
      <w:pPr>
        <w:tabs>
          <w:tab w:val="clear" w:pos="567"/>
          <w:tab w:val="clear" w:pos="1134"/>
          <w:tab w:val="clear" w:pos="1701"/>
          <w:tab w:val="clear" w:pos="2268"/>
          <w:tab w:val="clear" w:pos="2835"/>
          <w:tab w:val="left" w:pos="851"/>
        </w:tabs>
        <w:spacing w:after="120"/>
        <w:rPr>
          <w:rFonts w:asciiTheme="minorHAnsi" w:hAnsiTheme="minorHAnsi" w:cstheme="minorHAnsi"/>
          <w:color w:val="000000"/>
          <w:szCs w:val="24"/>
        </w:rPr>
      </w:pPr>
      <w:r w:rsidRPr="00C10B9C">
        <w:rPr>
          <w:rFonts w:asciiTheme="minorHAnsi" w:hAnsiTheme="minorHAnsi" w:cstheme="minorHAnsi"/>
          <w:color w:val="000000"/>
          <w:szCs w:val="24"/>
        </w:rPr>
        <w:t>14.7</w:t>
      </w:r>
      <w:r w:rsidRPr="00C10B9C">
        <w:rPr>
          <w:rFonts w:asciiTheme="minorHAnsi" w:hAnsiTheme="minorHAnsi" w:cstheme="minorHAnsi"/>
          <w:color w:val="000000"/>
          <w:szCs w:val="24"/>
        </w:rPr>
        <w:tab/>
      </w:r>
      <w:r w:rsidR="00971B6E" w:rsidRPr="00C10B9C">
        <w:rPr>
          <w:rFonts w:asciiTheme="minorHAnsi" w:hAnsiTheme="minorHAnsi" w:cstheme="minorHAnsi"/>
          <w:color w:val="000000"/>
          <w:szCs w:val="24"/>
        </w:rPr>
        <w:t>Document CWG</w:t>
      </w:r>
      <w:r w:rsidR="006F7ABD" w:rsidRPr="00C10B9C">
        <w:rPr>
          <w:rFonts w:asciiTheme="minorHAnsi" w:hAnsiTheme="minorHAnsi" w:cstheme="minorHAnsi"/>
          <w:color w:val="000000"/>
          <w:szCs w:val="24"/>
        </w:rPr>
        <w:t>-</w:t>
      </w:r>
      <w:r w:rsidR="00971B6E" w:rsidRPr="00C10B9C">
        <w:rPr>
          <w:rFonts w:asciiTheme="minorHAnsi" w:hAnsiTheme="minorHAnsi" w:cstheme="minorHAnsi"/>
          <w:color w:val="000000"/>
          <w:szCs w:val="24"/>
        </w:rPr>
        <w:t>FHR 20/20 presents a draft liaison statement from the CWG</w:t>
      </w:r>
      <w:r w:rsidR="006F7ABD" w:rsidRPr="00C10B9C">
        <w:rPr>
          <w:rFonts w:asciiTheme="minorHAnsi" w:hAnsiTheme="minorHAnsi" w:cstheme="minorHAnsi"/>
          <w:color w:val="000000"/>
          <w:szCs w:val="24"/>
        </w:rPr>
        <w:t>-</w:t>
      </w:r>
      <w:r w:rsidR="00971B6E" w:rsidRPr="00C10B9C">
        <w:rPr>
          <w:rFonts w:asciiTheme="minorHAnsi" w:hAnsiTheme="minorHAnsi" w:cstheme="minorHAnsi"/>
          <w:color w:val="000000"/>
          <w:szCs w:val="24"/>
        </w:rPr>
        <w:t xml:space="preserve">FHR to the Sector Advisory Groups requesting that they add an agenda item to their upcoming meetings in 2025 to consult Member States and Sector Members (including Associates and Academia) on ways to strengthen Sector </w:t>
      </w:r>
      <w:r w:rsidR="00843D5A" w:rsidRPr="00C10B9C">
        <w:rPr>
          <w:rFonts w:asciiTheme="minorHAnsi" w:hAnsiTheme="minorHAnsi" w:cstheme="minorHAnsi"/>
          <w:color w:val="000000"/>
          <w:szCs w:val="24"/>
        </w:rPr>
        <w:t>m</w:t>
      </w:r>
      <w:r w:rsidR="00971B6E" w:rsidRPr="00C10B9C">
        <w:rPr>
          <w:rFonts w:asciiTheme="minorHAnsi" w:hAnsiTheme="minorHAnsi" w:cstheme="minorHAnsi"/>
          <w:color w:val="000000"/>
          <w:szCs w:val="24"/>
        </w:rPr>
        <w:t>embership engagement and revenues. Document</w:t>
      </w:r>
      <w:r w:rsidR="00843D5A" w:rsidRPr="00C10B9C">
        <w:rPr>
          <w:rFonts w:asciiTheme="minorHAnsi" w:hAnsiTheme="minorHAnsi" w:cstheme="minorHAnsi"/>
          <w:color w:val="000000"/>
          <w:szCs w:val="24"/>
        </w:rPr>
        <w:t> </w:t>
      </w:r>
      <w:r w:rsidR="00971B6E" w:rsidRPr="00C10B9C">
        <w:rPr>
          <w:rFonts w:asciiTheme="minorHAnsi" w:hAnsiTheme="minorHAnsi" w:cstheme="minorHAnsi"/>
          <w:color w:val="000000"/>
          <w:szCs w:val="24"/>
        </w:rPr>
        <w:t>20/20 also recommends sending this statement to the Inter-Sector Coordination Group (ISCG) to ensure full coordination.</w:t>
      </w:r>
    </w:p>
    <w:p w14:paraId="74FB37CD" w14:textId="7957263D" w:rsidR="00971B6E" w:rsidRPr="00C10B9C" w:rsidRDefault="00D012F5" w:rsidP="00C10B9C">
      <w:pPr>
        <w:tabs>
          <w:tab w:val="clear" w:pos="567"/>
          <w:tab w:val="clear" w:pos="1134"/>
          <w:tab w:val="clear" w:pos="1701"/>
          <w:tab w:val="clear" w:pos="2268"/>
          <w:tab w:val="clear" w:pos="2835"/>
          <w:tab w:val="left" w:pos="851"/>
        </w:tabs>
        <w:spacing w:after="120"/>
        <w:rPr>
          <w:rFonts w:asciiTheme="minorHAnsi" w:hAnsiTheme="minorHAnsi" w:cstheme="minorHAnsi"/>
          <w:color w:val="000000"/>
          <w:szCs w:val="24"/>
        </w:rPr>
      </w:pPr>
      <w:r w:rsidRPr="00C10B9C">
        <w:rPr>
          <w:rFonts w:asciiTheme="minorHAnsi" w:hAnsiTheme="minorHAnsi" w:cstheme="minorHAnsi"/>
          <w:color w:val="000000"/>
          <w:szCs w:val="24"/>
        </w:rPr>
        <w:t>14.8</w:t>
      </w:r>
      <w:r w:rsidRPr="00C10B9C">
        <w:rPr>
          <w:rFonts w:asciiTheme="minorHAnsi" w:hAnsiTheme="minorHAnsi" w:cstheme="minorHAnsi"/>
          <w:color w:val="000000"/>
          <w:szCs w:val="24"/>
        </w:rPr>
        <w:tab/>
      </w:r>
      <w:r w:rsidR="00971B6E" w:rsidRPr="00C10B9C">
        <w:rPr>
          <w:rFonts w:asciiTheme="minorHAnsi" w:hAnsiTheme="minorHAnsi" w:cstheme="minorHAnsi"/>
          <w:color w:val="000000"/>
          <w:szCs w:val="24"/>
        </w:rPr>
        <w:t xml:space="preserve">Several delegations expressed support for the liaison statement and its proposed request for the </w:t>
      </w:r>
      <w:r w:rsidR="00843D5A" w:rsidRPr="00C10B9C">
        <w:rPr>
          <w:rFonts w:asciiTheme="minorHAnsi" w:hAnsiTheme="minorHAnsi" w:cstheme="minorHAnsi"/>
          <w:color w:val="000000"/>
          <w:szCs w:val="24"/>
        </w:rPr>
        <w:t>S</w:t>
      </w:r>
      <w:r w:rsidR="00971B6E" w:rsidRPr="00C10B9C">
        <w:rPr>
          <w:rFonts w:asciiTheme="minorHAnsi" w:hAnsiTheme="minorHAnsi" w:cstheme="minorHAnsi"/>
          <w:color w:val="000000"/>
          <w:szCs w:val="24"/>
        </w:rPr>
        <w:t>ector advisory groups and ISCG to consult and report on this topic. One delegation asked that it be made clear in the statement that the consultation include Associates, while another asked that the statement request inputs by the end of 2025.</w:t>
      </w:r>
    </w:p>
    <w:p w14:paraId="6498B82B" w14:textId="3656DB02" w:rsidR="00971B6E" w:rsidRPr="00C10B9C" w:rsidRDefault="00D012F5" w:rsidP="00C10B9C">
      <w:pPr>
        <w:tabs>
          <w:tab w:val="clear" w:pos="567"/>
          <w:tab w:val="clear" w:pos="1134"/>
          <w:tab w:val="clear" w:pos="1701"/>
          <w:tab w:val="clear" w:pos="2268"/>
          <w:tab w:val="clear" w:pos="2835"/>
          <w:tab w:val="left" w:pos="851"/>
        </w:tabs>
        <w:spacing w:after="120"/>
        <w:rPr>
          <w:rFonts w:asciiTheme="minorHAnsi" w:hAnsiTheme="minorHAnsi" w:cstheme="minorHAnsi"/>
          <w:color w:val="000000"/>
          <w:szCs w:val="24"/>
        </w:rPr>
      </w:pPr>
      <w:r w:rsidRPr="00C10B9C">
        <w:rPr>
          <w:rFonts w:asciiTheme="minorHAnsi" w:hAnsiTheme="minorHAnsi" w:cstheme="minorHAnsi"/>
          <w:color w:val="000000"/>
          <w:szCs w:val="24"/>
        </w:rPr>
        <w:t>14.9</w:t>
      </w:r>
      <w:r w:rsidRPr="00C10B9C">
        <w:rPr>
          <w:rFonts w:asciiTheme="minorHAnsi" w:hAnsiTheme="minorHAnsi" w:cstheme="minorHAnsi"/>
          <w:color w:val="000000"/>
          <w:szCs w:val="24"/>
        </w:rPr>
        <w:tab/>
      </w:r>
      <w:r w:rsidR="00971B6E" w:rsidRPr="00C10B9C">
        <w:rPr>
          <w:rFonts w:asciiTheme="minorHAnsi" w:hAnsiTheme="minorHAnsi" w:cstheme="minorHAnsi"/>
          <w:color w:val="000000"/>
          <w:szCs w:val="24"/>
        </w:rPr>
        <w:t xml:space="preserve">The chair concluded that the liaison statement will be finalized and sent by the secretariat </w:t>
      </w:r>
      <w:proofErr w:type="gramStart"/>
      <w:r w:rsidR="00971B6E" w:rsidRPr="00C10B9C">
        <w:rPr>
          <w:rFonts w:asciiTheme="minorHAnsi" w:hAnsiTheme="minorHAnsi" w:cstheme="minorHAnsi"/>
          <w:color w:val="000000"/>
          <w:szCs w:val="24"/>
        </w:rPr>
        <w:t>taking into account</w:t>
      </w:r>
      <w:proofErr w:type="gramEnd"/>
      <w:r w:rsidR="00971B6E" w:rsidRPr="00C10B9C">
        <w:rPr>
          <w:rFonts w:asciiTheme="minorHAnsi" w:hAnsiTheme="minorHAnsi" w:cstheme="minorHAnsi"/>
          <w:color w:val="000000"/>
          <w:szCs w:val="24"/>
        </w:rPr>
        <w:t xml:space="preserve"> the editorial changes requested by delegates.</w:t>
      </w:r>
    </w:p>
    <w:p w14:paraId="0FC83F10" w14:textId="1CE6DB35" w:rsidR="002F4916" w:rsidRPr="00C10B9C" w:rsidRDefault="002F4916" w:rsidP="000D2039">
      <w:pPr>
        <w:pStyle w:val="Tabletext"/>
        <w:tabs>
          <w:tab w:val="clear" w:pos="284"/>
          <w:tab w:val="clear" w:pos="567"/>
        </w:tabs>
        <w:spacing w:before="480" w:after="120"/>
        <w:ind w:left="851" w:hanging="851"/>
        <w:rPr>
          <w:rFonts w:asciiTheme="minorHAnsi" w:hAnsiTheme="minorHAnsi" w:cstheme="minorHAnsi"/>
          <w:b/>
          <w:sz w:val="24"/>
          <w:szCs w:val="24"/>
        </w:rPr>
      </w:pPr>
      <w:r w:rsidRPr="00C10B9C">
        <w:rPr>
          <w:rFonts w:asciiTheme="minorHAnsi" w:hAnsiTheme="minorHAnsi" w:cstheme="minorHAnsi"/>
          <w:b/>
          <w:bCs/>
          <w:sz w:val="24"/>
          <w:szCs w:val="24"/>
        </w:rPr>
        <w:t>15</w:t>
      </w:r>
      <w:r w:rsidRPr="00C10B9C">
        <w:rPr>
          <w:rFonts w:asciiTheme="minorHAnsi" w:hAnsiTheme="minorHAnsi" w:cstheme="minorHAnsi"/>
          <w:b/>
          <w:bCs/>
          <w:sz w:val="24"/>
          <w:szCs w:val="24"/>
        </w:rPr>
        <w:tab/>
      </w:r>
      <w:r w:rsidRPr="00C10B9C">
        <w:rPr>
          <w:rFonts w:asciiTheme="minorHAnsi" w:hAnsiTheme="minorHAnsi" w:cstheme="minorHAnsi"/>
          <w:b/>
          <w:sz w:val="24"/>
          <w:szCs w:val="24"/>
        </w:rPr>
        <w:t>Progress on the implementation of IT, cybersecurity, and data governance and IT roadmap implementation report - Document </w:t>
      </w:r>
      <w:hyperlink r:id="rId28" w:history="1">
        <w:r w:rsidRPr="00C10B9C">
          <w:rPr>
            <w:rStyle w:val="Hyperlink"/>
            <w:rFonts w:asciiTheme="minorHAnsi" w:hAnsiTheme="minorHAnsi" w:cstheme="minorHAnsi"/>
            <w:b/>
            <w:sz w:val="24"/>
            <w:szCs w:val="24"/>
          </w:rPr>
          <w:t>CWG-FHR-20/12</w:t>
        </w:r>
      </w:hyperlink>
    </w:p>
    <w:p w14:paraId="69B6DE43" w14:textId="1313706C" w:rsidR="002F4916" w:rsidRPr="00C10B9C" w:rsidRDefault="002F4916" w:rsidP="00C10B9C">
      <w:pPr>
        <w:tabs>
          <w:tab w:val="clear" w:pos="567"/>
          <w:tab w:val="left" w:pos="851"/>
        </w:tabs>
        <w:spacing w:after="120"/>
        <w:rPr>
          <w:rFonts w:asciiTheme="minorHAnsi" w:hAnsiTheme="minorHAnsi" w:cstheme="minorHAnsi"/>
          <w:szCs w:val="24"/>
        </w:rPr>
      </w:pPr>
      <w:r w:rsidRPr="00C10B9C">
        <w:rPr>
          <w:rFonts w:asciiTheme="minorHAnsi" w:hAnsiTheme="minorHAnsi" w:cstheme="minorHAnsi"/>
          <w:szCs w:val="24"/>
        </w:rPr>
        <w:t>15.1</w:t>
      </w:r>
      <w:r w:rsidRPr="00C10B9C">
        <w:rPr>
          <w:rFonts w:asciiTheme="minorHAnsi" w:hAnsiTheme="minorHAnsi" w:cstheme="minorHAnsi"/>
          <w:szCs w:val="24"/>
        </w:rPr>
        <w:tab/>
      </w:r>
      <w:r w:rsidR="00E85AA3" w:rsidRPr="00C10B9C">
        <w:rPr>
          <w:rFonts w:asciiTheme="minorHAnsi" w:hAnsiTheme="minorHAnsi" w:cstheme="minorHAnsi"/>
          <w:szCs w:val="24"/>
        </w:rPr>
        <w:t xml:space="preserve">The secretariat introduced Document </w:t>
      </w:r>
      <w:r w:rsidRPr="00C10B9C">
        <w:rPr>
          <w:rFonts w:asciiTheme="minorHAnsi" w:hAnsiTheme="minorHAnsi" w:cstheme="minorHAnsi"/>
          <w:szCs w:val="24"/>
        </w:rPr>
        <w:t xml:space="preserve">CWG-FHR-20/12 </w:t>
      </w:r>
      <w:r w:rsidR="00E85AA3" w:rsidRPr="00C10B9C">
        <w:rPr>
          <w:rFonts w:asciiTheme="minorHAnsi" w:hAnsiTheme="minorHAnsi" w:cstheme="minorHAnsi"/>
          <w:szCs w:val="24"/>
        </w:rPr>
        <w:t xml:space="preserve">which </w:t>
      </w:r>
      <w:r w:rsidRPr="00C10B9C">
        <w:rPr>
          <w:rFonts w:asciiTheme="minorHAnsi" w:hAnsiTheme="minorHAnsi" w:cstheme="minorHAnsi"/>
          <w:szCs w:val="24"/>
        </w:rPr>
        <w:t>provided an update on IT, cybersecurity, and data governance within ITU, along with progress on the IT transformation roadmap. ITU underwent a major transformation to enhance efficiency, foster innovation, and improve services for its members. To support this, ITU established a robust IT governance framework aligned with its business strategy and promoted collaboration between business units and IT.</w:t>
      </w:r>
    </w:p>
    <w:p w14:paraId="2779B20B" w14:textId="79C84CF3" w:rsidR="002F4916" w:rsidRPr="00C10B9C" w:rsidRDefault="002F4916" w:rsidP="00C10B9C">
      <w:pPr>
        <w:tabs>
          <w:tab w:val="clear" w:pos="567"/>
          <w:tab w:val="left" w:pos="851"/>
        </w:tabs>
        <w:spacing w:after="120"/>
        <w:rPr>
          <w:rFonts w:asciiTheme="minorHAnsi" w:hAnsiTheme="minorHAnsi" w:cstheme="minorHAnsi"/>
          <w:szCs w:val="24"/>
        </w:rPr>
      </w:pPr>
      <w:r w:rsidRPr="00C10B9C">
        <w:rPr>
          <w:rFonts w:asciiTheme="minorHAnsi" w:hAnsiTheme="minorHAnsi" w:cstheme="minorHAnsi"/>
          <w:szCs w:val="24"/>
        </w:rPr>
        <w:t>15.2</w:t>
      </w:r>
      <w:r w:rsidRPr="00C10B9C">
        <w:rPr>
          <w:rFonts w:asciiTheme="minorHAnsi" w:hAnsiTheme="minorHAnsi" w:cstheme="minorHAnsi"/>
          <w:szCs w:val="24"/>
        </w:rPr>
        <w:tab/>
        <w:t xml:space="preserve">A key initiative was the formation of the Information and Communication Technology Governance Committee (ICTGC) in 2024, which oversaw IT governance. The </w:t>
      </w:r>
      <w:r w:rsidR="00E85AA3" w:rsidRPr="00C10B9C">
        <w:rPr>
          <w:rFonts w:asciiTheme="minorHAnsi" w:hAnsiTheme="minorHAnsi" w:cstheme="minorHAnsi"/>
          <w:szCs w:val="24"/>
        </w:rPr>
        <w:t>C</w:t>
      </w:r>
      <w:r w:rsidRPr="00C10B9C">
        <w:rPr>
          <w:rFonts w:asciiTheme="minorHAnsi" w:hAnsiTheme="minorHAnsi" w:cstheme="minorHAnsi"/>
          <w:szCs w:val="24"/>
        </w:rPr>
        <w:t>ommittee, chaired by the Deputy Secretary-General, included appointed officials and bureau representatives to ensure ITU-wide coverage. Its Terms of Reference were set by Service Order 24/10 on 20</w:t>
      </w:r>
      <w:r w:rsidR="00E85AA3" w:rsidRPr="00C10B9C">
        <w:rPr>
          <w:rFonts w:asciiTheme="minorHAnsi" w:hAnsiTheme="minorHAnsi" w:cstheme="minorHAnsi"/>
          <w:szCs w:val="24"/>
        </w:rPr>
        <w:t> </w:t>
      </w:r>
      <w:r w:rsidRPr="00C10B9C">
        <w:rPr>
          <w:rFonts w:asciiTheme="minorHAnsi" w:hAnsiTheme="minorHAnsi" w:cstheme="minorHAnsi"/>
          <w:szCs w:val="24"/>
        </w:rPr>
        <w:t>September 2024.</w:t>
      </w:r>
    </w:p>
    <w:p w14:paraId="02B01F0D" w14:textId="05FD91E3" w:rsidR="002F4916" w:rsidRPr="00C10B9C" w:rsidRDefault="002F4916" w:rsidP="000B1885">
      <w:pPr>
        <w:tabs>
          <w:tab w:val="clear" w:pos="567"/>
          <w:tab w:val="left" w:pos="851"/>
        </w:tabs>
        <w:spacing w:after="240"/>
        <w:rPr>
          <w:rFonts w:asciiTheme="minorHAnsi" w:hAnsiTheme="minorHAnsi" w:cstheme="minorHAnsi"/>
          <w:szCs w:val="24"/>
        </w:rPr>
      </w:pPr>
      <w:r w:rsidRPr="00C10B9C">
        <w:rPr>
          <w:rFonts w:asciiTheme="minorHAnsi" w:hAnsiTheme="minorHAnsi" w:cstheme="minorHAnsi"/>
          <w:szCs w:val="24"/>
        </w:rPr>
        <w:t>15.3</w:t>
      </w:r>
      <w:r w:rsidRPr="00C10B9C">
        <w:rPr>
          <w:rFonts w:asciiTheme="minorHAnsi" w:hAnsiTheme="minorHAnsi" w:cstheme="minorHAnsi"/>
          <w:szCs w:val="24"/>
        </w:rPr>
        <w:tab/>
        <w:t>The report also highlighted significant progress in IT transformation, particularly in the following areas:</w:t>
      </w:r>
    </w:p>
    <w:p w14:paraId="39A3DB0A" w14:textId="77777777" w:rsidR="002F4916" w:rsidRPr="00C10B9C" w:rsidRDefault="002F4916" w:rsidP="000D2039">
      <w:pPr>
        <w:tabs>
          <w:tab w:val="clear" w:pos="567"/>
          <w:tab w:val="num" w:pos="720"/>
          <w:tab w:val="left" w:pos="851"/>
        </w:tabs>
        <w:spacing w:after="80"/>
        <w:ind w:left="720"/>
        <w:jc w:val="both"/>
        <w:rPr>
          <w:rFonts w:asciiTheme="minorHAnsi" w:hAnsiTheme="minorHAnsi" w:cstheme="minorHAnsi"/>
          <w:szCs w:val="24"/>
        </w:rPr>
      </w:pPr>
      <w:r w:rsidRPr="00C10B9C">
        <w:rPr>
          <w:rFonts w:asciiTheme="minorHAnsi" w:hAnsiTheme="minorHAnsi" w:cstheme="minorHAnsi"/>
          <w:szCs w:val="24"/>
        </w:rPr>
        <w:t>Cybersecurity</w:t>
      </w:r>
    </w:p>
    <w:p w14:paraId="5E16D3A5" w14:textId="77777777" w:rsidR="002F4916" w:rsidRPr="00C10B9C" w:rsidRDefault="002F4916" w:rsidP="000D2039">
      <w:pPr>
        <w:tabs>
          <w:tab w:val="clear" w:pos="567"/>
          <w:tab w:val="num" w:pos="720"/>
          <w:tab w:val="left" w:pos="851"/>
        </w:tabs>
        <w:spacing w:before="80" w:after="80"/>
        <w:ind w:left="720"/>
        <w:jc w:val="both"/>
        <w:rPr>
          <w:rFonts w:asciiTheme="minorHAnsi" w:hAnsiTheme="minorHAnsi" w:cstheme="minorHAnsi"/>
          <w:szCs w:val="24"/>
        </w:rPr>
      </w:pPr>
      <w:r w:rsidRPr="00C10B9C">
        <w:rPr>
          <w:rFonts w:asciiTheme="minorHAnsi" w:hAnsiTheme="minorHAnsi" w:cstheme="minorHAnsi"/>
          <w:szCs w:val="24"/>
        </w:rPr>
        <w:t>Information Governance (IG)</w:t>
      </w:r>
    </w:p>
    <w:p w14:paraId="2CC23696" w14:textId="77777777" w:rsidR="002F4916" w:rsidRPr="00C10B9C" w:rsidRDefault="002F4916" w:rsidP="000D2039">
      <w:pPr>
        <w:tabs>
          <w:tab w:val="clear" w:pos="567"/>
          <w:tab w:val="num" w:pos="720"/>
          <w:tab w:val="left" w:pos="851"/>
        </w:tabs>
        <w:spacing w:before="80" w:after="80"/>
        <w:ind w:left="720"/>
        <w:jc w:val="both"/>
        <w:rPr>
          <w:rFonts w:asciiTheme="minorHAnsi" w:hAnsiTheme="minorHAnsi" w:cstheme="minorHAnsi"/>
          <w:szCs w:val="24"/>
        </w:rPr>
      </w:pPr>
      <w:r w:rsidRPr="00C10B9C">
        <w:rPr>
          <w:rFonts w:asciiTheme="minorHAnsi" w:hAnsiTheme="minorHAnsi" w:cstheme="minorHAnsi"/>
          <w:szCs w:val="24"/>
        </w:rPr>
        <w:t>Enterprise Architecture (EA)</w:t>
      </w:r>
    </w:p>
    <w:p w14:paraId="31B4E392" w14:textId="77777777" w:rsidR="002F4916" w:rsidRPr="00C10B9C" w:rsidRDefault="002F4916" w:rsidP="000D2039">
      <w:pPr>
        <w:tabs>
          <w:tab w:val="clear" w:pos="567"/>
          <w:tab w:val="num" w:pos="720"/>
          <w:tab w:val="left" w:pos="851"/>
        </w:tabs>
        <w:spacing w:before="80" w:after="80"/>
        <w:ind w:left="720"/>
        <w:jc w:val="both"/>
        <w:rPr>
          <w:rFonts w:asciiTheme="minorHAnsi" w:hAnsiTheme="minorHAnsi" w:cstheme="minorHAnsi"/>
          <w:szCs w:val="24"/>
        </w:rPr>
      </w:pPr>
      <w:r w:rsidRPr="00C10B9C">
        <w:rPr>
          <w:rFonts w:asciiTheme="minorHAnsi" w:hAnsiTheme="minorHAnsi" w:cstheme="minorHAnsi"/>
          <w:szCs w:val="24"/>
        </w:rPr>
        <w:t>Cloud Adoption</w:t>
      </w:r>
    </w:p>
    <w:p w14:paraId="038B3208" w14:textId="77777777" w:rsidR="002F4916" w:rsidRPr="00C10B9C" w:rsidRDefault="002F4916" w:rsidP="000D2039">
      <w:pPr>
        <w:tabs>
          <w:tab w:val="clear" w:pos="567"/>
          <w:tab w:val="num" w:pos="720"/>
          <w:tab w:val="left" w:pos="851"/>
        </w:tabs>
        <w:spacing w:before="80" w:after="80"/>
        <w:ind w:left="720"/>
        <w:jc w:val="both"/>
        <w:rPr>
          <w:rFonts w:asciiTheme="minorHAnsi" w:hAnsiTheme="minorHAnsi" w:cstheme="minorHAnsi"/>
          <w:szCs w:val="24"/>
        </w:rPr>
      </w:pPr>
      <w:r w:rsidRPr="00C10B9C">
        <w:rPr>
          <w:rFonts w:asciiTheme="minorHAnsi" w:hAnsiTheme="minorHAnsi" w:cstheme="minorHAnsi"/>
          <w:szCs w:val="24"/>
        </w:rPr>
        <w:t>Virtual Events and Remote Participation</w:t>
      </w:r>
    </w:p>
    <w:p w14:paraId="0E0B1628" w14:textId="77777777" w:rsidR="002F4916" w:rsidRPr="00C10B9C" w:rsidRDefault="002F4916" w:rsidP="000D2039">
      <w:pPr>
        <w:tabs>
          <w:tab w:val="clear" w:pos="567"/>
          <w:tab w:val="num" w:pos="720"/>
          <w:tab w:val="left" w:pos="851"/>
        </w:tabs>
        <w:spacing w:before="80" w:after="80"/>
        <w:ind w:left="720"/>
        <w:jc w:val="both"/>
        <w:rPr>
          <w:rFonts w:asciiTheme="minorHAnsi" w:hAnsiTheme="minorHAnsi" w:cstheme="minorHAnsi"/>
          <w:szCs w:val="24"/>
        </w:rPr>
      </w:pPr>
      <w:r w:rsidRPr="00C10B9C">
        <w:rPr>
          <w:rFonts w:asciiTheme="minorHAnsi" w:hAnsiTheme="minorHAnsi" w:cstheme="minorHAnsi"/>
          <w:szCs w:val="24"/>
        </w:rPr>
        <w:lastRenderedPageBreak/>
        <w:t>ITU Website Improvements</w:t>
      </w:r>
    </w:p>
    <w:p w14:paraId="5A5DA750" w14:textId="77777777" w:rsidR="002F4916" w:rsidRPr="00C10B9C" w:rsidRDefault="002F4916" w:rsidP="000D2039">
      <w:pPr>
        <w:tabs>
          <w:tab w:val="clear" w:pos="567"/>
          <w:tab w:val="num" w:pos="720"/>
          <w:tab w:val="left" w:pos="851"/>
        </w:tabs>
        <w:spacing w:before="80" w:after="80"/>
        <w:ind w:left="720"/>
        <w:jc w:val="both"/>
        <w:rPr>
          <w:rFonts w:asciiTheme="minorHAnsi" w:hAnsiTheme="minorHAnsi" w:cstheme="minorHAnsi"/>
          <w:szCs w:val="24"/>
        </w:rPr>
      </w:pPr>
      <w:r w:rsidRPr="00C10B9C">
        <w:rPr>
          <w:rFonts w:asciiTheme="minorHAnsi" w:hAnsiTheme="minorHAnsi" w:cstheme="minorHAnsi"/>
          <w:szCs w:val="24"/>
        </w:rPr>
        <w:t>AI Solutions</w:t>
      </w:r>
    </w:p>
    <w:p w14:paraId="55E89D66" w14:textId="77777777" w:rsidR="002F4916" w:rsidRPr="00C10B9C" w:rsidRDefault="002F4916" w:rsidP="000D2039">
      <w:pPr>
        <w:tabs>
          <w:tab w:val="clear" w:pos="567"/>
          <w:tab w:val="left" w:pos="851"/>
        </w:tabs>
        <w:spacing w:before="80" w:after="120"/>
        <w:ind w:left="720"/>
        <w:jc w:val="both"/>
        <w:rPr>
          <w:rFonts w:asciiTheme="minorHAnsi" w:hAnsiTheme="minorHAnsi" w:cstheme="minorHAnsi"/>
          <w:szCs w:val="24"/>
        </w:rPr>
      </w:pPr>
      <w:r w:rsidRPr="00C10B9C">
        <w:rPr>
          <w:rFonts w:asciiTheme="minorHAnsi" w:hAnsiTheme="minorHAnsi" w:cstheme="minorHAnsi"/>
          <w:szCs w:val="24"/>
        </w:rPr>
        <w:t>Corporate ERP and CRM Solutions</w:t>
      </w:r>
    </w:p>
    <w:p w14:paraId="7694E41E" w14:textId="5299A156" w:rsidR="002F4916" w:rsidRPr="00C10B9C" w:rsidRDefault="002F4916" w:rsidP="000D2039">
      <w:pPr>
        <w:tabs>
          <w:tab w:val="clear" w:pos="567"/>
          <w:tab w:val="left" w:pos="851"/>
        </w:tabs>
        <w:spacing w:before="240" w:after="120"/>
        <w:rPr>
          <w:rFonts w:asciiTheme="minorHAnsi" w:hAnsiTheme="minorHAnsi" w:cstheme="minorHAnsi"/>
          <w:szCs w:val="24"/>
        </w:rPr>
      </w:pPr>
      <w:r w:rsidRPr="00C10B9C">
        <w:rPr>
          <w:rFonts w:asciiTheme="minorHAnsi" w:hAnsiTheme="minorHAnsi" w:cstheme="minorHAnsi"/>
          <w:szCs w:val="24"/>
        </w:rPr>
        <w:t>15.4</w:t>
      </w:r>
      <w:r w:rsidRPr="00C10B9C">
        <w:rPr>
          <w:rFonts w:asciiTheme="minorHAnsi" w:hAnsiTheme="minorHAnsi" w:cstheme="minorHAnsi"/>
          <w:szCs w:val="24"/>
        </w:rPr>
        <w:tab/>
        <w:t>These advancements demonstrated ITU’s commitment to strengthening its IT infrastructure and enhancing services for its members.</w:t>
      </w:r>
    </w:p>
    <w:p w14:paraId="285F0DC9" w14:textId="793C1A32" w:rsidR="002F4916" w:rsidRPr="00C10B9C" w:rsidRDefault="002F4916" w:rsidP="000B1885">
      <w:pPr>
        <w:tabs>
          <w:tab w:val="clear" w:pos="567"/>
          <w:tab w:val="left" w:pos="851"/>
        </w:tabs>
        <w:spacing w:after="140"/>
        <w:rPr>
          <w:rFonts w:asciiTheme="minorHAnsi" w:hAnsiTheme="minorHAnsi" w:cstheme="minorHAnsi"/>
          <w:szCs w:val="24"/>
        </w:rPr>
      </w:pPr>
      <w:r w:rsidRPr="00C10B9C">
        <w:rPr>
          <w:rFonts w:asciiTheme="minorHAnsi" w:hAnsiTheme="minorHAnsi" w:cstheme="minorHAnsi"/>
          <w:szCs w:val="24"/>
        </w:rPr>
        <w:t>15.5</w:t>
      </w:r>
      <w:r w:rsidRPr="00C10B9C">
        <w:rPr>
          <w:rFonts w:asciiTheme="minorHAnsi" w:hAnsiTheme="minorHAnsi" w:cstheme="minorHAnsi"/>
          <w:szCs w:val="24"/>
        </w:rPr>
        <w:tab/>
        <w:t>Delegates welcomed the update, noting progress in security, governance, and IT achievements within ITU. Some delegates requested that future reports include timelines and details on pending activities in various areas of implementation.</w:t>
      </w:r>
    </w:p>
    <w:p w14:paraId="61A0A665" w14:textId="09F91CB9" w:rsidR="002F4916" w:rsidRPr="00C10B9C" w:rsidRDefault="00E85AA3" w:rsidP="000B1885">
      <w:pPr>
        <w:tabs>
          <w:tab w:val="clear" w:pos="567"/>
          <w:tab w:val="left" w:pos="851"/>
        </w:tabs>
        <w:spacing w:after="140"/>
        <w:rPr>
          <w:rFonts w:asciiTheme="minorHAnsi" w:hAnsiTheme="minorHAnsi" w:cstheme="minorHAnsi"/>
          <w:szCs w:val="24"/>
        </w:rPr>
      </w:pPr>
      <w:r w:rsidRPr="00C10B9C">
        <w:rPr>
          <w:rFonts w:asciiTheme="minorHAnsi" w:hAnsiTheme="minorHAnsi" w:cstheme="minorHAnsi"/>
          <w:szCs w:val="24"/>
        </w:rPr>
        <w:t>15.6</w:t>
      </w:r>
      <w:r w:rsidRPr="00C10B9C">
        <w:rPr>
          <w:rFonts w:asciiTheme="minorHAnsi" w:hAnsiTheme="minorHAnsi" w:cstheme="minorHAnsi"/>
          <w:szCs w:val="24"/>
        </w:rPr>
        <w:tab/>
      </w:r>
      <w:r w:rsidR="002F4916" w:rsidRPr="00C10B9C">
        <w:rPr>
          <w:rFonts w:asciiTheme="minorHAnsi" w:hAnsiTheme="minorHAnsi" w:cstheme="minorHAnsi"/>
          <w:szCs w:val="24"/>
        </w:rPr>
        <w:t>Delegates appreciated the ITU’s significant efforts in enhancing Member States' experience through platforms, process, and tool updates, particularly the recent cloud migration project. They requested more detailed information on the upcoming cloud migration project, with a specific focus on the ERP/CRM transition.</w:t>
      </w:r>
    </w:p>
    <w:p w14:paraId="6B1C4A61" w14:textId="745A21BE" w:rsidR="002F4916" w:rsidRPr="00C10B9C" w:rsidRDefault="00E85AA3" w:rsidP="000B1885">
      <w:pPr>
        <w:tabs>
          <w:tab w:val="clear" w:pos="567"/>
          <w:tab w:val="left" w:pos="851"/>
        </w:tabs>
        <w:spacing w:after="140"/>
        <w:rPr>
          <w:rFonts w:asciiTheme="minorHAnsi" w:hAnsiTheme="minorHAnsi" w:cstheme="minorHAnsi"/>
          <w:szCs w:val="24"/>
        </w:rPr>
      </w:pPr>
      <w:r w:rsidRPr="00C10B9C">
        <w:rPr>
          <w:rFonts w:asciiTheme="minorHAnsi" w:hAnsiTheme="minorHAnsi" w:cstheme="minorHAnsi"/>
          <w:szCs w:val="24"/>
        </w:rPr>
        <w:t>15.7</w:t>
      </w:r>
      <w:r w:rsidRPr="00C10B9C">
        <w:rPr>
          <w:rFonts w:asciiTheme="minorHAnsi" w:hAnsiTheme="minorHAnsi" w:cstheme="minorHAnsi"/>
          <w:szCs w:val="24"/>
        </w:rPr>
        <w:tab/>
      </w:r>
      <w:r w:rsidR="002F4916" w:rsidRPr="00C10B9C">
        <w:rPr>
          <w:rFonts w:asciiTheme="minorHAnsi" w:hAnsiTheme="minorHAnsi" w:cstheme="minorHAnsi"/>
          <w:szCs w:val="24"/>
        </w:rPr>
        <w:t>Delegates emphasized the importance of understanding the IT strategy, action plans, and monitoring performance indicators for ICT implementation across the Union.</w:t>
      </w:r>
    </w:p>
    <w:p w14:paraId="375E5556" w14:textId="46453CB8" w:rsidR="002F4916" w:rsidRPr="00C10B9C" w:rsidRDefault="00E85AA3" w:rsidP="000B1885">
      <w:pPr>
        <w:tabs>
          <w:tab w:val="clear" w:pos="567"/>
          <w:tab w:val="left" w:pos="851"/>
        </w:tabs>
        <w:spacing w:after="140"/>
        <w:rPr>
          <w:rFonts w:asciiTheme="minorHAnsi" w:hAnsiTheme="minorHAnsi" w:cstheme="minorHAnsi"/>
          <w:szCs w:val="24"/>
        </w:rPr>
      </w:pPr>
      <w:r w:rsidRPr="00C10B9C">
        <w:rPr>
          <w:rFonts w:asciiTheme="minorHAnsi" w:hAnsiTheme="minorHAnsi" w:cstheme="minorHAnsi"/>
          <w:szCs w:val="24"/>
        </w:rPr>
        <w:t>15.8</w:t>
      </w:r>
      <w:r w:rsidRPr="00C10B9C">
        <w:rPr>
          <w:rFonts w:asciiTheme="minorHAnsi" w:hAnsiTheme="minorHAnsi" w:cstheme="minorHAnsi"/>
          <w:szCs w:val="24"/>
        </w:rPr>
        <w:tab/>
      </w:r>
      <w:r w:rsidR="002F4916" w:rsidRPr="00C10B9C">
        <w:rPr>
          <w:rFonts w:asciiTheme="minorHAnsi" w:hAnsiTheme="minorHAnsi" w:cstheme="minorHAnsi"/>
          <w:szCs w:val="24"/>
        </w:rPr>
        <w:t>Some delegates noted that the report did not provide updates on challenges in implementing the IT roadmap, independent ITU audits, or system-level vulnerability assessments. They stressed the importance of regular updates on these matters, particularly regarding IT security mechanisms.</w:t>
      </w:r>
    </w:p>
    <w:p w14:paraId="38FCA5E0" w14:textId="01C74A1C" w:rsidR="002F4916" w:rsidRPr="00C10B9C" w:rsidRDefault="00E85AA3" w:rsidP="000B1885">
      <w:pPr>
        <w:tabs>
          <w:tab w:val="clear" w:pos="567"/>
          <w:tab w:val="left" w:pos="851"/>
        </w:tabs>
        <w:spacing w:after="140"/>
        <w:rPr>
          <w:rFonts w:asciiTheme="minorHAnsi" w:hAnsiTheme="minorHAnsi" w:cstheme="minorHAnsi"/>
          <w:szCs w:val="24"/>
        </w:rPr>
      </w:pPr>
      <w:r w:rsidRPr="00C10B9C">
        <w:rPr>
          <w:rFonts w:asciiTheme="minorHAnsi" w:hAnsiTheme="minorHAnsi" w:cstheme="minorHAnsi"/>
          <w:szCs w:val="24"/>
        </w:rPr>
        <w:t>15.9</w:t>
      </w:r>
      <w:r w:rsidRPr="00C10B9C">
        <w:rPr>
          <w:rFonts w:asciiTheme="minorHAnsi" w:hAnsiTheme="minorHAnsi" w:cstheme="minorHAnsi"/>
          <w:szCs w:val="24"/>
        </w:rPr>
        <w:tab/>
      </w:r>
      <w:r w:rsidR="002F4916" w:rsidRPr="00C10B9C">
        <w:rPr>
          <w:rFonts w:asciiTheme="minorHAnsi" w:hAnsiTheme="minorHAnsi" w:cstheme="minorHAnsi"/>
          <w:szCs w:val="24"/>
        </w:rPr>
        <w:t xml:space="preserve">The </w:t>
      </w:r>
      <w:r w:rsidRPr="00C10B9C">
        <w:rPr>
          <w:rFonts w:asciiTheme="minorHAnsi" w:hAnsiTheme="minorHAnsi" w:cstheme="minorHAnsi"/>
          <w:szCs w:val="24"/>
        </w:rPr>
        <w:t>s</w:t>
      </w:r>
      <w:r w:rsidR="002F4916" w:rsidRPr="00C10B9C">
        <w:rPr>
          <w:rFonts w:asciiTheme="minorHAnsi" w:hAnsiTheme="minorHAnsi" w:cstheme="minorHAnsi"/>
          <w:szCs w:val="24"/>
        </w:rPr>
        <w:t>ecretariat acknowledged the request for timelines and progress tracking in future reports and informed delegates that the Information Services Department is currently undergoing a leadership transition, and the work on the IS strategy will be continued in the coming months.</w:t>
      </w:r>
    </w:p>
    <w:p w14:paraId="4F744FDA" w14:textId="2BF07A40" w:rsidR="002F4916" w:rsidRPr="00C10B9C" w:rsidRDefault="00E85AA3" w:rsidP="000B1885">
      <w:pPr>
        <w:tabs>
          <w:tab w:val="clear" w:pos="567"/>
          <w:tab w:val="left" w:pos="851"/>
        </w:tabs>
        <w:spacing w:after="140"/>
        <w:rPr>
          <w:rFonts w:asciiTheme="minorHAnsi" w:hAnsiTheme="minorHAnsi" w:cstheme="minorHAnsi"/>
          <w:szCs w:val="24"/>
        </w:rPr>
      </w:pPr>
      <w:r w:rsidRPr="00C10B9C">
        <w:rPr>
          <w:rFonts w:asciiTheme="minorHAnsi" w:hAnsiTheme="minorHAnsi" w:cstheme="minorHAnsi"/>
          <w:szCs w:val="24"/>
        </w:rPr>
        <w:t>15.10</w:t>
      </w:r>
      <w:r w:rsidRPr="00C10B9C">
        <w:rPr>
          <w:rFonts w:asciiTheme="minorHAnsi" w:hAnsiTheme="minorHAnsi" w:cstheme="minorHAnsi"/>
          <w:szCs w:val="24"/>
        </w:rPr>
        <w:tab/>
      </w:r>
      <w:r w:rsidR="002F4916" w:rsidRPr="00C10B9C">
        <w:rPr>
          <w:rFonts w:asciiTheme="minorHAnsi" w:hAnsiTheme="minorHAnsi" w:cstheme="minorHAnsi"/>
          <w:szCs w:val="24"/>
        </w:rPr>
        <w:t xml:space="preserve">The </w:t>
      </w:r>
      <w:r w:rsidRPr="00C10B9C">
        <w:rPr>
          <w:rFonts w:asciiTheme="minorHAnsi" w:hAnsiTheme="minorHAnsi" w:cstheme="minorHAnsi"/>
          <w:szCs w:val="24"/>
        </w:rPr>
        <w:t>s</w:t>
      </w:r>
      <w:r w:rsidR="002F4916" w:rsidRPr="00C10B9C">
        <w:rPr>
          <w:rFonts w:asciiTheme="minorHAnsi" w:hAnsiTheme="minorHAnsi" w:cstheme="minorHAnsi"/>
          <w:szCs w:val="24"/>
        </w:rPr>
        <w:t>ecretariat clarified that the ERP and CRM systems migration landscape is under evaluation, it has not been finalize</w:t>
      </w:r>
      <w:r w:rsidRPr="00C10B9C">
        <w:rPr>
          <w:rFonts w:asciiTheme="minorHAnsi" w:hAnsiTheme="minorHAnsi" w:cstheme="minorHAnsi"/>
          <w:szCs w:val="24"/>
        </w:rPr>
        <w:t>d</w:t>
      </w:r>
      <w:r w:rsidR="002F4916" w:rsidRPr="00C10B9C">
        <w:rPr>
          <w:rFonts w:asciiTheme="minorHAnsi" w:hAnsiTheme="minorHAnsi" w:cstheme="minorHAnsi"/>
          <w:szCs w:val="24"/>
        </w:rPr>
        <w:t xml:space="preserve"> yet and noted that ITU ha</w:t>
      </w:r>
      <w:r w:rsidRPr="00C10B9C">
        <w:rPr>
          <w:rFonts w:asciiTheme="minorHAnsi" w:hAnsiTheme="minorHAnsi" w:cstheme="minorHAnsi"/>
          <w:szCs w:val="24"/>
        </w:rPr>
        <w:t>s</w:t>
      </w:r>
      <w:r w:rsidR="002F4916" w:rsidRPr="00C10B9C">
        <w:rPr>
          <w:rFonts w:asciiTheme="minorHAnsi" w:hAnsiTheme="minorHAnsi" w:cstheme="minorHAnsi"/>
          <w:szCs w:val="24"/>
        </w:rPr>
        <w:t xml:space="preserve"> taken all the steps necessary to compare software and implementation partners and evaluate all the financial impacts of this transition.</w:t>
      </w:r>
    </w:p>
    <w:p w14:paraId="3C2830FE" w14:textId="7B9A5481" w:rsidR="002F4916" w:rsidRPr="00C10B9C" w:rsidRDefault="00E85AA3" w:rsidP="000B1885">
      <w:pPr>
        <w:tabs>
          <w:tab w:val="clear" w:pos="567"/>
          <w:tab w:val="left" w:pos="851"/>
        </w:tabs>
        <w:spacing w:after="140"/>
        <w:rPr>
          <w:rFonts w:asciiTheme="minorHAnsi" w:hAnsiTheme="minorHAnsi" w:cstheme="minorHAnsi"/>
          <w:szCs w:val="24"/>
        </w:rPr>
      </w:pPr>
      <w:r w:rsidRPr="00C10B9C">
        <w:rPr>
          <w:rFonts w:asciiTheme="minorHAnsi" w:hAnsiTheme="minorHAnsi" w:cstheme="minorHAnsi"/>
          <w:szCs w:val="24"/>
        </w:rPr>
        <w:t>15.11</w:t>
      </w:r>
      <w:r w:rsidRPr="00C10B9C">
        <w:rPr>
          <w:rFonts w:asciiTheme="minorHAnsi" w:hAnsiTheme="minorHAnsi" w:cstheme="minorHAnsi"/>
          <w:szCs w:val="24"/>
        </w:rPr>
        <w:tab/>
      </w:r>
      <w:r w:rsidR="002F4916" w:rsidRPr="00C10B9C">
        <w:rPr>
          <w:rFonts w:asciiTheme="minorHAnsi" w:hAnsiTheme="minorHAnsi" w:cstheme="minorHAnsi"/>
          <w:szCs w:val="24"/>
        </w:rPr>
        <w:t>The secretariat informed that ITU conducts independent cybersecurity assessments and regularly report</w:t>
      </w:r>
      <w:r w:rsidRPr="00C10B9C">
        <w:rPr>
          <w:rFonts w:asciiTheme="minorHAnsi" w:hAnsiTheme="minorHAnsi" w:cstheme="minorHAnsi"/>
          <w:szCs w:val="24"/>
        </w:rPr>
        <w:t>s</w:t>
      </w:r>
      <w:r w:rsidR="002F4916" w:rsidRPr="00C10B9C">
        <w:rPr>
          <w:rFonts w:asciiTheme="minorHAnsi" w:hAnsiTheme="minorHAnsi" w:cstheme="minorHAnsi"/>
          <w:szCs w:val="24"/>
        </w:rPr>
        <w:t xml:space="preserve"> to </w:t>
      </w:r>
      <w:r w:rsidRPr="00C10B9C">
        <w:rPr>
          <w:rFonts w:asciiTheme="minorHAnsi" w:hAnsiTheme="minorHAnsi" w:cstheme="minorHAnsi"/>
          <w:szCs w:val="24"/>
        </w:rPr>
        <w:t xml:space="preserve">the </w:t>
      </w:r>
      <w:r w:rsidR="002F4916" w:rsidRPr="00C10B9C">
        <w:rPr>
          <w:rFonts w:asciiTheme="minorHAnsi" w:hAnsiTheme="minorHAnsi" w:cstheme="minorHAnsi"/>
          <w:szCs w:val="24"/>
        </w:rPr>
        <w:t>auditors, in the same way as for other systems where external auditors</w:t>
      </w:r>
      <w:r w:rsidRPr="00C10B9C">
        <w:rPr>
          <w:rFonts w:asciiTheme="minorHAnsi" w:hAnsiTheme="minorHAnsi" w:cstheme="minorHAnsi"/>
          <w:szCs w:val="24"/>
        </w:rPr>
        <w:t>’</w:t>
      </w:r>
      <w:r w:rsidR="002F4916" w:rsidRPr="00C10B9C">
        <w:rPr>
          <w:rFonts w:asciiTheme="minorHAnsi" w:hAnsiTheme="minorHAnsi" w:cstheme="minorHAnsi"/>
          <w:szCs w:val="24"/>
        </w:rPr>
        <w:t xml:space="preserve"> checks</w:t>
      </w:r>
      <w:r w:rsidRPr="00C10B9C">
        <w:rPr>
          <w:rFonts w:asciiTheme="minorHAnsi" w:hAnsiTheme="minorHAnsi" w:cstheme="minorHAnsi"/>
          <w:szCs w:val="24"/>
        </w:rPr>
        <w:t xml:space="preserve"> are made.</w:t>
      </w:r>
    </w:p>
    <w:p w14:paraId="6CEC4F18" w14:textId="30355FEA" w:rsidR="002F4916" w:rsidRPr="00C10B9C" w:rsidRDefault="00E85AA3" w:rsidP="000B1885">
      <w:pPr>
        <w:tabs>
          <w:tab w:val="clear" w:pos="567"/>
          <w:tab w:val="left" w:pos="851"/>
        </w:tabs>
        <w:spacing w:after="140"/>
        <w:rPr>
          <w:rFonts w:asciiTheme="minorHAnsi" w:hAnsiTheme="minorHAnsi" w:cstheme="minorHAnsi"/>
          <w:szCs w:val="24"/>
        </w:rPr>
      </w:pPr>
      <w:r w:rsidRPr="00C10B9C">
        <w:rPr>
          <w:rFonts w:asciiTheme="minorHAnsi" w:hAnsiTheme="minorHAnsi" w:cstheme="minorHAnsi"/>
          <w:szCs w:val="24"/>
        </w:rPr>
        <w:t>15.12</w:t>
      </w:r>
      <w:r w:rsidRPr="00C10B9C">
        <w:rPr>
          <w:rFonts w:asciiTheme="minorHAnsi" w:hAnsiTheme="minorHAnsi" w:cstheme="minorHAnsi"/>
          <w:szCs w:val="24"/>
        </w:rPr>
        <w:tab/>
      </w:r>
      <w:r w:rsidR="002F4916" w:rsidRPr="00C10B9C">
        <w:rPr>
          <w:rFonts w:asciiTheme="minorHAnsi" w:hAnsiTheme="minorHAnsi" w:cstheme="minorHAnsi"/>
          <w:szCs w:val="24"/>
        </w:rPr>
        <w:t xml:space="preserve">The </w:t>
      </w:r>
      <w:r w:rsidRPr="00C10B9C">
        <w:rPr>
          <w:rFonts w:asciiTheme="minorHAnsi" w:hAnsiTheme="minorHAnsi" w:cstheme="minorHAnsi"/>
          <w:szCs w:val="24"/>
        </w:rPr>
        <w:t>secretariat further c</w:t>
      </w:r>
      <w:r w:rsidR="002F4916" w:rsidRPr="00C10B9C">
        <w:rPr>
          <w:rFonts w:asciiTheme="minorHAnsi" w:hAnsiTheme="minorHAnsi" w:cstheme="minorHAnsi"/>
          <w:szCs w:val="24"/>
        </w:rPr>
        <w:t xml:space="preserve">larified the role of the ICT Governance </w:t>
      </w:r>
      <w:proofErr w:type="gramStart"/>
      <w:r w:rsidR="002F4916" w:rsidRPr="00C10B9C">
        <w:rPr>
          <w:rFonts w:asciiTheme="minorHAnsi" w:hAnsiTheme="minorHAnsi" w:cstheme="minorHAnsi"/>
          <w:szCs w:val="24"/>
        </w:rPr>
        <w:t>Committee</w:t>
      </w:r>
      <w:proofErr w:type="gramEnd"/>
      <w:r w:rsidRPr="00C10B9C">
        <w:rPr>
          <w:rFonts w:asciiTheme="minorHAnsi" w:hAnsiTheme="minorHAnsi" w:cstheme="minorHAnsi"/>
          <w:szCs w:val="24"/>
        </w:rPr>
        <w:t xml:space="preserve"> which is </w:t>
      </w:r>
      <w:r w:rsidR="002F4916" w:rsidRPr="00C10B9C">
        <w:rPr>
          <w:rFonts w:asciiTheme="minorHAnsi" w:hAnsiTheme="minorHAnsi" w:cstheme="minorHAnsi"/>
          <w:szCs w:val="24"/>
        </w:rPr>
        <w:t>led by the S</w:t>
      </w:r>
      <w:r w:rsidRPr="00C10B9C">
        <w:rPr>
          <w:rFonts w:asciiTheme="minorHAnsi" w:hAnsiTheme="minorHAnsi" w:cstheme="minorHAnsi"/>
          <w:szCs w:val="24"/>
        </w:rPr>
        <w:t>ecretary-General</w:t>
      </w:r>
      <w:r w:rsidR="002F4916" w:rsidRPr="00C10B9C">
        <w:rPr>
          <w:rFonts w:asciiTheme="minorHAnsi" w:hAnsiTheme="minorHAnsi" w:cstheme="minorHAnsi"/>
          <w:szCs w:val="24"/>
        </w:rPr>
        <w:t xml:space="preserve">, currently chaired by the DSG, and composed of a representative from each Bureau as well as members from the </w:t>
      </w:r>
      <w:r w:rsidR="00E33626" w:rsidRPr="00C10B9C">
        <w:rPr>
          <w:rFonts w:asciiTheme="minorHAnsi" w:hAnsiTheme="minorHAnsi" w:cstheme="minorHAnsi"/>
          <w:szCs w:val="24"/>
        </w:rPr>
        <w:t xml:space="preserve">Financial Resources Management and Human Resources Management </w:t>
      </w:r>
      <w:r w:rsidR="00843D5A" w:rsidRPr="00C10B9C">
        <w:rPr>
          <w:rFonts w:asciiTheme="minorHAnsi" w:hAnsiTheme="minorHAnsi" w:cstheme="minorHAnsi"/>
          <w:szCs w:val="24"/>
        </w:rPr>
        <w:t>d</w:t>
      </w:r>
      <w:r w:rsidR="00E33626" w:rsidRPr="00C10B9C">
        <w:rPr>
          <w:rFonts w:asciiTheme="minorHAnsi" w:hAnsiTheme="minorHAnsi" w:cstheme="minorHAnsi"/>
          <w:szCs w:val="24"/>
        </w:rPr>
        <w:t xml:space="preserve">epartments. </w:t>
      </w:r>
      <w:r w:rsidR="002F4916" w:rsidRPr="00C10B9C">
        <w:rPr>
          <w:rFonts w:asciiTheme="minorHAnsi" w:hAnsiTheme="minorHAnsi" w:cstheme="minorHAnsi"/>
          <w:szCs w:val="24"/>
        </w:rPr>
        <w:t>The ICTGC members assist the S</w:t>
      </w:r>
      <w:r w:rsidR="00E33626" w:rsidRPr="00C10B9C">
        <w:rPr>
          <w:rFonts w:asciiTheme="minorHAnsi" w:hAnsiTheme="minorHAnsi" w:cstheme="minorHAnsi"/>
          <w:szCs w:val="24"/>
        </w:rPr>
        <w:t>ecretary-General</w:t>
      </w:r>
      <w:r w:rsidR="002F4916" w:rsidRPr="00C10B9C">
        <w:rPr>
          <w:rFonts w:asciiTheme="minorHAnsi" w:hAnsiTheme="minorHAnsi" w:cstheme="minorHAnsi"/>
          <w:szCs w:val="24"/>
        </w:rPr>
        <w:t xml:space="preserve"> in decision-making regarding investments in IT projects. Member States created the ICT fund which was approved by the Council and the Council allocates funds for this ICT fund during each budget exercise, but in terms of management, it is the D</w:t>
      </w:r>
      <w:r w:rsidR="00E33626" w:rsidRPr="00C10B9C">
        <w:rPr>
          <w:rFonts w:asciiTheme="minorHAnsi" w:hAnsiTheme="minorHAnsi" w:cstheme="minorHAnsi"/>
          <w:szCs w:val="24"/>
        </w:rPr>
        <w:t>eputy Secretary-General t</w:t>
      </w:r>
      <w:r w:rsidR="002F4916" w:rsidRPr="00C10B9C">
        <w:rPr>
          <w:rFonts w:asciiTheme="minorHAnsi" w:hAnsiTheme="minorHAnsi" w:cstheme="minorHAnsi"/>
          <w:szCs w:val="24"/>
        </w:rPr>
        <w:t xml:space="preserve">hrough the </w:t>
      </w:r>
      <w:r w:rsidR="00E33626" w:rsidRPr="00C10B9C">
        <w:rPr>
          <w:rFonts w:asciiTheme="minorHAnsi" w:hAnsiTheme="minorHAnsi" w:cstheme="minorHAnsi"/>
          <w:szCs w:val="24"/>
        </w:rPr>
        <w:t>S</w:t>
      </w:r>
      <w:r w:rsidR="002F4916" w:rsidRPr="00C10B9C">
        <w:rPr>
          <w:rFonts w:asciiTheme="minorHAnsi" w:hAnsiTheme="minorHAnsi" w:cstheme="minorHAnsi"/>
          <w:szCs w:val="24"/>
        </w:rPr>
        <w:t xml:space="preserve">teering </w:t>
      </w:r>
      <w:r w:rsidR="00E33626" w:rsidRPr="00C10B9C">
        <w:rPr>
          <w:rFonts w:asciiTheme="minorHAnsi" w:hAnsiTheme="minorHAnsi" w:cstheme="minorHAnsi"/>
          <w:szCs w:val="24"/>
        </w:rPr>
        <w:t>C</w:t>
      </w:r>
      <w:r w:rsidR="002F4916" w:rsidRPr="00C10B9C">
        <w:rPr>
          <w:rFonts w:asciiTheme="minorHAnsi" w:hAnsiTheme="minorHAnsi" w:cstheme="minorHAnsi"/>
          <w:szCs w:val="24"/>
        </w:rPr>
        <w:t>ommittee who proceeds with the allocations and investments in IT projects within the ITU.</w:t>
      </w:r>
    </w:p>
    <w:p w14:paraId="70B98F65" w14:textId="21956347" w:rsidR="0088366D" w:rsidRPr="00C10B9C" w:rsidRDefault="0088366D" w:rsidP="000B1885">
      <w:pPr>
        <w:pStyle w:val="Tabletext"/>
        <w:keepNext/>
        <w:keepLines/>
        <w:tabs>
          <w:tab w:val="clear" w:pos="284"/>
          <w:tab w:val="clear" w:pos="567"/>
        </w:tabs>
        <w:spacing w:before="480" w:after="120"/>
        <w:ind w:left="851" w:hanging="851"/>
        <w:rPr>
          <w:rFonts w:asciiTheme="minorHAnsi" w:hAnsiTheme="minorHAnsi" w:cstheme="minorHAnsi"/>
          <w:b/>
          <w:bCs/>
          <w:sz w:val="24"/>
          <w:szCs w:val="24"/>
        </w:rPr>
      </w:pPr>
      <w:r w:rsidRPr="00C10B9C">
        <w:rPr>
          <w:rFonts w:asciiTheme="minorHAnsi" w:hAnsiTheme="minorHAnsi" w:cstheme="minorHAnsi"/>
          <w:b/>
          <w:bCs/>
          <w:sz w:val="24"/>
          <w:szCs w:val="24"/>
        </w:rPr>
        <w:lastRenderedPageBreak/>
        <w:t>1</w:t>
      </w:r>
      <w:r w:rsidR="00CB34EC" w:rsidRPr="00C10B9C">
        <w:rPr>
          <w:rFonts w:asciiTheme="minorHAnsi" w:hAnsiTheme="minorHAnsi" w:cstheme="minorHAnsi"/>
          <w:b/>
          <w:bCs/>
          <w:sz w:val="24"/>
          <w:szCs w:val="24"/>
        </w:rPr>
        <w:t>6</w:t>
      </w:r>
      <w:r w:rsidRPr="00C10B9C">
        <w:rPr>
          <w:rFonts w:asciiTheme="minorHAnsi" w:hAnsiTheme="minorHAnsi" w:cstheme="minorHAnsi"/>
          <w:b/>
          <w:bCs/>
          <w:sz w:val="24"/>
          <w:szCs w:val="24"/>
        </w:rPr>
        <w:tab/>
        <w:t>Update on the Transformation process – Document </w:t>
      </w:r>
      <w:hyperlink r:id="rId29" w:history="1">
        <w:r w:rsidRPr="00C10B9C">
          <w:rPr>
            <w:rStyle w:val="Hyperlink"/>
            <w:rFonts w:asciiTheme="minorHAnsi" w:hAnsiTheme="minorHAnsi" w:cstheme="minorHAnsi"/>
            <w:b/>
            <w:bCs/>
            <w:sz w:val="24"/>
            <w:szCs w:val="24"/>
          </w:rPr>
          <w:t>CWG-FHR-20/11</w:t>
        </w:r>
      </w:hyperlink>
      <w:r w:rsidRPr="00C10B9C">
        <w:rPr>
          <w:rFonts w:asciiTheme="minorHAnsi" w:hAnsiTheme="minorHAnsi" w:cstheme="minorHAnsi"/>
          <w:sz w:val="24"/>
          <w:szCs w:val="24"/>
        </w:rPr>
        <w:t xml:space="preserve">, </w:t>
      </w:r>
      <w:r w:rsidRPr="00C10B9C">
        <w:rPr>
          <w:rFonts w:asciiTheme="minorHAnsi" w:hAnsiTheme="minorHAnsi" w:cstheme="minorHAnsi"/>
          <w:b/>
          <w:bCs/>
          <w:sz w:val="24"/>
          <w:szCs w:val="24"/>
        </w:rPr>
        <w:t>Contribution by the Russian Federation - Comments to the report of Secretary-General - Update on the transformation process – Document </w:t>
      </w:r>
      <w:hyperlink r:id="rId30" w:history="1">
        <w:r w:rsidRPr="00C10B9C">
          <w:rPr>
            <w:rStyle w:val="Hyperlink"/>
            <w:rFonts w:asciiTheme="minorHAnsi" w:hAnsiTheme="minorHAnsi" w:cstheme="minorHAnsi"/>
            <w:b/>
            <w:bCs/>
            <w:sz w:val="24"/>
            <w:szCs w:val="24"/>
          </w:rPr>
          <w:t>CWG-FHR-20/22</w:t>
        </w:r>
      </w:hyperlink>
      <w:r w:rsidRPr="00C10B9C">
        <w:rPr>
          <w:rFonts w:asciiTheme="minorHAnsi" w:hAnsiTheme="minorHAnsi" w:cstheme="minorHAnsi"/>
          <w:b/>
          <w:bCs/>
          <w:sz w:val="24"/>
          <w:szCs w:val="24"/>
        </w:rPr>
        <w:t xml:space="preserve"> and Update on the new website project – Document </w:t>
      </w:r>
      <w:hyperlink r:id="rId31" w:history="1">
        <w:r w:rsidRPr="00C10B9C">
          <w:rPr>
            <w:rStyle w:val="Hyperlink"/>
            <w:rFonts w:asciiTheme="minorHAnsi" w:hAnsiTheme="minorHAnsi" w:cstheme="minorHAnsi"/>
            <w:b/>
            <w:bCs/>
            <w:sz w:val="24"/>
            <w:szCs w:val="24"/>
          </w:rPr>
          <w:t>CWG-FHR-20/28</w:t>
        </w:r>
      </w:hyperlink>
    </w:p>
    <w:p w14:paraId="2941C823" w14:textId="73A047E7" w:rsidR="0088366D" w:rsidRPr="00C10B9C" w:rsidRDefault="00602972" w:rsidP="000B1885">
      <w:pPr>
        <w:pStyle w:val="Tabletext"/>
        <w:keepNext/>
        <w:keepLines/>
        <w:tabs>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w:t>
      </w:r>
      <w:r w:rsidR="00CB34EC" w:rsidRPr="00C10B9C">
        <w:rPr>
          <w:rFonts w:asciiTheme="minorHAnsi" w:hAnsiTheme="minorHAnsi" w:cstheme="minorHAnsi"/>
          <w:sz w:val="24"/>
          <w:szCs w:val="24"/>
        </w:rPr>
        <w:t>6</w:t>
      </w:r>
      <w:r w:rsidRPr="00C10B9C">
        <w:rPr>
          <w:rFonts w:asciiTheme="minorHAnsi" w:hAnsiTheme="minorHAnsi" w:cstheme="minorHAnsi"/>
          <w:sz w:val="24"/>
          <w:szCs w:val="24"/>
        </w:rPr>
        <w:t>.1</w:t>
      </w:r>
      <w:r w:rsidRPr="00C10B9C">
        <w:rPr>
          <w:rFonts w:asciiTheme="minorHAnsi" w:hAnsiTheme="minorHAnsi" w:cstheme="minorHAnsi"/>
          <w:sz w:val="24"/>
          <w:szCs w:val="24"/>
        </w:rPr>
        <w:tab/>
      </w:r>
      <w:r w:rsidR="0088366D" w:rsidRPr="00C10B9C">
        <w:rPr>
          <w:rFonts w:asciiTheme="minorHAnsi" w:hAnsiTheme="minorHAnsi" w:cstheme="minorHAnsi"/>
          <w:sz w:val="24"/>
          <w:szCs w:val="24"/>
        </w:rPr>
        <w:t>An update on Transformation was provided to delegates with a focus on the progress made across the accelerated initiatives. Delegates were pleased with overall progress made. Additionally, the six accelerated initiatives are people-based initiatives that also benefit staff. Delegates also appreciated the efforts in moving forward with the Transformation process and in the improvements made to the ITU website</w:t>
      </w:r>
      <w:r w:rsidRPr="00C10B9C">
        <w:rPr>
          <w:rFonts w:asciiTheme="minorHAnsi" w:hAnsiTheme="minorHAnsi" w:cstheme="minorHAnsi"/>
          <w:sz w:val="24"/>
          <w:szCs w:val="24"/>
        </w:rPr>
        <w:t xml:space="preserve"> and </w:t>
      </w:r>
      <w:r w:rsidR="0088366D" w:rsidRPr="00C10B9C">
        <w:rPr>
          <w:rFonts w:asciiTheme="minorHAnsi" w:hAnsiTheme="minorHAnsi" w:cstheme="minorHAnsi"/>
          <w:sz w:val="24"/>
          <w:szCs w:val="24"/>
        </w:rPr>
        <w:t>expressed supporting the pillars and initiatives identified in the roadmap as being critical to achieving organizational excellence and highlighted the need to ensure the required financial resources to advance with a meaningful healthy momentum.</w:t>
      </w:r>
    </w:p>
    <w:p w14:paraId="4962A97F" w14:textId="1FE440BD" w:rsidR="0088366D" w:rsidRPr="00C10B9C" w:rsidRDefault="00602972" w:rsidP="00C10B9C">
      <w:pPr>
        <w:pStyle w:val="Tabletext"/>
        <w:tabs>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w:t>
      </w:r>
      <w:r w:rsidR="00CB34EC" w:rsidRPr="00C10B9C">
        <w:rPr>
          <w:rFonts w:asciiTheme="minorHAnsi" w:hAnsiTheme="minorHAnsi" w:cstheme="minorHAnsi"/>
          <w:sz w:val="24"/>
          <w:szCs w:val="24"/>
        </w:rPr>
        <w:t>6</w:t>
      </w:r>
      <w:r w:rsidRPr="00C10B9C">
        <w:rPr>
          <w:rFonts w:asciiTheme="minorHAnsi" w:hAnsiTheme="minorHAnsi" w:cstheme="minorHAnsi"/>
          <w:sz w:val="24"/>
          <w:szCs w:val="24"/>
        </w:rPr>
        <w:t>.2</w:t>
      </w:r>
      <w:r w:rsidRPr="00C10B9C">
        <w:rPr>
          <w:rFonts w:asciiTheme="minorHAnsi" w:hAnsiTheme="minorHAnsi" w:cstheme="minorHAnsi"/>
          <w:sz w:val="24"/>
          <w:szCs w:val="24"/>
        </w:rPr>
        <w:tab/>
      </w:r>
      <w:r w:rsidR="0088366D" w:rsidRPr="00C10B9C">
        <w:rPr>
          <w:rFonts w:asciiTheme="minorHAnsi" w:hAnsiTheme="minorHAnsi" w:cstheme="minorHAnsi"/>
          <w:sz w:val="24"/>
          <w:szCs w:val="24"/>
        </w:rPr>
        <w:t xml:space="preserve">In their interventions, key themes included the need for clear timelines and delivery dates for the six phases of the new website project, concerns about the harmonization and multilingualism of the website, and the importance of a robust information architecture to improve search functionality and user experience. </w:t>
      </w:r>
      <w:r w:rsidRPr="00C10B9C">
        <w:rPr>
          <w:rFonts w:asciiTheme="minorHAnsi" w:hAnsiTheme="minorHAnsi" w:cstheme="minorHAnsi"/>
          <w:sz w:val="24"/>
          <w:szCs w:val="24"/>
        </w:rPr>
        <w:t xml:space="preserve">Delegates </w:t>
      </w:r>
      <w:r w:rsidR="0088366D" w:rsidRPr="00C10B9C">
        <w:rPr>
          <w:rFonts w:asciiTheme="minorHAnsi" w:hAnsiTheme="minorHAnsi" w:cstheme="minorHAnsi"/>
          <w:sz w:val="24"/>
          <w:szCs w:val="24"/>
        </w:rPr>
        <w:t>requested the secretariat to include an update on the new website project in the agenda of all meetings in 2025, including the breakdown of costs for the new website and consideration for a similar project to upgrade the intranet.</w:t>
      </w:r>
    </w:p>
    <w:p w14:paraId="3DBC12BE" w14:textId="6138F182" w:rsidR="0088366D" w:rsidRPr="00C10B9C" w:rsidRDefault="00602972" w:rsidP="00C10B9C">
      <w:pPr>
        <w:pStyle w:val="Tabletext"/>
        <w:tabs>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w:t>
      </w:r>
      <w:r w:rsidR="00CB34EC" w:rsidRPr="00C10B9C">
        <w:rPr>
          <w:rFonts w:asciiTheme="minorHAnsi" w:hAnsiTheme="minorHAnsi" w:cstheme="minorHAnsi"/>
          <w:sz w:val="24"/>
          <w:szCs w:val="24"/>
        </w:rPr>
        <w:t>6</w:t>
      </w:r>
      <w:r w:rsidRPr="00C10B9C">
        <w:rPr>
          <w:rFonts w:asciiTheme="minorHAnsi" w:hAnsiTheme="minorHAnsi" w:cstheme="minorHAnsi"/>
          <w:sz w:val="24"/>
          <w:szCs w:val="24"/>
        </w:rPr>
        <w:t>.3</w:t>
      </w:r>
      <w:r w:rsidRPr="00C10B9C">
        <w:rPr>
          <w:rFonts w:asciiTheme="minorHAnsi" w:hAnsiTheme="minorHAnsi" w:cstheme="minorHAnsi"/>
          <w:sz w:val="24"/>
          <w:szCs w:val="24"/>
        </w:rPr>
        <w:tab/>
      </w:r>
      <w:r w:rsidR="0088366D" w:rsidRPr="00C10B9C">
        <w:rPr>
          <w:rFonts w:asciiTheme="minorHAnsi" w:hAnsiTheme="minorHAnsi" w:cstheme="minorHAnsi"/>
          <w:sz w:val="24"/>
          <w:szCs w:val="24"/>
        </w:rPr>
        <w:t>Another significant theme was the transformation process, with comments highlighting the importance of resource optimization, alignment with future strategic and financial plans, and the involvement of an external and independent perspective to ensure transparency and trust. There was also feedback on the need for collaboration and dialogue between the Staff Council and the Transformation Team, as well as the importance of addressing challenges related to leadership culture, performance management, and the use of AI tools. Overall, the feedback underscored the necessity of a well-coordinated and transparent approach to both the website project and the broader transformation initiatives.</w:t>
      </w:r>
    </w:p>
    <w:p w14:paraId="06642125" w14:textId="7527A8A4" w:rsidR="00135DAF" w:rsidRPr="00C10B9C" w:rsidRDefault="00135DAF" w:rsidP="000D2039">
      <w:pPr>
        <w:pStyle w:val="Tabletext"/>
        <w:keepNext/>
        <w:keepLines/>
        <w:tabs>
          <w:tab w:val="clear" w:pos="284"/>
          <w:tab w:val="clear" w:pos="567"/>
        </w:tabs>
        <w:spacing w:before="600" w:after="120"/>
        <w:ind w:left="851" w:hanging="851"/>
        <w:rPr>
          <w:rFonts w:asciiTheme="minorHAnsi" w:hAnsiTheme="minorHAnsi" w:cstheme="minorHAnsi"/>
          <w:b/>
          <w:bCs/>
          <w:sz w:val="24"/>
          <w:szCs w:val="24"/>
        </w:rPr>
      </w:pPr>
      <w:r w:rsidRPr="00C10B9C">
        <w:rPr>
          <w:rFonts w:asciiTheme="minorHAnsi" w:hAnsiTheme="minorHAnsi" w:cstheme="minorHAnsi"/>
          <w:b/>
          <w:bCs/>
          <w:sz w:val="24"/>
          <w:szCs w:val="24"/>
        </w:rPr>
        <w:t>1</w:t>
      </w:r>
      <w:r w:rsidR="00CB34EC" w:rsidRPr="00C10B9C">
        <w:rPr>
          <w:rFonts w:asciiTheme="minorHAnsi" w:hAnsiTheme="minorHAnsi" w:cstheme="minorHAnsi"/>
          <w:b/>
          <w:bCs/>
          <w:sz w:val="24"/>
          <w:szCs w:val="24"/>
        </w:rPr>
        <w:t>7</w:t>
      </w:r>
      <w:r w:rsidRPr="00C10B9C">
        <w:rPr>
          <w:rFonts w:asciiTheme="minorHAnsi" w:hAnsiTheme="minorHAnsi" w:cstheme="minorHAnsi"/>
          <w:b/>
          <w:bCs/>
          <w:sz w:val="24"/>
          <w:szCs w:val="24"/>
        </w:rPr>
        <w:tab/>
        <w:t>Challenges faced in implementing Council Decision 601 on IIN registration – Document </w:t>
      </w:r>
      <w:hyperlink r:id="rId32" w:history="1">
        <w:r w:rsidRPr="00C10B9C">
          <w:rPr>
            <w:rStyle w:val="Hyperlink"/>
            <w:rFonts w:asciiTheme="minorHAnsi" w:hAnsiTheme="minorHAnsi" w:cstheme="minorHAnsi"/>
            <w:b/>
            <w:bCs/>
            <w:sz w:val="24"/>
            <w:szCs w:val="24"/>
          </w:rPr>
          <w:t>CWG-FHR-20/13</w:t>
        </w:r>
      </w:hyperlink>
    </w:p>
    <w:p w14:paraId="6A64F93D" w14:textId="25894818" w:rsidR="00080932" w:rsidRPr="00C10B9C" w:rsidRDefault="0088366D" w:rsidP="000D2039">
      <w:pPr>
        <w:pStyle w:val="Tabletext"/>
        <w:keepNext/>
        <w:keepLines/>
        <w:tabs>
          <w:tab w:val="clear" w:pos="567"/>
          <w:tab w:val="left" w:pos="0"/>
        </w:tabs>
        <w:spacing w:before="120" w:after="120"/>
        <w:rPr>
          <w:rFonts w:asciiTheme="minorHAnsi" w:hAnsiTheme="minorHAnsi" w:cstheme="minorHAnsi"/>
          <w:sz w:val="24"/>
          <w:szCs w:val="24"/>
          <w:lang w:val="en-US"/>
        </w:rPr>
      </w:pPr>
      <w:r w:rsidRPr="00C10B9C">
        <w:rPr>
          <w:rFonts w:asciiTheme="minorHAnsi" w:hAnsiTheme="minorHAnsi" w:cstheme="minorHAnsi"/>
          <w:sz w:val="24"/>
          <w:szCs w:val="24"/>
          <w:lang w:val="en-US"/>
        </w:rPr>
        <w:t>1</w:t>
      </w:r>
      <w:r w:rsidR="00CB34EC" w:rsidRPr="00C10B9C">
        <w:rPr>
          <w:rFonts w:asciiTheme="minorHAnsi" w:hAnsiTheme="minorHAnsi" w:cstheme="minorHAnsi"/>
          <w:sz w:val="24"/>
          <w:szCs w:val="24"/>
          <w:lang w:val="en-US"/>
        </w:rPr>
        <w:t>7</w:t>
      </w:r>
      <w:r w:rsidR="00080932" w:rsidRPr="00C10B9C">
        <w:rPr>
          <w:rFonts w:asciiTheme="minorHAnsi" w:hAnsiTheme="minorHAnsi" w:cstheme="minorHAnsi"/>
          <w:sz w:val="24"/>
          <w:szCs w:val="24"/>
          <w:lang w:val="en-US"/>
        </w:rPr>
        <w:t>.1</w:t>
      </w:r>
      <w:r w:rsidR="00080932" w:rsidRPr="00C10B9C">
        <w:rPr>
          <w:rFonts w:asciiTheme="minorHAnsi" w:hAnsiTheme="minorHAnsi" w:cstheme="minorHAnsi"/>
          <w:sz w:val="24"/>
          <w:szCs w:val="24"/>
          <w:lang w:val="en-US"/>
        </w:rPr>
        <w:tab/>
        <w:t xml:space="preserve">The secretariat </w:t>
      </w:r>
      <w:r w:rsidR="00ED660F" w:rsidRPr="00C10B9C">
        <w:rPr>
          <w:rFonts w:asciiTheme="minorHAnsi" w:hAnsiTheme="minorHAnsi" w:cstheme="minorHAnsi"/>
          <w:sz w:val="24"/>
          <w:szCs w:val="24"/>
          <w:lang w:val="en-US"/>
        </w:rPr>
        <w:t xml:space="preserve">introduced </w:t>
      </w:r>
      <w:r w:rsidR="00080932" w:rsidRPr="00C10B9C">
        <w:rPr>
          <w:rFonts w:asciiTheme="minorHAnsi" w:hAnsiTheme="minorHAnsi" w:cstheme="minorHAnsi"/>
          <w:sz w:val="24"/>
          <w:szCs w:val="24"/>
          <w:lang w:val="en-US"/>
        </w:rPr>
        <w:t>D</w:t>
      </w:r>
      <w:r w:rsidR="00ED660F" w:rsidRPr="00C10B9C">
        <w:rPr>
          <w:rFonts w:asciiTheme="minorHAnsi" w:hAnsiTheme="minorHAnsi" w:cstheme="minorHAnsi"/>
          <w:sz w:val="24"/>
          <w:szCs w:val="24"/>
          <w:lang w:val="en-US"/>
        </w:rPr>
        <w:t xml:space="preserve">ocument </w:t>
      </w:r>
      <w:r w:rsidR="00080932" w:rsidRPr="00C10B9C">
        <w:rPr>
          <w:rFonts w:asciiTheme="minorHAnsi" w:hAnsiTheme="minorHAnsi" w:cstheme="minorHAnsi"/>
          <w:sz w:val="24"/>
          <w:szCs w:val="24"/>
          <w:lang w:val="en-US"/>
        </w:rPr>
        <w:t>CWG-FHR-20</w:t>
      </w:r>
      <w:r w:rsidR="00ED660F" w:rsidRPr="00C10B9C">
        <w:rPr>
          <w:rFonts w:asciiTheme="minorHAnsi" w:hAnsiTheme="minorHAnsi" w:cstheme="minorHAnsi"/>
          <w:sz w:val="24"/>
          <w:szCs w:val="24"/>
          <w:lang w:val="en-US"/>
        </w:rPr>
        <w:t>/13 by</w:t>
      </w:r>
      <w:r w:rsidR="00080932" w:rsidRPr="00C10B9C">
        <w:rPr>
          <w:rFonts w:asciiTheme="minorHAnsi" w:hAnsiTheme="minorHAnsi" w:cstheme="minorHAnsi"/>
          <w:sz w:val="24"/>
          <w:szCs w:val="24"/>
          <w:lang w:val="en-US"/>
        </w:rPr>
        <w:t>:</w:t>
      </w:r>
    </w:p>
    <w:p w14:paraId="366FEB2F" w14:textId="14CF7312" w:rsidR="00080932" w:rsidRPr="00C10B9C" w:rsidRDefault="00080932" w:rsidP="000D2039">
      <w:pPr>
        <w:pStyle w:val="Tabletext"/>
        <w:keepNext/>
        <w:keepLines/>
        <w:tabs>
          <w:tab w:val="clear" w:pos="567"/>
          <w:tab w:val="left" w:pos="0"/>
        </w:tabs>
        <w:spacing w:before="120" w:after="120"/>
        <w:rPr>
          <w:rFonts w:asciiTheme="minorHAnsi" w:hAnsiTheme="minorHAnsi" w:cstheme="minorHAnsi"/>
          <w:sz w:val="24"/>
          <w:szCs w:val="24"/>
          <w:lang w:val="en-US"/>
        </w:rPr>
      </w:pPr>
      <w:r w:rsidRPr="00C10B9C">
        <w:rPr>
          <w:rFonts w:asciiTheme="minorHAnsi" w:hAnsiTheme="minorHAnsi" w:cstheme="minorHAnsi"/>
          <w:sz w:val="24"/>
          <w:szCs w:val="24"/>
          <w:lang w:val="en-US"/>
        </w:rPr>
        <w:tab/>
      </w:r>
      <w:r w:rsidRPr="00C10B9C">
        <w:rPr>
          <w:rFonts w:asciiTheme="minorHAnsi" w:hAnsiTheme="minorHAnsi" w:cstheme="minorHAnsi"/>
          <w:sz w:val="24"/>
          <w:szCs w:val="24"/>
          <w:lang w:val="en-US"/>
        </w:rPr>
        <w:tab/>
        <w:t>1)</w:t>
      </w:r>
      <w:r w:rsidRPr="00C10B9C">
        <w:rPr>
          <w:rFonts w:asciiTheme="minorHAnsi" w:hAnsiTheme="minorHAnsi" w:cstheme="minorHAnsi"/>
          <w:sz w:val="24"/>
          <w:szCs w:val="24"/>
          <w:lang w:val="en-US"/>
        </w:rPr>
        <w:tab/>
      </w:r>
      <w:r w:rsidR="00ED660F" w:rsidRPr="00C10B9C">
        <w:rPr>
          <w:rFonts w:asciiTheme="minorHAnsi" w:hAnsiTheme="minorHAnsi" w:cstheme="minorHAnsi"/>
          <w:sz w:val="24"/>
          <w:szCs w:val="24"/>
          <w:lang w:val="en-US"/>
        </w:rPr>
        <w:t xml:space="preserve">recalling the content of Council Decision </w:t>
      </w:r>
      <w:proofErr w:type="gramStart"/>
      <w:r w:rsidR="00ED660F" w:rsidRPr="00C10B9C">
        <w:rPr>
          <w:rFonts w:asciiTheme="minorHAnsi" w:hAnsiTheme="minorHAnsi" w:cstheme="minorHAnsi"/>
          <w:sz w:val="24"/>
          <w:szCs w:val="24"/>
          <w:lang w:val="en-US"/>
        </w:rPr>
        <w:t>601</w:t>
      </w:r>
      <w:r w:rsidRPr="00C10B9C">
        <w:rPr>
          <w:rFonts w:asciiTheme="minorHAnsi" w:hAnsiTheme="minorHAnsi" w:cstheme="minorHAnsi"/>
          <w:sz w:val="24"/>
          <w:szCs w:val="24"/>
          <w:lang w:val="en-US"/>
        </w:rPr>
        <w:t>;</w:t>
      </w:r>
      <w:proofErr w:type="gramEnd"/>
    </w:p>
    <w:p w14:paraId="48295678" w14:textId="18B5E2EE" w:rsidR="00ED660F" w:rsidRPr="00C10B9C" w:rsidRDefault="00080932" w:rsidP="00C10B9C">
      <w:pPr>
        <w:pStyle w:val="Tabletext"/>
        <w:tabs>
          <w:tab w:val="clear" w:pos="567"/>
          <w:tab w:val="left" w:pos="0"/>
        </w:tabs>
        <w:spacing w:before="120" w:after="120"/>
        <w:ind w:left="1440" w:hanging="1440"/>
        <w:rPr>
          <w:rFonts w:asciiTheme="minorHAnsi" w:hAnsiTheme="minorHAnsi" w:cstheme="minorHAnsi"/>
          <w:sz w:val="24"/>
          <w:szCs w:val="24"/>
        </w:rPr>
      </w:pPr>
      <w:r w:rsidRPr="00C10B9C">
        <w:rPr>
          <w:rFonts w:asciiTheme="minorHAnsi" w:hAnsiTheme="minorHAnsi" w:cstheme="minorHAnsi"/>
          <w:sz w:val="24"/>
          <w:szCs w:val="24"/>
          <w:lang w:val="en-US"/>
        </w:rPr>
        <w:tab/>
      </w:r>
      <w:r w:rsidRPr="00C10B9C">
        <w:rPr>
          <w:rFonts w:asciiTheme="minorHAnsi" w:hAnsiTheme="minorHAnsi" w:cstheme="minorHAnsi"/>
          <w:sz w:val="24"/>
          <w:szCs w:val="24"/>
          <w:lang w:val="en-US"/>
        </w:rPr>
        <w:tab/>
        <w:t>2)</w:t>
      </w:r>
      <w:r w:rsidRPr="00C10B9C">
        <w:rPr>
          <w:rFonts w:asciiTheme="minorHAnsi" w:hAnsiTheme="minorHAnsi" w:cstheme="minorHAnsi"/>
          <w:sz w:val="24"/>
          <w:szCs w:val="24"/>
          <w:lang w:val="en-US"/>
        </w:rPr>
        <w:tab/>
      </w:r>
      <w:r w:rsidR="00ED660F" w:rsidRPr="00C10B9C">
        <w:rPr>
          <w:rFonts w:asciiTheme="minorHAnsi" w:hAnsiTheme="minorHAnsi" w:cstheme="minorHAnsi"/>
          <w:sz w:val="24"/>
          <w:szCs w:val="24"/>
          <w:lang w:val="en-US"/>
        </w:rPr>
        <w:t xml:space="preserve">presenting the status of its implementation </w:t>
      </w:r>
      <w:r w:rsidRPr="00C10B9C">
        <w:rPr>
          <w:rFonts w:asciiTheme="minorHAnsi" w:hAnsiTheme="minorHAnsi" w:cstheme="minorHAnsi"/>
          <w:sz w:val="24"/>
          <w:szCs w:val="24"/>
          <w:lang w:val="en-US"/>
        </w:rPr>
        <w:t xml:space="preserve">and the </w:t>
      </w:r>
      <w:r w:rsidR="00ED660F" w:rsidRPr="00C10B9C">
        <w:rPr>
          <w:rFonts w:asciiTheme="minorHAnsi" w:hAnsiTheme="minorHAnsi" w:cstheme="minorHAnsi"/>
          <w:sz w:val="24"/>
          <w:szCs w:val="24"/>
          <w:lang w:val="en-US"/>
        </w:rPr>
        <w:t>challenges encountered in collecting annual maintenance fees for IIN.</w:t>
      </w:r>
    </w:p>
    <w:p w14:paraId="74E70A97" w14:textId="690AF35F" w:rsidR="00ED660F" w:rsidRPr="00C10B9C" w:rsidRDefault="00080932" w:rsidP="00C10B9C">
      <w:pPr>
        <w:pStyle w:val="Tabletext"/>
        <w:tabs>
          <w:tab w:val="clear" w:pos="284"/>
          <w:tab w:val="clear" w:pos="567"/>
        </w:tabs>
        <w:spacing w:before="120" w:after="120"/>
        <w:rPr>
          <w:rFonts w:asciiTheme="minorHAnsi" w:hAnsiTheme="minorHAnsi" w:cstheme="minorHAnsi"/>
          <w:sz w:val="24"/>
          <w:szCs w:val="24"/>
        </w:rPr>
      </w:pPr>
      <w:r w:rsidRPr="00C10B9C">
        <w:rPr>
          <w:rFonts w:asciiTheme="minorHAnsi" w:hAnsiTheme="minorHAnsi" w:cstheme="minorHAnsi"/>
          <w:sz w:val="24"/>
          <w:szCs w:val="24"/>
          <w:lang w:val="en-US"/>
        </w:rPr>
        <w:t>1</w:t>
      </w:r>
      <w:r w:rsidR="00CB34EC" w:rsidRPr="00C10B9C">
        <w:rPr>
          <w:rFonts w:asciiTheme="minorHAnsi" w:hAnsiTheme="minorHAnsi" w:cstheme="minorHAnsi"/>
          <w:sz w:val="24"/>
          <w:szCs w:val="24"/>
          <w:lang w:val="en-US"/>
        </w:rPr>
        <w:t>7</w:t>
      </w:r>
      <w:r w:rsidRPr="00C10B9C">
        <w:rPr>
          <w:rFonts w:asciiTheme="minorHAnsi" w:hAnsiTheme="minorHAnsi" w:cstheme="minorHAnsi"/>
          <w:sz w:val="24"/>
          <w:szCs w:val="24"/>
          <w:lang w:val="en-US"/>
        </w:rPr>
        <w:t>.2</w:t>
      </w:r>
      <w:r w:rsidRPr="00C10B9C">
        <w:rPr>
          <w:rFonts w:asciiTheme="minorHAnsi" w:hAnsiTheme="minorHAnsi" w:cstheme="minorHAnsi"/>
          <w:sz w:val="24"/>
          <w:szCs w:val="24"/>
          <w:lang w:val="en-US"/>
        </w:rPr>
        <w:tab/>
      </w:r>
      <w:r w:rsidR="00ED660F" w:rsidRPr="00C10B9C">
        <w:rPr>
          <w:rFonts w:asciiTheme="minorHAnsi" w:hAnsiTheme="minorHAnsi" w:cstheme="minorHAnsi"/>
          <w:sz w:val="24"/>
          <w:szCs w:val="24"/>
          <w:lang w:val="en-US"/>
        </w:rPr>
        <w:t xml:space="preserve">One </w:t>
      </w:r>
      <w:r w:rsidRPr="00C10B9C">
        <w:rPr>
          <w:rFonts w:asciiTheme="minorHAnsi" w:hAnsiTheme="minorHAnsi" w:cstheme="minorHAnsi"/>
          <w:sz w:val="24"/>
          <w:szCs w:val="24"/>
          <w:lang w:val="en-US"/>
        </w:rPr>
        <w:t xml:space="preserve">delegate </w:t>
      </w:r>
      <w:r w:rsidR="00ED660F" w:rsidRPr="00C10B9C">
        <w:rPr>
          <w:rFonts w:asciiTheme="minorHAnsi" w:hAnsiTheme="minorHAnsi" w:cstheme="minorHAnsi"/>
          <w:sz w:val="24"/>
          <w:szCs w:val="24"/>
          <w:lang w:val="en-US"/>
        </w:rPr>
        <w:t>(SG2 Chair) reported that Recommendation ITU-T E.118 had been under revision and was determined at the ITU-T Study Group 2 (SG2) meeting (Geneva, 5-14 February 2025). The registrar function for IIN has been removed from the revised Recommendation. However, there was uncertainty about how to formally convey this information to the Council.</w:t>
      </w:r>
    </w:p>
    <w:p w14:paraId="14069D44" w14:textId="35DB435D" w:rsidR="00ED660F" w:rsidRPr="00C10B9C" w:rsidRDefault="00ED3EAF" w:rsidP="00C10B9C">
      <w:pPr>
        <w:pStyle w:val="Tabletext"/>
        <w:tabs>
          <w:tab w:val="clear" w:pos="284"/>
          <w:tab w:val="clear" w:pos="567"/>
          <w:tab w:val="left" w:pos="0"/>
        </w:tabs>
        <w:spacing w:before="120" w:after="120"/>
        <w:rPr>
          <w:rFonts w:asciiTheme="minorHAnsi" w:hAnsiTheme="minorHAnsi" w:cstheme="minorHAnsi"/>
          <w:sz w:val="24"/>
          <w:szCs w:val="24"/>
        </w:rPr>
      </w:pPr>
      <w:r w:rsidRPr="00C10B9C">
        <w:rPr>
          <w:rFonts w:asciiTheme="minorHAnsi" w:hAnsiTheme="minorHAnsi" w:cstheme="minorHAnsi"/>
          <w:sz w:val="24"/>
          <w:szCs w:val="24"/>
        </w:rPr>
        <w:t>1</w:t>
      </w:r>
      <w:r w:rsidR="00CB34EC" w:rsidRPr="00C10B9C">
        <w:rPr>
          <w:rFonts w:asciiTheme="minorHAnsi" w:hAnsiTheme="minorHAnsi" w:cstheme="minorHAnsi"/>
          <w:sz w:val="24"/>
          <w:szCs w:val="24"/>
        </w:rPr>
        <w:t>7</w:t>
      </w:r>
      <w:r w:rsidRPr="00C10B9C">
        <w:rPr>
          <w:rFonts w:asciiTheme="minorHAnsi" w:hAnsiTheme="minorHAnsi" w:cstheme="minorHAnsi"/>
          <w:sz w:val="24"/>
          <w:szCs w:val="24"/>
        </w:rPr>
        <w:t>.3</w:t>
      </w:r>
      <w:r w:rsidRPr="00C10B9C">
        <w:rPr>
          <w:rFonts w:asciiTheme="minorHAnsi" w:hAnsiTheme="minorHAnsi" w:cstheme="minorHAnsi"/>
          <w:sz w:val="24"/>
          <w:szCs w:val="24"/>
        </w:rPr>
        <w:tab/>
        <w:t>Delegates noted the document, and a summary of the discussions will be included in the report. It is expected that ITU-T SG2 will communicate with the Council via the TSB Director once revised Recommendation ITU-T E.118 on IIN is officially approved. Consequently, Decision 601 will likely be deleted.</w:t>
      </w:r>
    </w:p>
    <w:p w14:paraId="3DE54883" w14:textId="788ED8CF" w:rsidR="00135DAF" w:rsidRPr="00C10B9C" w:rsidRDefault="00784820" w:rsidP="000D2039">
      <w:pPr>
        <w:pStyle w:val="Tabletext"/>
        <w:tabs>
          <w:tab w:val="clear" w:pos="284"/>
          <w:tab w:val="clear" w:pos="567"/>
        </w:tabs>
        <w:spacing w:before="600" w:after="120"/>
        <w:ind w:left="851" w:hanging="851"/>
        <w:rPr>
          <w:rFonts w:asciiTheme="minorHAnsi" w:hAnsiTheme="minorHAnsi" w:cstheme="minorHAnsi"/>
          <w:b/>
          <w:bCs/>
          <w:sz w:val="24"/>
          <w:szCs w:val="24"/>
        </w:rPr>
      </w:pPr>
      <w:r w:rsidRPr="00C10B9C">
        <w:rPr>
          <w:rFonts w:asciiTheme="minorHAnsi" w:hAnsiTheme="minorHAnsi" w:cstheme="minorHAnsi"/>
          <w:b/>
          <w:bCs/>
          <w:sz w:val="24"/>
          <w:szCs w:val="24"/>
        </w:rPr>
        <w:lastRenderedPageBreak/>
        <w:t>1</w:t>
      </w:r>
      <w:r w:rsidR="00CB34EC" w:rsidRPr="00C10B9C">
        <w:rPr>
          <w:rFonts w:asciiTheme="minorHAnsi" w:hAnsiTheme="minorHAnsi" w:cstheme="minorHAnsi"/>
          <w:b/>
          <w:bCs/>
          <w:sz w:val="24"/>
          <w:szCs w:val="24"/>
        </w:rPr>
        <w:t>8</w:t>
      </w:r>
      <w:r w:rsidR="00135DAF" w:rsidRPr="00C10B9C">
        <w:rPr>
          <w:rFonts w:asciiTheme="minorHAnsi" w:hAnsiTheme="minorHAnsi" w:cstheme="minorHAnsi"/>
          <w:b/>
          <w:bCs/>
          <w:sz w:val="24"/>
          <w:szCs w:val="24"/>
        </w:rPr>
        <w:tab/>
        <w:t>Liaison statement on the creation of the Council Working Group for strategic and financial plans – Document </w:t>
      </w:r>
      <w:hyperlink r:id="rId33" w:history="1">
        <w:r w:rsidR="00C857B3" w:rsidRPr="00C10B9C">
          <w:rPr>
            <w:rStyle w:val="Hyperlink"/>
            <w:rFonts w:asciiTheme="minorHAnsi" w:hAnsiTheme="minorHAnsi" w:cstheme="minorHAnsi"/>
            <w:b/>
            <w:bCs/>
            <w:sz w:val="24"/>
            <w:szCs w:val="24"/>
          </w:rPr>
          <w:t>CWG-FHR-20/30</w:t>
        </w:r>
      </w:hyperlink>
    </w:p>
    <w:p w14:paraId="05F4C43F" w14:textId="50C2312F" w:rsidR="00074BCF" w:rsidRPr="00C10B9C" w:rsidRDefault="00784820" w:rsidP="00C10B9C">
      <w:pPr>
        <w:tabs>
          <w:tab w:val="clear" w:pos="567"/>
          <w:tab w:val="left" w:pos="851"/>
        </w:tabs>
        <w:spacing w:after="120"/>
        <w:rPr>
          <w:rFonts w:asciiTheme="minorHAnsi" w:hAnsiTheme="minorHAnsi" w:cstheme="minorHAnsi"/>
          <w:szCs w:val="24"/>
          <w:lang w:val="en-US"/>
        </w:rPr>
      </w:pPr>
      <w:r w:rsidRPr="00C10B9C">
        <w:rPr>
          <w:rFonts w:asciiTheme="minorHAnsi" w:hAnsiTheme="minorHAnsi" w:cstheme="minorHAnsi"/>
          <w:szCs w:val="24"/>
          <w:lang w:val="en-US"/>
        </w:rPr>
        <w:t>1</w:t>
      </w:r>
      <w:r w:rsidR="00CB34EC" w:rsidRPr="00C10B9C">
        <w:rPr>
          <w:rFonts w:asciiTheme="minorHAnsi" w:hAnsiTheme="minorHAnsi" w:cstheme="minorHAnsi"/>
          <w:szCs w:val="24"/>
          <w:lang w:val="en-US"/>
        </w:rPr>
        <w:t>8</w:t>
      </w:r>
      <w:r w:rsidR="00074BCF" w:rsidRPr="00C10B9C">
        <w:rPr>
          <w:rFonts w:asciiTheme="minorHAnsi" w:hAnsiTheme="minorHAnsi" w:cstheme="minorHAnsi"/>
          <w:szCs w:val="24"/>
          <w:lang w:val="en-US"/>
        </w:rPr>
        <w:t>.1</w:t>
      </w:r>
      <w:r w:rsidR="00074BCF" w:rsidRPr="00C10B9C">
        <w:rPr>
          <w:rFonts w:asciiTheme="minorHAnsi" w:hAnsiTheme="minorHAnsi" w:cstheme="minorHAnsi"/>
          <w:szCs w:val="24"/>
          <w:lang w:val="en-US"/>
        </w:rPr>
        <w:tab/>
        <w:t xml:space="preserve">The secretariat introduced Document CWG-FHR-20/30, a liaison statement on the creation of the Council Working Group for </w:t>
      </w:r>
      <w:r w:rsidR="00843D5A" w:rsidRPr="00C10B9C">
        <w:rPr>
          <w:rFonts w:asciiTheme="minorHAnsi" w:hAnsiTheme="minorHAnsi" w:cstheme="minorHAnsi"/>
          <w:szCs w:val="24"/>
          <w:lang w:val="en-US"/>
        </w:rPr>
        <w:t xml:space="preserve">strategic </w:t>
      </w:r>
      <w:r w:rsidR="00074BCF" w:rsidRPr="00C10B9C">
        <w:rPr>
          <w:rFonts w:asciiTheme="minorHAnsi" w:hAnsiTheme="minorHAnsi" w:cstheme="minorHAnsi"/>
          <w:szCs w:val="24"/>
          <w:lang w:val="en-US"/>
        </w:rPr>
        <w:t xml:space="preserve">and </w:t>
      </w:r>
      <w:r w:rsidR="00843D5A" w:rsidRPr="00C10B9C">
        <w:rPr>
          <w:rFonts w:asciiTheme="minorHAnsi" w:hAnsiTheme="minorHAnsi" w:cstheme="minorHAnsi"/>
          <w:szCs w:val="24"/>
          <w:lang w:val="en-US"/>
        </w:rPr>
        <w:t xml:space="preserve">financial plans </w:t>
      </w:r>
      <w:r w:rsidR="00074BCF" w:rsidRPr="00C10B9C">
        <w:rPr>
          <w:rFonts w:asciiTheme="minorHAnsi" w:hAnsiTheme="minorHAnsi" w:cstheme="minorHAnsi"/>
          <w:szCs w:val="24"/>
          <w:lang w:val="en-US"/>
        </w:rPr>
        <w:t>(CWG-SFP). During the discussion, one delegate questioned whether the document’s title should refer to the "activity" rather than the "creation" of the working group. Another delegate expressed the view that the purpose of the statement was to inform the group about the creation of CWG-SFP. The secretariat clarified that the primary objective was indeed to inform the group about the establishment of CWG-SFP and to invite other groups to contribute to its work. With this clarification, the document was noted by CWG-FHR.</w:t>
      </w:r>
    </w:p>
    <w:p w14:paraId="3B4CC7CD" w14:textId="3D1F3C6B" w:rsidR="00135DAF" w:rsidRPr="00C10B9C" w:rsidRDefault="00784820" w:rsidP="000D2039">
      <w:pPr>
        <w:pStyle w:val="Tabletext"/>
        <w:tabs>
          <w:tab w:val="clear" w:pos="284"/>
          <w:tab w:val="clear" w:pos="567"/>
        </w:tabs>
        <w:spacing w:before="480" w:after="120"/>
        <w:ind w:left="851" w:hanging="851"/>
        <w:jc w:val="both"/>
        <w:rPr>
          <w:rFonts w:asciiTheme="minorHAnsi" w:hAnsiTheme="minorHAnsi" w:cstheme="minorHAnsi"/>
          <w:b/>
          <w:bCs/>
          <w:sz w:val="24"/>
          <w:szCs w:val="24"/>
        </w:rPr>
      </w:pPr>
      <w:r w:rsidRPr="00C10B9C">
        <w:rPr>
          <w:rFonts w:asciiTheme="minorHAnsi" w:hAnsiTheme="minorHAnsi" w:cstheme="minorHAnsi"/>
          <w:b/>
          <w:bCs/>
          <w:sz w:val="24"/>
          <w:szCs w:val="24"/>
        </w:rPr>
        <w:t>1</w:t>
      </w:r>
      <w:r w:rsidR="00CB34EC" w:rsidRPr="00C10B9C">
        <w:rPr>
          <w:rFonts w:asciiTheme="minorHAnsi" w:hAnsiTheme="minorHAnsi" w:cstheme="minorHAnsi"/>
          <w:b/>
          <w:bCs/>
          <w:sz w:val="24"/>
          <w:szCs w:val="24"/>
        </w:rPr>
        <w:t>9</w:t>
      </w:r>
      <w:r w:rsidR="00135DAF" w:rsidRPr="00C10B9C">
        <w:rPr>
          <w:rFonts w:asciiTheme="minorHAnsi" w:hAnsiTheme="minorHAnsi" w:cstheme="minorHAnsi"/>
          <w:b/>
          <w:bCs/>
          <w:sz w:val="24"/>
          <w:szCs w:val="24"/>
        </w:rPr>
        <w:tab/>
        <w:t>Update on the Union's headquarters premises project</w:t>
      </w:r>
      <w:r w:rsidR="00127D43" w:rsidRPr="00C10B9C">
        <w:rPr>
          <w:rFonts w:asciiTheme="minorHAnsi" w:hAnsiTheme="minorHAnsi" w:cstheme="minorHAnsi"/>
          <w:b/>
          <w:bCs/>
          <w:sz w:val="24"/>
          <w:szCs w:val="24"/>
        </w:rPr>
        <w:t xml:space="preserve"> - Document </w:t>
      </w:r>
      <w:hyperlink r:id="rId34" w:history="1">
        <w:r w:rsidR="00127D43" w:rsidRPr="00C10B9C">
          <w:rPr>
            <w:rStyle w:val="Hyperlink"/>
            <w:rFonts w:asciiTheme="minorHAnsi" w:hAnsiTheme="minorHAnsi" w:cstheme="minorHAnsi"/>
            <w:b/>
            <w:bCs/>
            <w:sz w:val="24"/>
            <w:szCs w:val="24"/>
            <w:u w:val="none"/>
          </w:rPr>
          <w:t>CWG-FHR-20/7</w:t>
        </w:r>
      </w:hyperlink>
      <w:r w:rsidR="00CD49C6" w:rsidRPr="00C10B9C">
        <w:rPr>
          <w:rFonts w:asciiTheme="minorHAnsi" w:hAnsiTheme="minorHAnsi" w:cstheme="minorHAnsi"/>
          <w:sz w:val="24"/>
          <w:szCs w:val="24"/>
        </w:rPr>
        <w:t xml:space="preserve"> </w:t>
      </w:r>
      <w:r w:rsidR="00CD49C6" w:rsidRPr="00C10B9C">
        <w:rPr>
          <w:rFonts w:asciiTheme="minorHAnsi" w:hAnsiTheme="minorHAnsi" w:cstheme="minorHAnsi"/>
          <w:b/>
          <w:bCs/>
          <w:sz w:val="24"/>
          <w:szCs w:val="24"/>
        </w:rPr>
        <w:t xml:space="preserve">and </w:t>
      </w:r>
      <w:r w:rsidR="00135DAF" w:rsidRPr="00C10B9C">
        <w:rPr>
          <w:rFonts w:asciiTheme="minorHAnsi" w:hAnsiTheme="minorHAnsi" w:cstheme="minorHAnsi"/>
          <w:b/>
          <w:bCs/>
          <w:sz w:val="24"/>
          <w:szCs w:val="24"/>
        </w:rPr>
        <w:t xml:space="preserve">MSAG Report – </w:t>
      </w:r>
      <w:r w:rsidR="00127D43" w:rsidRPr="00C10B9C">
        <w:rPr>
          <w:rFonts w:asciiTheme="minorHAnsi" w:hAnsiTheme="minorHAnsi" w:cstheme="minorHAnsi"/>
          <w:b/>
          <w:bCs/>
          <w:sz w:val="24"/>
          <w:szCs w:val="24"/>
        </w:rPr>
        <w:t>Oral presentation</w:t>
      </w:r>
    </w:p>
    <w:p w14:paraId="2D63D79D" w14:textId="16D4BEC7" w:rsidR="0084524D" w:rsidRPr="00C10B9C" w:rsidRDefault="00784820" w:rsidP="00C10B9C">
      <w:pPr>
        <w:tabs>
          <w:tab w:val="clear" w:pos="567"/>
          <w:tab w:val="clear" w:pos="1134"/>
          <w:tab w:val="clear" w:pos="1701"/>
          <w:tab w:val="clear" w:pos="2268"/>
          <w:tab w:val="clear" w:pos="2835"/>
          <w:tab w:val="left" w:pos="851"/>
        </w:tabs>
        <w:spacing w:after="120"/>
        <w:rPr>
          <w:rFonts w:asciiTheme="minorHAnsi" w:hAnsiTheme="minorHAnsi" w:cstheme="minorHAnsi"/>
          <w:szCs w:val="24"/>
        </w:rPr>
      </w:pPr>
      <w:r w:rsidRPr="00C10B9C">
        <w:rPr>
          <w:rFonts w:asciiTheme="minorHAnsi" w:hAnsiTheme="minorHAnsi" w:cstheme="minorHAnsi"/>
          <w:szCs w:val="24"/>
        </w:rPr>
        <w:t>1</w:t>
      </w:r>
      <w:r w:rsidR="00CB34EC" w:rsidRPr="00C10B9C">
        <w:rPr>
          <w:rFonts w:asciiTheme="minorHAnsi" w:hAnsiTheme="minorHAnsi" w:cstheme="minorHAnsi"/>
          <w:szCs w:val="24"/>
        </w:rPr>
        <w:t>9</w:t>
      </w:r>
      <w:r w:rsidR="001A4C9F" w:rsidRPr="00C10B9C">
        <w:rPr>
          <w:rFonts w:asciiTheme="minorHAnsi" w:hAnsiTheme="minorHAnsi" w:cstheme="minorHAnsi"/>
          <w:szCs w:val="24"/>
        </w:rPr>
        <w:t>.1</w:t>
      </w:r>
      <w:r w:rsidR="001A4C9F" w:rsidRPr="00C10B9C">
        <w:rPr>
          <w:rFonts w:asciiTheme="minorHAnsi" w:hAnsiTheme="minorHAnsi" w:cstheme="minorHAnsi"/>
          <w:szCs w:val="24"/>
        </w:rPr>
        <w:tab/>
      </w:r>
      <w:r w:rsidR="0084524D" w:rsidRPr="00C10B9C">
        <w:rPr>
          <w:rFonts w:asciiTheme="minorHAnsi" w:hAnsiTheme="minorHAnsi" w:cstheme="minorHAnsi"/>
          <w:szCs w:val="24"/>
        </w:rPr>
        <w:t xml:space="preserve">The Head of BPFMD introduced Document </w:t>
      </w:r>
      <w:hyperlink r:id="rId35" w:tooltip="https://www.itu.int/md/S25-CWGFHR20-C-0007/en" w:history="1">
        <w:r w:rsidR="0084524D" w:rsidRPr="00C10B9C">
          <w:rPr>
            <w:rStyle w:val="Hyperlink"/>
            <w:rFonts w:asciiTheme="minorHAnsi" w:hAnsiTheme="minorHAnsi" w:cstheme="minorHAnsi"/>
            <w:szCs w:val="24"/>
          </w:rPr>
          <w:t>CWG-FHR-20/7</w:t>
        </w:r>
      </w:hyperlink>
      <w:r w:rsidR="0084524D" w:rsidRPr="00C10B9C">
        <w:rPr>
          <w:rFonts w:asciiTheme="minorHAnsi" w:hAnsiTheme="minorHAnsi" w:cstheme="minorHAnsi"/>
          <w:szCs w:val="24"/>
        </w:rPr>
        <w:t xml:space="preserve"> which provides an update on the implementation of </w:t>
      </w:r>
      <w:r w:rsidR="00843D5A" w:rsidRPr="00C10B9C">
        <w:rPr>
          <w:rFonts w:asciiTheme="minorHAnsi" w:hAnsiTheme="minorHAnsi" w:cstheme="minorHAnsi"/>
          <w:szCs w:val="24"/>
        </w:rPr>
        <w:t>Council</w:t>
      </w:r>
      <w:r w:rsidR="0084524D" w:rsidRPr="00C10B9C">
        <w:rPr>
          <w:rFonts w:asciiTheme="minorHAnsi" w:hAnsiTheme="minorHAnsi" w:cstheme="minorHAnsi"/>
          <w:szCs w:val="24"/>
        </w:rPr>
        <w:t xml:space="preserve"> Decision 640</w:t>
      </w:r>
      <w:r w:rsidR="00843D5A" w:rsidRPr="00C10B9C">
        <w:rPr>
          <w:rFonts w:asciiTheme="minorHAnsi" w:hAnsiTheme="minorHAnsi" w:cstheme="minorHAnsi"/>
          <w:szCs w:val="24"/>
        </w:rPr>
        <w:t xml:space="preserve"> (C24)</w:t>
      </w:r>
      <w:r w:rsidR="0084524D" w:rsidRPr="00C10B9C">
        <w:rPr>
          <w:rFonts w:asciiTheme="minorHAnsi" w:hAnsiTheme="minorHAnsi" w:cstheme="minorHAnsi"/>
          <w:szCs w:val="24"/>
        </w:rPr>
        <w:t xml:space="preserve"> on the Union Headquarters Premises Project</w:t>
      </w:r>
      <w:r w:rsidR="00843D5A" w:rsidRPr="00C10B9C">
        <w:rPr>
          <w:rFonts w:asciiTheme="minorHAnsi" w:hAnsiTheme="minorHAnsi" w:cstheme="minorHAnsi"/>
          <w:szCs w:val="24"/>
        </w:rPr>
        <w:t>.</w:t>
      </w:r>
    </w:p>
    <w:p w14:paraId="6A5372BB" w14:textId="263D42CC" w:rsidR="0084524D" w:rsidRPr="00C10B9C" w:rsidRDefault="00784820" w:rsidP="00C10B9C">
      <w:pPr>
        <w:tabs>
          <w:tab w:val="clear" w:pos="567"/>
          <w:tab w:val="clear" w:pos="1134"/>
          <w:tab w:val="clear" w:pos="1701"/>
          <w:tab w:val="clear" w:pos="2268"/>
          <w:tab w:val="clear" w:pos="2835"/>
          <w:tab w:val="left" w:pos="851"/>
        </w:tabs>
        <w:spacing w:after="120"/>
        <w:rPr>
          <w:rFonts w:asciiTheme="minorHAnsi" w:hAnsiTheme="minorHAnsi" w:cstheme="minorHAnsi"/>
          <w:szCs w:val="24"/>
        </w:rPr>
      </w:pPr>
      <w:r w:rsidRPr="00C10B9C">
        <w:rPr>
          <w:rFonts w:asciiTheme="minorHAnsi" w:hAnsiTheme="minorHAnsi" w:cstheme="minorHAnsi"/>
          <w:szCs w:val="24"/>
        </w:rPr>
        <w:t>1</w:t>
      </w:r>
      <w:r w:rsidR="00CB34EC" w:rsidRPr="00C10B9C">
        <w:rPr>
          <w:rFonts w:asciiTheme="minorHAnsi" w:hAnsiTheme="minorHAnsi" w:cstheme="minorHAnsi"/>
          <w:szCs w:val="24"/>
        </w:rPr>
        <w:t>9</w:t>
      </w:r>
      <w:r w:rsidR="001A4C9F" w:rsidRPr="00C10B9C">
        <w:rPr>
          <w:rFonts w:asciiTheme="minorHAnsi" w:hAnsiTheme="minorHAnsi" w:cstheme="minorHAnsi"/>
          <w:szCs w:val="24"/>
        </w:rPr>
        <w:t>.2</w:t>
      </w:r>
      <w:r w:rsidR="001A4C9F" w:rsidRPr="00C10B9C">
        <w:rPr>
          <w:rFonts w:asciiTheme="minorHAnsi" w:hAnsiTheme="minorHAnsi" w:cstheme="minorHAnsi"/>
          <w:szCs w:val="24"/>
        </w:rPr>
        <w:tab/>
      </w:r>
      <w:r w:rsidR="0084524D" w:rsidRPr="00C10B9C">
        <w:rPr>
          <w:rFonts w:asciiTheme="minorHAnsi" w:hAnsiTheme="minorHAnsi" w:cstheme="minorHAnsi"/>
          <w:szCs w:val="24"/>
        </w:rPr>
        <w:t xml:space="preserve">The Technical Evaluation Panel, part of the international tender process initiated in September 2024, is successfully advancing with the selection of the Planning and Design firm (Architects &amp; Engineers) and is expected to finalize all activities at the end of March 2025. The activities of the initial design phase have been officially </w:t>
      </w:r>
      <w:proofErr w:type="gramStart"/>
      <w:r w:rsidR="0084524D" w:rsidRPr="00C10B9C">
        <w:rPr>
          <w:rFonts w:asciiTheme="minorHAnsi" w:hAnsiTheme="minorHAnsi" w:cstheme="minorHAnsi"/>
          <w:szCs w:val="24"/>
        </w:rPr>
        <w:t>closed</w:t>
      </w:r>
      <w:proofErr w:type="gramEnd"/>
      <w:r w:rsidR="0084524D" w:rsidRPr="00C10B9C">
        <w:rPr>
          <w:rFonts w:asciiTheme="minorHAnsi" w:hAnsiTheme="minorHAnsi" w:cstheme="minorHAnsi"/>
          <w:szCs w:val="24"/>
        </w:rPr>
        <w:t xml:space="preserve"> and all financial commitments have been finalized. The process is on time and within the budget as defined by the Council.</w:t>
      </w:r>
    </w:p>
    <w:p w14:paraId="1E6561D4" w14:textId="67058B78" w:rsidR="0084524D" w:rsidRPr="00C10B9C" w:rsidRDefault="00784820" w:rsidP="00C10B9C">
      <w:pPr>
        <w:tabs>
          <w:tab w:val="clear" w:pos="567"/>
          <w:tab w:val="clear" w:pos="1134"/>
          <w:tab w:val="clear" w:pos="1701"/>
          <w:tab w:val="clear" w:pos="2268"/>
          <w:tab w:val="clear" w:pos="2835"/>
          <w:tab w:val="left" w:pos="851"/>
        </w:tabs>
        <w:spacing w:after="120"/>
        <w:rPr>
          <w:rFonts w:asciiTheme="minorHAnsi" w:hAnsiTheme="minorHAnsi" w:cstheme="minorHAnsi"/>
          <w:szCs w:val="24"/>
        </w:rPr>
      </w:pPr>
      <w:r w:rsidRPr="00C10B9C">
        <w:rPr>
          <w:rFonts w:asciiTheme="minorHAnsi" w:hAnsiTheme="minorHAnsi" w:cstheme="minorHAnsi"/>
          <w:szCs w:val="24"/>
        </w:rPr>
        <w:t>1</w:t>
      </w:r>
      <w:r w:rsidR="00CB34EC" w:rsidRPr="00C10B9C">
        <w:rPr>
          <w:rFonts w:asciiTheme="minorHAnsi" w:hAnsiTheme="minorHAnsi" w:cstheme="minorHAnsi"/>
          <w:szCs w:val="24"/>
        </w:rPr>
        <w:t>9</w:t>
      </w:r>
      <w:r w:rsidR="001A4C9F" w:rsidRPr="00C10B9C">
        <w:rPr>
          <w:rFonts w:asciiTheme="minorHAnsi" w:hAnsiTheme="minorHAnsi" w:cstheme="minorHAnsi"/>
          <w:szCs w:val="24"/>
        </w:rPr>
        <w:t>.3</w:t>
      </w:r>
      <w:r w:rsidR="001A4C9F" w:rsidRPr="00C10B9C">
        <w:rPr>
          <w:rFonts w:asciiTheme="minorHAnsi" w:hAnsiTheme="minorHAnsi" w:cstheme="minorHAnsi"/>
          <w:szCs w:val="24"/>
        </w:rPr>
        <w:tab/>
      </w:r>
      <w:r w:rsidR="0084524D" w:rsidRPr="00C10B9C">
        <w:rPr>
          <w:rFonts w:asciiTheme="minorHAnsi" w:hAnsiTheme="minorHAnsi" w:cstheme="minorHAnsi"/>
          <w:szCs w:val="24"/>
        </w:rPr>
        <w:t>The ongoing excellent relations with Swiss Authorities enhance the progress to formalize the repurposing of the CHF 150M loan.</w:t>
      </w:r>
    </w:p>
    <w:p w14:paraId="3266B917" w14:textId="3ADC217E" w:rsidR="0084524D" w:rsidRPr="00C10B9C" w:rsidRDefault="00784820" w:rsidP="00C10B9C">
      <w:pPr>
        <w:tabs>
          <w:tab w:val="clear" w:pos="567"/>
          <w:tab w:val="clear" w:pos="1134"/>
          <w:tab w:val="clear" w:pos="1701"/>
          <w:tab w:val="clear" w:pos="2268"/>
          <w:tab w:val="clear" w:pos="2835"/>
          <w:tab w:val="left" w:pos="851"/>
        </w:tabs>
        <w:spacing w:after="120"/>
        <w:rPr>
          <w:rFonts w:asciiTheme="minorHAnsi" w:hAnsiTheme="minorHAnsi" w:cstheme="minorHAnsi"/>
          <w:szCs w:val="24"/>
        </w:rPr>
      </w:pPr>
      <w:r w:rsidRPr="00C10B9C">
        <w:rPr>
          <w:rFonts w:asciiTheme="minorHAnsi" w:hAnsiTheme="minorHAnsi" w:cstheme="minorHAnsi"/>
          <w:szCs w:val="24"/>
        </w:rPr>
        <w:t>1</w:t>
      </w:r>
      <w:r w:rsidR="00CB34EC" w:rsidRPr="00C10B9C">
        <w:rPr>
          <w:rFonts w:asciiTheme="minorHAnsi" w:hAnsiTheme="minorHAnsi" w:cstheme="minorHAnsi"/>
          <w:szCs w:val="24"/>
        </w:rPr>
        <w:t>9</w:t>
      </w:r>
      <w:r w:rsidR="001A4C9F" w:rsidRPr="00C10B9C">
        <w:rPr>
          <w:rFonts w:asciiTheme="minorHAnsi" w:hAnsiTheme="minorHAnsi" w:cstheme="minorHAnsi"/>
          <w:szCs w:val="24"/>
        </w:rPr>
        <w:t>.4</w:t>
      </w:r>
      <w:r w:rsidR="001A4C9F" w:rsidRPr="00C10B9C">
        <w:rPr>
          <w:rFonts w:asciiTheme="minorHAnsi" w:hAnsiTheme="minorHAnsi" w:cstheme="minorHAnsi"/>
          <w:szCs w:val="24"/>
        </w:rPr>
        <w:tab/>
      </w:r>
      <w:r w:rsidR="0084524D" w:rsidRPr="00C10B9C">
        <w:rPr>
          <w:rFonts w:asciiTheme="minorHAnsi" w:hAnsiTheme="minorHAnsi" w:cstheme="minorHAnsi"/>
          <w:szCs w:val="24"/>
        </w:rPr>
        <w:t xml:space="preserve">Sponsorship: three out of four initial sponsors confirmed their financial engagement at the original level of this project. The fourth sponsor is strongly committed and interested to see the development of the project before making the final decision. </w:t>
      </w:r>
    </w:p>
    <w:p w14:paraId="29D76E3D" w14:textId="0AB4FEB4" w:rsidR="0084524D" w:rsidRPr="00C10B9C" w:rsidRDefault="00784820" w:rsidP="00C10B9C">
      <w:pPr>
        <w:tabs>
          <w:tab w:val="clear" w:pos="567"/>
          <w:tab w:val="clear" w:pos="1134"/>
          <w:tab w:val="clear" w:pos="1701"/>
          <w:tab w:val="clear" w:pos="2268"/>
          <w:tab w:val="clear" w:pos="2835"/>
          <w:tab w:val="left" w:pos="851"/>
        </w:tabs>
        <w:spacing w:after="120"/>
        <w:rPr>
          <w:rFonts w:asciiTheme="minorHAnsi" w:hAnsiTheme="minorHAnsi" w:cstheme="minorHAnsi"/>
          <w:szCs w:val="24"/>
        </w:rPr>
      </w:pPr>
      <w:r w:rsidRPr="00C10B9C">
        <w:rPr>
          <w:rFonts w:asciiTheme="minorHAnsi" w:hAnsiTheme="minorHAnsi" w:cstheme="minorHAnsi"/>
          <w:szCs w:val="24"/>
        </w:rPr>
        <w:t>1</w:t>
      </w:r>
      <w:r w:rsidR="00CB34EC" w:rsidRPr="00C10B9C">
        <w:rPr>
          <w:rFonts w:asciiTheme="minorHAnsi" w:hAnsiTheme="minorHAnsi" w:cstheme="minorHAnsi"/>
          <w:szCs w:val="24"/>
        </w:rPr>
        <w:t>9</w:t>
      </w:r>
      <w:r w:rsidR="001A4C9F" w:rsidRPr="00C10B9C">
        <w:rPr>
          <w:rFonts w:asciiTheme="minorHAnsi" w:hAnsiTheme="minorHAnsi" w:cstheme="minorHAnsi"/>
          <w:szCs w:val="24"/>
        </w:rPr>
        <w:t>.5</w:t>
      </w:r>
      <w:r w:rsidR="001A4C9F" w:rsidRPr="00C10B9C">
        <w:rPr>
          <w:rFonts w:asciiTheme="minorHAnsi" w:hAnsiTheme="minorHAnsi" w:cstheme="minorHAnsi"/>
          <w:szCs w:val="24"/>
        </w:rPr>
        <w:tab/>
      </w:r>
      <w:r w:rsidR="0084524D" w:rsidRPr="00C10B9C">
        <w:rPr>
          <w:rFonts w:asciiTheme="minorHAnsi" w:hAnsiTheme="minorHAnsi" w:cstheme="minorHAnsi"/>
          <w:szCs w:val="24"/>
        </w:rPr>
        <w:t>The MSAG Chair reported verbally on MSAG’s progress, thanking the secretariat, project team and MSAG colleagues for their engagement. With the support of ITU Legal Adviser MSAG updated its terms of reference which now improve the confidentiality requirements especially related to the procurement processes.</w:t>
      </w:r>
    </w:p>
    <w:p w14:paraId="6623B6BE" w14:textId="0AA5E32B" w:rsidR="00127D43" w:rsidRPr="00C10B9C" w:rsidRDefault="00CB34EC" w:rsidP="000D2039">
      <w:pPr>
        <w:pStyle w:val="Tabletext"/>
        <w:tabs>
          <w:tab w:val="clear" w:pos="284"/>
          <w:tab w:val="clear" w:pos="567"/>
        </w:tabs>
        <w:spacing w:before="480" w:after="120"/>
        <w:ind w:left="851" w:hanging="851"/>
        <w:rPr>
          <w:rFonts w:asciiTheme="minorHAnsi" w:hAnsiTheme="minorHAnsi" w:cstheme="minorHAnsi"/>
          <w:b/>
          <w:bCs/>
          <w:sz w:val="24"/>
          <w:szCs w:val="24"/>
        </w:rPr>
      </w:pPr>
      <w:r w:rsidRPr="00C10B9C">
        <w:rPr>
          <w:rFonts w:asciiTheme="minorHAnsi" w:hAnsiTheme="minorHAnsi" w:cstheme="minorHAnsi"/>
          <w:b/>
          <w:bCs/>
          <w:sz w:val="24"/>
          <w:szCs w:val="24"/>
        </w:rPr>
        <w:t>20</w:t>
      </w:r>
      <w:r w:rsidR="00DA4181" w:rsidRPr="00C10B9C">
        <w:rPr>
          <w:rFonts w:asciiTheme="minorHAnsi" w:hAnsiTheme="minorHAnsi" w:cstheme="minorHAnsi"/>
          <w:b/>
          <w:bCs/>
          <w:sz w:val="24"/>
          <w:szCs w:val="24"/>
        </w:rPr>
        <w:tab/>
        <w:t>Initial draft of the campus strategic plan – Document </w:t>
      </w:r>
      <w:hyperlink r:id="rId36" w:history="1">
        <w:r w:rsidR="00DA4181" w:rsidRPr="00C10B9C">
          <w:rPr>
            <w:rStyle w:val="Hyperlink"/>
            <w:rFonts w:asciiTheme="minorHAnsi" w:hAnsiTheme="minorHAnsi" w:cstheme="minorHAnsi"/>
            <w:b/>
            <w:bCs/>
            <w:sz w:val="24"/>
            <w:szCs w:val="24"/>
          </w:rPr>
          <w:t>CWG-FHR-20/8</w:t>
        </w:r>
      </w:hyperlink>
      <w:r w:rsidR="001A4C9F" w:rsidRPr="00C10B9C">
        <w:rPr>
          <w:rFonts w:asciiTheme="minorHAnsi" w:hAnsiTheme="minorHAnsi" w:cstheme="minorHAnsi"/>
          <w:sz w:val="24"/>
          <w:szCs w:val="24"/>
        </w:rPr>
        <w:t xml:space="preserve"> </w:t>
      </w:r>
      <w:r w:rsidR="001A4C9F" w:rsidRPr="00C10B9C">
        <w:rPr>
          <w:rFonts w:asciiTheme="minorHAnsi" w:hAnsiTheme="minorHAnsi" w:cstheme="minorHAnsi"/>
          <w:b/>
          <w:bCs/>
          <w:sz w:val="24"/>
          <w:szCs w:val="24"/>
        </w:rPr>
        <w:t xml:space="preserve">and </w:t>
      </w:r>
      <w:r w:rsidR="001A4C9F" w:rsidRPr="00C10B9C">
        <w:rPr>
          <w:rFonts w:asciiTheme="minorHAnsi" w:hAnsiTheme="minorHAnsi" w:cstheme="minorHAnsi"/>
          <w:b/>
          <w:bCs/>
          <w:i/>
          <w:iCs/>
          <w:color w:val="000000"/>
          <w:sz w:val="24"/>
          <w:szCs w:val="24"/>
          <w:shd w:val="clear" w:color="auto" w:fill="FFFFFF"/>
        </w:rPr>
        <w:t xml:space="preserve">Multi-country contribution: </w:t>
      </w:r>
      <w:r w:rsidR="001A4C9F" w:rsidRPr="00C10B9C">
        <w:rPr>
          <w:rFonts w:asciiTheme="minorHAnsi" w:hAnsiTheme="minorHAnsi" w:cstheme="minorHAnsi"/>
          <w:b/>
          <w:bCs/>
          <w:sz w:val="24"/>
          <w:szCs w:val="24"/>
        </w:rPr>
        <w:t xml:space="preserve"> Proposals related to the implementation of an alternative project for the new ITU headquarters building – Document </w:t>
      </w:r>
      <w:hyperlink r:id="rId37" w:history="1">
        <w:r w:rsidR="001A4C9F" w:rsidRPr="00C10B9C">
          <w:rPr>
            <w:rStyle w:val="Hyperlink"/>
            <w:rFonts w:asciiTheme="minorHAnsi" w:hAnsiTheme="minorHAnsi" w:cstheme="minorHAnsi"/>
            <w:b/>
            <w:bCs/>
            <w:sz w:val="24"/>
            <w:szCs w:val="24"/>
          </w:rPr>
          <w:t>CWG-FHR-20/27</w:t>
        </w:r>
      </w:hyperlink>
    </w:p>
    <w:p w14:paraId="3F56FA48" w14:textId="48C4BE5B" w:rsidR="0084524D" w:rsidRPr="00C10B9C" w:rsidRDefault="00CB34EC"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t>20</w:t>
      </w:r>
      <w:r w:rsidR="001A4C9F" w:rsidRPr="00C10B9C">
        <w:rPr>
          <w:rFonts w:asciiTheme="minorHAnsi" w:hAnsiTheme="minorHAnsi" w:cstheme="minorHAnsi"/>
          <w:szCs w:val="24"/>
        </w:rPr>
        <w:t>.1</w:t>
      </w:r>
      <w:r w:rsidR="001A4C9F" w:rsidRPr="00C10B9C">
        <w:rPr>
          <w:rFonts w:asciiTheme="minorHAnsi" w:hAnsiTheme="minorHAnsi" w:cstheme="minorHAnsi"/>
          <w:szCs w:val="24"/>
        </w:rPr>
        <w:tab/>
      </w:r>
      <w:r w:rsidR="0084524D" w:rsidRPr="00C10B9C">
        <w:rPr>
          <w:rFonts w:asciiTheme="minorHAnsi" w:hAnsiTheme="minorHAnsi" w:cstheme="minorHAnsi"/>
          <w:szCs w:val="24"/>
        </w:rPr>
        <w:t xml:space="preserve">The secretariat also introduced Document </w:t>
      </w:r>
      <w:hyperlink r:id="rId38" w:tooltip="https://www.itu.int/md/S25-CWGFHR20-C-0008/en" w:history="1">
        <w:r w:rsidR="0084524D" w:rsidRPr="00C10B9C">
          <w:rPr>
            <w:rStyle w:val="Hyperlink"/>
            <w:rFonts w:asciiTheme="minorHAnsi" w:hAnsiTheme="minorHAnsi" w:cstheme="minorHAnsi"/>
            <w:szCs w:val="24"/>
          </w:rPr>
          <w:t>CWG-FHR-20/8</w:t>
        </w:r>
      </w:hyperlink>
      <w:r w:rsidR="0084524D" w:rsidRPr="00C10B9C">
        <w:rPr>
          <w:rFonts w:asciiTheme="minorHAnsi" w:hAnsiTheme="minorHAnsi" w:cstheme="minorHAnsi"/>
          <w:szCs w:val="24"/>
        </w:rPr>
        <w:t xml:space="preserve"> presented the initial draft of the campus strategic plan, whose purpose is to align the organization’s physical environment with its mandate and strategic objectives and to ensure it is done through sustainable financial planning and well-considered development.</w:t>
      </w:r>
    </w:p>
    <w:p w14:paraId="06CC6FDB" w14:textId="5C9C03A6" w:rsidR="0084524D" w:rsidRPr="00C10B9C" w:rsidRDefault="00CB34EC"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t>20</w:t>
      </w:r>
      <w:r w:rsidR="00CD49C6" w:rsidRPr="00C10B9C">
        <w:rPr>
          <w:rFonts w:asciiTheme="minorHAnsi" w:hAnsiTheme="minorHAnsi" w:cstheme="minorHAnsi"/>
          <w:szCs w:val="24"/>
        </w:rPr>
        <w:t>.2</w:t>
      </w:r>
      <w:r w:rsidR="00CD49C6" w:rsidRPr="00C10B9C">
        <w:rPr>
          <w:rFonts w:asciiTheme="minorHAnsi" w:hAnsiTheme="minorHAnsi" w:cstheme="minorHAnsi"/>
          <w:szCs w:val="24"/>
        </w:rPr>
        <w:tab/>
      </w:r>
      <w:r w:rsidR="0084524D" w:rsidRPr="00C10B9C">
        <w:rPr>
          <w:rFonts w:asciiTheme="minorHAnsi" w:hAnsiTheme="minorHAnsi" w:cstheme="minorHAnsi"/>
          <w:szCs w:val="24"/>
        </w:rPr>
        <w:t>RCC representative introduced the m</w:t>
      </w:r>
      <w:r w:rsidR="0084524D" w:rsidRPr="00C10B9C">
        <w:rPr>
          <w:rFonts w:asciiTheme="minorHAnsi" w:hAnsiTheme="minorHAnsi" w:cstheme="minorHAnsi"/>
          <w:bCs/>
          <w:szCs w:val="24"/>
        </w:rPr>
        <w:t>ulti-country contribution: Proposals related to the implementation of an alternative project for the new ITU headquarters building.</w:t>
      </w:r>
    </w:p>
    <w:p w14:paraId="6BEBD3E9" w14:textId="7EF1FCF7" w:rsidR="0084524D" w:rsidRPr="00C10B9C" w:rsidRDefault="00CB34EC"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t>20</w:t>
      </w:r>
      <w:r w:rsidR="002B7203" w:rsidRPr="00C10B9C">
        <w:rPr>
          <w:rFonts w:asciiTheme="minorHAnsi" w:hAnsiTheme="minorHAnsi" w:cstheme="minorHAnsi"/>
          <w:szCs w:val="24"/>
        </w:rPr>
        <w:t>.3</w:t>
      </w:r>
      <w:r w:rsidR="002B7203" w:rsidRPr="00C10B9C">
        <w:rPr>
          <w:rFonts w:asciiTheme="minorHAnsi" w:hAnsiTheme="minorHAnsi" w:cstheme="minorHAnsi"/>
          <w:szCs w:val="24"/>
        </w:rPr>
        <w:tab/>
      </w:r>
      <w:proofErr w:type="gramStart"/>
      <w:r w:rsidR="0084524D" w:rsidRPr="00C10B9C">
        <w:rPr>
          <w:rFonts w:asciiTheme="minorHAnsi" w:hAnsiTheme="minorHAnsi" w:cstheme="minorHAnsi"/>
          <w:szCs w:val="24"/>
        </w:rPr>
        <w:t>A number of</w:t>
      </w:r>
      <w:proofErr w:type="gramEnd"/>
      <w:r w:rsidR="0084524D" w:rsidRPr="00C10B9C">
        <w:rPr>
          <w:rFonts w:asciiTheme="minorHAnsi" w:hAnsiTheme="minorHAnsi" w:cstheme="minorHAnsi"/>
          <w:szCs w:val="24"/>
        </w:rPr>
        <w:t xml:space="preserve"> questions from delegations were responded to by the secretariat:</w:t>
      </w:r>
    </w:p>
    <w:p w14:paraId="512D8A0E" w14:textId="247FCF6B" w:rsidR="0084524D" w:rsidRPr="00C10B9C" w:rsidRDefault="00CB34EC"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t>20</w:t>
      </w:r>
      <w:r w:rsidR="00CD49C6" w:rsidRPr="00C10B9C">
        <w:rPr>
          <w:rFonts w:asciiTheme="minorHAnsi" w:hAnsiTheme="minorHAnsi" w:cstheme="minorHAnsi"/>
          <w:szCs w:val="24"/>
        </w:rPr>
        <w:t>.</w:t>
      </w:r>
      <w:r w:rsidR="002B7203" w:rsidRPr="00C10B9C">
        <w:rPr>
          <w:rFonts w:asciiTheme="minorHAnsi" w:hAnsiTheme="minorHAnsi" w:cstheme="minorHAnsi"/>
          <w:szCs w:val="24"/>
        </w:rPr>
        <w:t>4</w:t>
      </w:r>
      <w:r w:rsidR="00CD49C6" w:rsidRPr="00C10B9C">
        <w:rPr>
          <w:rFonts w:asciiTheme="minorHAnsi" w:hAnsiTheme="minorHAnsi" w:cstheme="minorHAnsi"/>
          <w:szCs w:val="24"/>
        </w:rPr>
        <w:tab/>
      </w:r>
      <w:r w:rsidR="0084524D" w:rsidRPr="00C10B9C">
        <w:rPr>
          <w:rFonts w:asciiTheme="minorHAnsi" w:hAnsiTheme="minorHAnsi" w:cstheme="minorHAnsi"/>
          <w:szCs w:val="24"/>
        </w:rPr>
        <w:t xml:space="preserve">One delegate expressed his appreciation, also </w:t>
      </w:r>
      <w:proofErr w:type="gramStart"/>
      <w:r w:rsidR="0084524D" w:rsidRPr="00C10B9C">
        <w:rPr>
          <w:rFonts w:asciiTheme="minorHAnsi" w:hAnsiTheme="minorHAnsi" w:cstheme="minorHAnsi"/>
          <w:szCs w:val="24"/>
        </w:rPr>
        <w:t>taking into account</w:t>
      </w:r>
      <w:proofErr w:type="gramEnd"/>
      <w:r w:rsidR="0084524D" w:rsidRPr="00C10B9C">
        <w:rPr>
          <w:rFonts w:asciiTheme="minorHAnsi" w:hAnsiTheme="minorHAnsi" w:cstheme="minorHAnsi"/>
          <w:szCs w:val="24"/>
        </w:rPr>
        <w:t xml:space="preserve"> the feedback received from the German </w:t>
      </w:r>
      <w:r w:rsidR="0084524D" w:rsidRPr="00C10B9C">
        <w:rPr>
          <w:rFonts w:asciiTheme="minorHAnsi" w:hAnsiTheme="minorHAnsi" w:cstheme="minorHAnsi"/>
          <w:szCs w:val="24"/>
          <w:lang w:val="en-US"/>
        </w:rPr>
        <w:t>technical expert supporting the MSAG,</w:t>
      </w:r>
      <w:r w:rsidR="0084524D" w:rsidRPr="00C10B9C">
        <w:rPr>
          <w:rFonts w:asciiTheme="minorHAnsi" w:hAnsiTheme="minorHAnsi" w:cstheme="minorHAnsi"/>
          <w:szCs w:val="24"/>
        </w:rPr>
        <w:t xml:space="preserve"> for the work done and encouraged ITU to continue in this good direction.</w:t>
      </w:r>
    </w:p>
    <w:p w14:paraId="5B161107" w14:textId="4F66E779" w:rsidR="0084524D" w:rsidRPr="00C10B9C" w:rsidRDefault="00CB34EC"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lastRenderedPageBreak/>
        <w:t>20</w:t>
      </w:r>
      <w:r w:rsidR="00072625" w:rsidRPr="00C10B9C">
        <w:rPr>
          <w:rFonts w:asciiTheme="minorHAnsi" w:hAnsiTheme="minorHAnsi" w:cstheme="minorHAnsi"/>
          <w:szCs w:val="24"/>
        </w:rPr>
        <w:t>.</w:t>
      </w:r>
      <w:r w:rsidR="002B7203" w:rsidRPr="00C10B9C">
        <w:rPr>
          <w:rFonts w:asciiTheme="minorHAnsi" w:hAnsiTheme="minorHAnsi" w:cstheme="minorHAnsi"/>
          <w:szCs w:val="24"/>
        </w:rPr>
        <w:t>5</w:t>
      </w:r>
      <w:r w:rsidR="00072625" w:rsidRPr="00C10B9C">
        <w:rPr>
          <w:rFonts w:asciiTheme="minorHAnsi" w:hAnsiTheme="minorHAnsi" w:cstheme="minorHAnsi"/>
          <w:szCs w:val="24"/>
        </w:rPr>
        <w:tab/>
        <w:t>O</w:t>
      </w:r>
      <w:r w:rsidR="0084524D" w:rsidRPr="00C10B9C">
        <w:rPr>
          <w:rFonts w:asciiTheme="minorHAnsi" w:hAnsiTheme="minorHAnsi" w:cstheme="minorHAnsi"/>
          <w:szCs w:val="24"/>
        </w:rPr>
        <w:t>ne delegate expressed appreciation for the consistent draft of the campus strategic plan and the multi-country contribution as these both documents show clear signal to explore other ways to deal with the Tower. The Tower may have value not only as a capital asset but also as the income generating one. Therefore, this delegate confirms the agreement to move on exploring more the various possibilities of retaining the Tower. Referring to the multi-country contributions, the delegate confirms that after having consulted some experts, an autonomous building might offer a resilient building.</w:t>
      </w:r>
    </w:p>
    <w:p w14:paraId="7898207E" w14:textId="37C5A4DE" w:rsidR="0084524D" w:rsidRPr="00C10B9C" w:rsidRDefault="00CB34EC"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t>20</w:t>
      </w:r>
      <w:r w:rsidR="00072625" w:rsidRPr="00C10B9C">
        <w:rPr>
          <w:rFonts w:asciiTheme="minorHAnsi" w:hAnsiTheme="minorHAnsi" w:cstheme="minorHAnsi"/>
          <w:szCs w:val="24"/>
        </w:rPr>
        <w:t>.</w:t>
      </w:r>
      <w:r w:rsidR="002B7203" w:rsidRPr="00C10B9C">
        <w:rPr>
          <w:rFonts w:asciiTheme="minorHAnsi" w:hAnsiTheme="minorHAnsi" w:cstheme="minorHAnsi"/>
          <w:szCs w:val="24"/>
        </w:rPr>
        <w:t>6</w:t>
      </w:r>
      <w:r w:rsidR="00072625" w:rsidRPr="00C10B9C">
        <w:rPr>
          <w:rFonts w:asciiTheme="minorHAnsi" w:hAnsiTheme="minorHAnsi" w:cstheme="minorHAnsi"/>
          <w:szCs w:val="24"/>
        </w:rPr>
        <w:tab/>
      </w:r>
      <w:r w:rsidR="0084524D" w:rsidRPr="00C10B9C">
        <w:rPr>
          <w:rFonts w:asciiTheme="minorHAnsi" w:hAnsiTheme="minorHAnsi" w:cstheme="minorHAnsi"/>
          <w:szCs w:val="24"/>
        </w:rPr>
        <w:t xml:space="preserve">Another delegate thanked the secretariat for the progress made and inquired about the reasons of the delay in the dates of the project management services new tender process. It is requested to indicate on which specific quarter the tender would be launched. </w:t>
      </w:r>
    </w:p>
    <w:p w14:paraId="7F2371A3" w14:textId="2B2C0473" w:rsidR="0084524D" w:rsidRPr="00C10B9C" w:rsidRDefault="00CB34EC"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t>20</w:t>
      </w:r>
      <w:r w:rsidR="00072625" w:rsidRPr="00C10B9C">
        <w:rPr>
          <w:rFonts w:asciiTheme="minorHAnsi" w:hAnsiTheme="minorHAnsi" w:cstheme="minorHAnsi"/>
          <w:szCs w:val="24"/>
        </w:rPr>
        <w:t>.</w:t>
      </w:r>
      <w:r w:rsidR="00784820" w:rsidRPr="00C10B9C">
        <w:rPr>
          <w:rFonts w:asciiTheme="minorHAnsi" w:hAnsiTheme="minorHAnsi" w:cstheme="minorHAnsi"/>
          <w:szCs w:val="24"/>
        </w:rPr>
        <w:t>7</w:t>
      </w:r>
      <w:r w:rsidR="00072625" w:rsidRPr="00C10B9C">
        <w:rPr>
          <w:rFonts w:asciiTheme="minorHAnsi" w:hAnsiTheme="minorHAnsi" w:cstheme="minorHAnsi"/>
          <w:szCs w:val="24"/>
        </w:rPr>
        <w:tab/>
      </w:r>
      <w:r w:rsidR="0084524D" w:rsidRPr="00C10B9C">
        <w:rPr>
          <w:rFonts w:asciiTheme="minorHAnsi" w:hAnsiTheme="minorHAnsi" w:cstheme="minorHAnsi"/>
          <w:szCs w:val="24"/>
        </w:rPr>
        <w:t>Another delegate also thanked the secretariat for the update indicating their appreciation that the next phase of this project is moving forward in accordance with the Council Decision. The reduction of the fees by the provider of the project management service is welcome. They support the cost savings from the funds already being expended being added to the contingency fund for the new project as well as welcoming any updates from the Swiss Administration regarding the repurposing of the loan.</w:t>
      </w:r>
    </w:p>
    <w:p w14:paraId="0DCB81C3" w14:textId="666F7A65" w:rsidR="0084524D" w:rsidRPr="00C10B9C" w:rsidRDefault="00CB34EC"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rPr>
        <w:t>20</w:t>
      </w:r>
      <w:r w:rsidR="00072625" w:rsidRPr="00C10B9C">
        <w:rPr>
          <w:rFonts w:asciiTheme="minorHAnsi" w:hAnsiTheme="minorHAnsi" w:cstheme="minorHAnsi"/>
          <w:szCs w:val="24"/>
        </w:rPr>
        <w:t>.</w:t>
      </w:r>
      <w:r w:rsidR="002B7203" w:rsidRPr="00C10B9C">
        <w:rPr>
          <w:rFonts w:asciiTheme="minorHAnsi" w:hAnsiTheme="minorHAnsi" w:cstheme="minorHAnsi"/>
          <w:szCs w:val="24"/>
        </w:rPr>
        <w:t>8</w:t>
      </w:r>
      <w:r w:rsidR="00072625" w:rsidRPr="00C10B9C">
        <w:rPr>
          <w:rFonts w:asciiTheme="minorHAnsi" w:hAnsiTheme="minorHAnsi" w:cstheme="minorHAnsi"/>
          <w:szCs w:val="24"/>
        </w:rPr>
        <w:tab/>
      </w:r>
      <w:r w:rsidR="0084524D" w:rsidRPr="00C10B9C">
        <w:rPr>
          <w:rFonts w:asciiTheme="minorHAnsi" w:hAnsiTheme="minorHAnsi" w:cstheme="minorHAnsi"/>
          <w:szCs w:val="24"/>
        </w:rPr>
        <w:t>One delegate congratulated ITU for all the efforts made so far and the secretariat for the initial draft of the campus strategic plan. This is a very good document since it has proposals, recommendations and the way forward. A clarification is required regarding the asset value of the Tower, is the Canton of Geneva still considering keeping the Tower as an iconic building? If yes, could this have any implications on the potential sale of the Tower?</w:t>
      </w:r>
    </w:p>
    <w:p w14:paraId="533DDFF1" w14:textId="3D6AB821" w:rsidR="0084524D" w:rsidRPr="00C10B9C" w:rsidRDefault="00CB34EC"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lang w:val="en-US"/>
        </w:rPr>
        <w:t>20</w:t>
      </w:r>
      <w:r w:rsidR="00072625" w:rsidRPr="00C10B9C">
        <w:rPr>
          <w:rFonts w:asciiTheme="minorHAnsi" w:hAnsiTheme="minorHAnsi" w:cstheme="minorHAnsi"/>
          <w:szCs w:val="24"/>
          <w:lang w:val="en-US"/>
        </w:rPr>
        <w:t>.</w:t>
      </w:r>
      <w:r w:rsidR="002B7203" w:rsidRPr="00C10B9C">
        <w:rPr>
          <w:rFonts w:asciiTheme="minorHAnsi" w:hAnsiTheme="minorHAnsi" w:cstheme="minorHAnsi"/>
          <w:szCs w:val="24"/>
          <w:lang w:val="en-US"/>
        </w:rPr>
        <w:t>9</w:t>
      </w:r>
      <w:r w:rsidR="00072625" w:rsidRPr="00C10B9C">
        <w:rPr>
          <w:rFonts w:asciiTheme="minorHAnsi" w:hAnsiTheme="minorHAnsi" w:cstheme="minorHAnsi"/>
          <w:szCs w:val="24"/>
          <w:lang w:val="en-US"/>
        </w:rPr>
        <w:tab/>
      </w:r>
      <w:r w:rsidR="0084524D" w:rsidRPr="00C10B9C">
        <w:rPr>
          <w:rFonts w:asciiTheme="minorHAnsi" w:hAnsiTheme="minorHAnsi" w:cstheme="minorHAnsi"/>
          <w:szCs w:val="24"/>
          <w:lang w:val="en-US"/>
        </w:rPr>
        <w:t>One delegate thanked the secretariat for this very good document and the incredible amount of work and effort moving forward. The inquiry is about the provenience of the Tower evaluation amounts and the possibility of keeping/refurbishing it and renting/leasing floors.</w:t>
      </w:r>
    </w:p>
    <w:p w14:paraId="07C5130C" w14:textId="6335C906" w:rsidR="0084524D" w:rsidRPr="00C10B9C" w:rsidRDefault="00CB34EC" w:rsidP="00C10B9C">
      <w:pPr>
        <w:tabs>
          <w:tab w:val="clear" w:pos="567"/>
          <w:tab w:val="clear" w:pos="1134"/>
          <w:tab w:val="clear" w:pos="1701"/>
          <w:tab w:val="clear" w:pos="2268"/>
          <w:tab w:val="clear" w:pos="2835"/>
        </w:tabs>
        <w:spacing w:after="120"/>
        <w:rPr>
          <w:rFonts w:asciiTheme="minorHAnsi" w:hAnsiTheme="minorHAnsi" w:cstheme="minorHAnsi"/>
          <w:szCs w:val="24"/>
        </w:rPr>
      </w:pPr>
      <w:r w:rsidRPr="00C10B9C">
        <w:rPr>
          <w:rFonts w:asciiTheme="minorHAnsi" w:hAnsiTheme="minorHAnsi" w:cstheme="minorHAnsi"/>
          <w:szCs w:val="24"/>
          <w:lang w:val="en-US"/>
        </w:rPr>
        <w:t>20</w:t>
      </w:r>
      <w:r w:rsidR="00072625" w:rsidRPr="00C10B9C">
        <w:rPr>
          <w:rFonts w:asciiTheme="minorHAnsi" w:hAnsiTheme="minorHAnsi" w:cstheme="minorHAnsi"/>
          <w:szCs w:val="24"/>
          <w:lang w:val="en-US"/>
        </w:rPr>
        <w:t>.</w:t>
      </w:r>
      <w:r w:rsidR="002B7203" w:rsidRPr="00C10B9C">
        <w:rPr>
          <w:rFonts w:asciiTheme="minorHAnsi" w:hAnsiTheme="minorHAnsi" w:cstheme="minorHAnsi"/>
          <w:szCs w:val="24"/>
          <w:lang w:val="en-US"/>
        </w:rPr>
        <w:t>10</w:t>
      </w:r>
      <w:r w:rsidR="00072625" w:rsidRPr="00C10B9C">
        <w:rPr>
          <w:rFonts w:asciiTheme="minorHAnsi" w:hAnsiTheme="minorHAnsi" w:cstheme="minorHAnsi"/>
          <w:szCs w:val="24"/>
          <w:lang w:val="en-US"/>
        </w:rPr>
        <w:tab/>
      </w:r>
      <w:r w:rsidR="0084524D" w:rsidRPr="00C10B9C">
        <w:rPr>
          <w:rFonts w:asciiTheme="minorHAnsi" w:hAnsiTheme="minorHAnsi" w:cstheme="minorHAnsi"/>
          <w:szCs w:val="24"/>
          <w:lang w:val="en-US"/>
        </w:rPr>
        <w:t xml:space="preserve">Another delegate expressed their appreciation for the positive progress made by the secretariat and MSAG in advancing the headquarters building project and requested detailed information on the risk management strategy and mitigation measures of the project. An early deliberation on the matter of selling Tower or </w:t>
      </w:r>
      <w:proofErr w:type="spellStart"/>
      <w:r w:rsidR="0084524D" w:rsidRPr="00C10B9C">
        <w:rPr>
          <w:rFonts w:asciiTheme="minorHAnsi" w:hAnsiTheme="minorHAnsi" w:cstheme="minorHAnsi"/>
          <w:szCs w:val="24"/>
          <w:lang w:val="en-US"/>
        </w:rPr>
        <w:t>Montbrillant</w:t>
      </w:r>
      <w:proofErr w:type="spellEnd"/>
      <w:r w:rsidR="0084524D" w:rsidRPr="00C10B9C">
        <w:rPr>
          <w:rFonts w:asciiTheme="minorHAnsi" w:hAnsiTheme="minorHAnsi" w:cstheme="minorHAnsi"/>
          <w:szCs w:val="24"/>
          <w:lang w:val="en-US"/>
        </w:rPr>
        <w:t xml:space="preserve"> and its financial impact is necessary to ensure that the PP-26 gets the detailed information.</w:t>
      </w:r>
    </w:p>
    <w:p w14:paraId="6649EA30" w14:textId="0846661A" w:rsidR="0084524D" w:rsidRPr="00C10B9C" w:rsidRDefault="00CB34EC" w:rsidP="00C10B9C">
      <w:pPr>
        <w:pStyle w:val="Tabletext"/>
        <w:tabs>
          <w:tab w:val="clear" w:pos="284"/>
          <w:tab w:val="clear" w:pos="567"/>
          <w:tab w:val="clear" w:pos="851"/>
        </w:tabs>
        <w:spacing w:before="120" w:after="120"/>
        <w:rPr>
          <w:rFonts w:asciiTheme="minorHAnsi" w:hAnsiTheme="minorHAnsi" w:cstheme="minorHAnsi"/>
          <w:b/>
          <w:bCs/>
          <w:sz w:val="24"/>
          <w:szCs w:val="24"/>
        </w:rPr>
      </w:pPr>
      <w:r w:rsidRPr="00C10B9C">
        <w:rPr>
          <w:rFonts w:asciiTheme="minorHAnsi" w:hAnsiTheme="minorHAnsi" w:cstheme="minorHAnsi"/>
          <w:sz w:val="24"/>
          <w:szCs w:val="24"/>
          <w:lang w:val="en-US"/>
        </w:rPr>
        <w:t>20</w:t>
      </w:r>
      <w:r w:rsidR="002B7203" w:rsidRPr="00C10B9C">
        <w:rPr>
          <w:rFonts w:asciiTheme="minorHAnsi" w:hAnsiTheme="minorHAnsi" w:cstheme="minorHAnsi"/>
          <w:sz w:val="24"/>
          <w:szCs w:val="24"/>
          <w:lang w:val="en-US"/>
        </w:rPr>
        <w:t>.11</w:t>
      </w:r>
      <w:r w:rsidR="002B7203" w:rsidRPr="00C10B9C">
        <w:rPr>
          <w:rFonts w:asciiTheme="minorHAnsi" w:hAnsiTheme="minorHAnsi" w:cstheme="minorHAnsi"/>
          <w:sz w:val="24"/>
          <w:szCs w:val="24"/>
          <w:lang w:val="en-US"/>
        </w:rPr>
        <w:tab/>
      </w:r>
      <w:r w:rsidR="0084524D" w:rsidRPr="00C10B9C">
        <w:rPr>
          <w:rFonts w:asciiTheme="minorHAnsi" w:hAnsiTheme="minorHAnsi" w:cstheme="minorHAnsi"/>
          <w:sz w:val="24"/>
          <w:szCs w:val="24"/>
          <w:lang w:val="en-US"/>
        </w:rPr>
        <w:t xml:space="preserve">Another delegate also thanked the secretariat for the excellent document on the campus strategic plan </w:t>
      </w:r>
      <w:proofErr w:type="gramStart"/>
      <w:r w:rsidR="0084524D" w:rsidRPr="00C10B9C">
        <w:rPr>
          <w:rFonts w:asciiTheme="minorHAnsi" w:hAnsiTheme="minorHAnsi" w:cstheme="minorHAnsi"/>
          <w:sz w:val="24"/>
          <w:szCs w:val="24"/>
          <w:lang w:val="en-US"/>
        </w:rPr>
        <w:t>and also</w:t>
      </w:r>
      <w:proofErr w:type="gramEnd"/>
      <w:r w:rsidR="0084524D" w:rsidRPr="00C10B9C">
        <w:rPr>
          <w:rFonts w:asciiTheme="minorHAnsi" w:hAnsiTheme="minorHAnsi" w:cstheme="minorHAnsi"/>
          <w:sz w:val="24"/>
          <w:szCs w:val="24"/>
          <w:lang w:val="en-US"/>
        </w:rPr>
        <w:t xml:space="preserve"> highlighted the necessity to reflect the risk management in the campus strategic approach. </w:t>
      </w:r>
      <w:r w:rsidR="004A6879" w:rsidRPr="00C10B9C">
        <w:rPr>
          <w:rFonts w:asciiTheme="minorHAnsi" w:hAnsiTheme="minorHAnsi" w:cstheme="minorHAnsi"/>
          <w:sz w:val="24"/>
          <w:szCs w:val="24"/>
          <w:lang w:val="en-US"/>
        </w:rPr>
        <w:t xml:space="preserve">The delegate referred </w:t>
      </w:r>
      <w:r w:rsidR="0084524D" w:rsidRPr="00C10B9C">
        <w:rPr>
          <w:rFonts w:asciiTheme="minorHAnsi" w:hAnsiTheme="minorHAnsi" w:cstheme="minorHAnsi"/>
          <w:sz w:val="24"/>
          <w:szCs w:val="24"/>
          <w:lang w:val="en-US"/>
        </w:rPr>
        <w:t>to the 2021 Financial Audit Statement by the previous external auditors where the aspects of the Tower topic was reflected.</w:t>
      </w:r>
    </w:p>
    <w:p w14:paraId="18C14313" w14:textId="7BABA2C3" w:rsidR="00354EAD" w:rsidRPr="00C10B9C" w:rsidRDefault="00DA4181" w:rsidP="000D2039">
      <w:pPr>
        <w:pStyle w:val="Tabletext"/>
        <w:tabs>
          <w:tab w:val="clear" w:pos="284"/>
          <w:tab w:val="clear" w:pos="567"/>
        </w:tabs>
        <w:spacing w:before="480" w:after="120"/>
        <w:ind w:left="851" w:hanging="851"/>
        <w:rPr>
          <w:rFonts w:asciiTheme="minorHAnsi" w:hAnsiTheme="minorHAnsi" w:cstheme="minorHAnsi"/>
          <w:b/>
          <w:bCs/>
          <w:sz w:val="24"/>
          <w:szCs w:val="24"/>
        </w:rPr>
      </w:pPr>
      <w:r w:rsidRPr="00C10B9C">
        <w:rPr>
          <w:rFonts w:asciiTheme="minorHAnsi" w:hAnsiTheme="minorHAnsi" w:cstheme="minorHAnsi"/>
          <w:b/>
          <w:bCs/>
          <w:sz w:val="24"/>
          <w:szCs w:val="24"/>
        </w:rPr>
        <w:t>2</w:t>
      </w:r>
      <w:r w:rsidR="00CB34EC" w:rsidRPr="00C10B9C">
        <w:rPr>
          <w:rFonts w:asciiTheme="minorHAnsi" w:hAnsiTheme="minorHAnsi" w:cstheme="minorHAnsi"/>
          <w:b/>
          <w:bCs/>
          <w:sz w:val="24"/>
          <w:szCs w:val="24"/>
        </w:rPr>
        <w:t>1</w:t>
      </w:r>
      <w:r w:rsidRPr="00C10B9C">
        <w:rPr>
          <w:rFonts w:asciiTheme="minorHAnsi" w:hAnsiTheme="minorHAnsi" w:cstheme="minorHAnsi"/>
          <w:b/>
          <w:bCs/>
          <w:sz w:val="24"/>
          <w:szCs w:val="24"/>
        </w:rPr>
        <w:tab/>
        <w:t>Business continuity modalities for ITU meetings 2028-2029 – Document </w:t>
      </w:r>
      <w:hyperlink r:id="rId39" w:history="1">
        <w:r w:rsidRPr="00C10B9C">
          <w:rPr>
            <w:rStyle w:val="Hyperlink"/>
            <w:rFonts w:asciiTheme="minorHAnsi" w:hAnsiTheme="minorHAnsi" w:cstheme="minorHAnsi"/>
            <w:b/>
            <w:bCs/>
            <w:sz w:val="24"/>
            <w:szCs w:val="24"/>
          </w:rPr>
          <w:t>CWG-FHR-20/9</w:t>
        </w:r>
      </w:hyperlink>
      <w:r w:rsidR="00354EAD" w:rsidRPr="00C10B9C">
        <w:rPr>
          <w:rFonts w:asciiTheme="minorHAnsi" w:hAnsiTheme="minorHAnsi" w:cstheme="minorHAnsi"/>
          <w:b/>
          <w:bCs/>
          <w:sz w:val="24"/>
          <w:szCs w:val="24"/>
        </w:rPr>
        <w:t xml:space="preserve"> and update on organization of ITU meetings in the International Conference Center Geneva (CICG) – Document </w:t>
      </w:r>
      <w:hyperlink r:id="rId40" w:history="1">
        <w:r w:rsidR="00354EAD" w:rsidRPr="00C10B9C">
          <w:rPr>
            <w:rStyle w:val="Hyperlink"/>
            <w:rFonts w:asciiTheme="minorHAnsi" w:hAnsiTheme="minorHAnsi" w:cstheme="minorHAnsi"/>
            <w:b/>
            <w:bCs/>
            <w:sz w:val="24"/>
            <w:szCs w:val="24"/>
          </w:rPr>
          <w:t>CWG-FHR-20/INF/2</w:t>
        </w:r>
      </w:hyperlink>
    </w:p>
    <w:p w14:paraId="33378236" w14:textId="7AFB19B7" w:rsidR="00354EAD" w:rsidRPr="00C10B9C" w:rsidRDefault="00354EAD" w:rsidP="00C10B9C">
      <w:pPr>
        <w:tabs>
          <w:tab w:val="clear" w:pos="567"/>
          <w:tab w:val="clear" w:pos="1134"/>
          <w:tab w:val="clear" w:pos="1701"/>
          <w:tab w:val="clear" w:pos="2268"/>
          <w:tab w:val="clear" w:pos="2835"/>
          <w:tab w:val="left" w:pos="851"/>
        </w:tabs>
        <w:spacing w:after="120"/>
        <w:rPr>
          <w:rFonts w:asciiTheme="minorHAnsi" w:hAnsiTheme="minorHAnsi" w:cstheme="minorHAnsi"/>
          <w:szCs w:val="24"/>
        </w:rPr>
      </w:pPr>
      <w:r w:rsidRPr="00C10B9C">
        <w:rPr>
          <w:rFonts w:asciiTheme="minorHAnsi" w:hAnsiTheme="minorHAnsi" w:cstheme="minorHAnsi"/>
          <w:szCs w:val="24"/>
        </w:rPr>
        <w:t>2</w:t>
      </w:r>
      <w:r w:rsidR="00CB34EC" w:rsidRPr="00C10B9C">
        <w:rPr>
          <w:rFonts w:asciiTheme="minorHAnsi" w:hAnsiTheme="minorHAnsi" w:cstheme="minorHAnsi"/>
          <w:szCs w:val="24"/>
        </w:rPr>
        <w:t>1</w:t>
      </w:r>
      <w:r w:rsidRPr="00C10B9C">
        <w:rPr>
          <w:rFonts w:asciiTheme="minorHAnsi" w:hAnsiTheme="minorHAnsi" w:cstheme="minorHAnsi"/>
          <w:szCs w:val="24"/>
        </w:rPr>
        <w:t>.1</w:t>
      </w:r>
      <w:r w:rsidRPr="00C10B9C">
        <w:rPr>
          <w:rFonts w:asciiTheme="minorHAnsi" w:hAnsiTheme="minorHAnsi" w:cstheme="minorHAnsi"/>
          <w:szCs w:val="24"/>
        </w:rPr>
        <w:tab/>
        <w:t xml:space="preserve">CWG-FHR-20/9 presented business continuity options for holding ITU meetings in 2028 and 2029 in accordance with the project milestones set out in the annex to Decision 640 on the new </w:t>
      </w:r>
      <w:proofErr w:type="spellStart"/>
      <w:r w:rsidRPr="00C10B9C">
        <w:rPr>
          <w:rFonts w:asciiTheme="minorHAnsi" w:hAnsiTheme="minorHAnsi" w:cstheme="minorHAnsi"/>
          <w:szCs w:val="24"/>
        </w:rPr>
        <w:t>Varembé</w:t>
      </w:r>
      <w:proofErr w:type="spellEnd"/>
      <w:r w:rsidRPr="00C10B9C">
        <w:rPr>
          <w:rFonts w:asciiTheme="minorHAnsi" w:hAnsiTheme="minorHAnsi" w:cstheme="minorHAnsi"/>
          <w:szCs w:val="24"/>
        </w:rPr>
        <w:t xml:space="preserve"> building project, which established 2028 as the initial year for execution of the project. The three principal modalities were to hold holding ITU meetings in the period 20</w:t>
      </w:r>
      <w:r w:rsidR="0046452C" w:rsidRPr="00C10B9C">
        <w:rPr>
          <w:rFonts w:asciiTheme="minorHAnsi" w:hAnsiTheme="minorHAnsi" w:cstheme="minorHAnsi"/>
          <w:szCs w:val="24"/>
        </w:rPr>
        <w:t>2</w:t>
      </w:r>
      <w:r w:rsidRPr="00C10B9C">
        <w:rPr>
          <w:rFonts w:asciiTheme="minorHAnsi" w:hAnsiTheme="minorHAnsi" w:cstheme="minorHAnsi"/>
          <w:szCs w:val="24"/>
        </w:rPr>
        <w:t xml:space="preserve">8-2029 in </w:t>
      </w:r>
      <w:proofErr w:type="spellStart"/>
      <w:r w:rsidRPr="00C10B9C">
        <w:rPr>
          <w:rFonts w:asciiTheme="minorHAnsi" w:hAnsiTheme="minorHAnsi" w:cstheme="minorHAnsi"/>
          <w:szCs w:val="24"/>
        </w:rPr>
        <w:t>Palexpo</w:t>
      </w:r>
      <w:proofErr w:type="spellEnd"/>
      <w:r w:rsidRPr="00C10B9C">
        <w:rPr>
          <w:rFonts w:asciiTheme="minorHAnsi" w:hAnsiTheme="minorHAnsi" w:cstheme="minorHAnsi"/>
          <w:szCs w:val="24"/>
        </w:rPr>
        <w:t xml:space="preserve"> in Geneva, in one or more ITU Meetings Hub hosted by a Member State, or entirely virtually. It would also be possible, while logistically challenging, to combine these modalities. Document CWG-FHR-20/INF/2 on the organization of ITU meetings in the International Conference Center Geneva (CICG) was referenced in this context, given that CICG will not be available in 2028 due to planned renovation. </w:t>
      </w:r>
    </w:p>
    <w:p w14:paraId="738B2802" w14:textId="28BF2530" w:rsidR="00354EAD" w:rsidRPr="00C10B9C" w:rsidRDefault="00354EAD" w:rsidP="00C10B9C">
      <w:pPr>
        <w:tabs>
          <w:tab w:val="clear" w:pos="567"/>
          <w:tab w:val="clear" w:pos="1134"/>
          <w:tab w:val="clear" w:pos="1701"/>
          <w:tab w:val="clear" w:pos="2268"/>
          <w:tab w:val="clear" w:pos="2835"/>
          <w:tab w:val="left" w:pos="851"/>
        </w:tabs>
        <w:spacing w:after="120"/>
        <w:rPr>
          <w:rFonts w:asciiTheme="minorHAnsi" w:hAnsiTheme="minorHAnsi" w:cstheme="minorHAnsi"/>
          <w:szCs w:val="24"/>
        </w:rPr>
      </w:pPr>
      <w:r w:rsidRPr="00C10B9C">
        <w:rPr>
          <w:rFonts w:asciiTheme="minorHAnsi" w:hAnsiTheme="minorHAnsi" w:cstheme="minorHAnsi"/>
          <w:szCs w:val="24"/>
        </w:rPr>
        <w:lastRenderedPageBreak/>
        <w:t>2</w:t>
      </w:r>
      <w:r w:rsidR="00CB34EC" w:rsidRPr="00C10B9C">
        <w:rPr>
          <w:rFonts w:asciiTheme="minorHAnsi" w:hAnsiTheme="minorHAnsi" w:cstheme="minorHAnsi"/>
          <w:szCs w:val="24"/>
        </w:rPr>
        <w:t>1</w:t>
      </w:r>
      <w:r w:rsidRPr="00C10B9C">
        <w:rPr>
          <w:rFonts w:asciiTheme="minorHAnsi" w:hAnsiTheme="minorHAnsi" w:cstheme="minorHAnsi"/>
          <w:szCs w:val="24"/>
        </w:rPr>
        <w:t>.</w:t>
      </w:r>
      <w:r w:rsidR="00B82265" w:rsidRPr="00C10B9C">
        <w:rPr>
          <w:rFonts w:asciiTheme="minorHAnsi" w:hAnsiTheme="minorHAnsi" w:cstheme="minorHAnsi"/>
          <w:szCs w:val="24"/>
        </w:rPr>
        <w:t>2</w:t>
      </w:r>
      <w:r w:rsidRPr="00C10B9C">
        <w:rPr>
          <w:rFonts w:asciiTheme="minorHAnsi" w:hAnsiTheme="minorHAnsi" w:cstheme="minorHAnsi"/>
          <w:szCs w:val="24"/>
        </w:rPr>
        <w:tab/>
        <w:t xml:space="preserve">Delegates welcomed the timeliness of this document and discussed the relative advantages of the different modalities. Some delegates expressed a strong preference for maintaining all meetings in Geneva, requesting more details on the cost of </w:t>
      </w:r>
      <w:proofErr w:type="spellStart"/>
      <w:r w:rsidRPr="00C10B9C">
        <w:rPr>
          <w:rFonts w:asciiTheme="minorHAnsi" w:hAnsiTheme="minorHAnsi" w:cstheme="minorHAnsi"/>
          <w:szCs w:val="24"/>
        </w:rPr>
        <w:t>Palexpo</w:t>
      </w:r>
      <w:proofErr w:type="spellEnd"/>
      <w:r w:rsidRPr="00C10B9C">
        <w:rPr>
          <w:rFonts w:asciiTheme="minorHAnsi" w:hAnsiTheme="minorHAnsi" w:cstheme="minorHAnsi"/>
          <w:szCs w:val="24"/>
        </w:rPr>
        <w:t xml:space="preserve"> as well as exploration of the feasibility of using the conference facilities of other international organizations in Geneva. One delegate spoke in favour of the meetings hub proposal. Several delegates requested that the nature of individual meetings be </w:t>
      </w:r>
      <w:proofErr w:type="gramStart"/>
      <w:r w:rsidRPr="00C10B9C">
        <w:rPr>
          <w:rFonts w:asciiTheme="minorHAnsi" w:hAnsiTheme="minorHAnsi" w:cstheme="minorHAnsi"/>
          <w:szCs w:val="24"/>
        </w:rPr>
        <w:t>taken into account</w:t>
      </w:r>
      <w:proofErr w:type="gramEnd"/>
      <w:r w:rsidRPr="00C10B9C">
        <w:rPr>
          <w:rFonts w:asciiTheme="minorHAnsi" w:hAnsiTheme="minorHAnsi" w:cstheme="minorHAnsi"/>
          <w:szCs w:val="24"/>
        </w:rPr>
        <w:t xml:space="preserve"> when assessing the suitability of holding meetings fully virtually, noting in particular that virtual meetings should be limited in length. Delegates discussed the feasibility of combining modalities and requested a categorization or mapping of all ITU meetings in terms of features, requirements and length to establish the viability of each modality for each meeting including financial costs. A delegate queried whether meeting venues for 2030 – 2031 should also be discussed as the new </w:t>
      </w:r>
      <w:proofErr w:type="spellStart"/>
      <w:r w:rsidRPr="00C10B9C">
        <w:rPr>
          <w:rFonts w:asciiTheme="minorHAnsi" w:hAnsiTheme="minorHAnsi" w:cstheme="minorHAnsi"/>
          <w:szCs w:val="24"/>
        </w:rPr>
        <w:t>Varembé</w:t>
      </w:r>
      <w:proofErr w:type="spellEnd"/>
      <w:r w:rsidRPr="00C10B9C">
        <w:rPr>
          <w:rFonts w:asciiTheme="minorHAnsi" w:hAnsiTheme="minorHAnsi" w:cstheme="minorHAnsi"/>
          <w:szCs w:val="24"/>
        </w:rPr>
        <w:t xml:space="preserve"> building would only be completed in 2031 and noted the importance of considering staff wellbeing within the ITU Meetings Hub concept; another asked that the business continuity plan for meetings be included in the wider business continuity strategy for the new building project. </w:t>
      </w:r>
    </w:p>
    <w:p w14:paraId="3C8ABF20" w14:textId="1DC9169F" w:rsidR="00354EAD" w:rsidRPr="00C10B9C" w:rsidRDefault="00354EAD" w:rsidP="00C10B9C">
      <w:pPr>
        <w:tabs>
          <w:tab w:val="clear" w:pos="567"/>
          <w:tab w:val="clear" w:pos="1134"/>
          <w:tab w:val="clear" w:pos="1701"/>
          <w:tab w:val="clear" w:pos="2268"/>
          <w:tab w:val="clear" w:pos="2835"/>
          <w:tab w:val="left" w:pos="851"/>
        </w:tabs>
        <w:spacing w:after="120"/>
        <w:rPr>
          <w:rFonts w:asciiTheme="minorHAnsi" w:hAnsiTheme="minorHAnsi" w:cstheme="minorHAnsi"/>
          <w:szCs w:val="24"/>
        </w:rPr>
      </w:pPr>
      <w:r w:rsidRPr="00C10B9C">
        <w:rPr>
          <w:rFonts w:asciiTheme="minorHAnsi" w:hAnsiTheme="minorHAnsi" w:cstheme="minorHAnsi"/>
          <w:szCs w:val="24"/>
        </w:rPr>
        <w:t>2</w:t>
      </w:r>
      <w:r w:rsidR="00CB34EC" w:rsidRPr="00C10B9C">
        <w:rPr>
          <w:rFonts w:asciiTheme="minorHAnsi" w:hAnsiTheme="minorHAnsi" w:cstheme="minorHAnsi"/>
          <w:szCs w:val="24"/>
        </w:rPr>
        <w:t>1</w:t>
      </w:r>
      <w:r w:rsidRPr="00C10B9C">
        <w:rPr>
          <w:rFonts w:asciiTheme="minorHAnsi" w:hAnsiTheme="minorHAnsi" w:cstheme="minorHAnsi"/>
          <w:szCs w:val="24"/>
        </w:rPr>
        <w:t>.3</w:t>
      </w:r>
      <w:r w:rsidRPr="00C10B9C">
        <w:rPr>
          <w:rFonts w:asciiTheme="minorHAnsi" w:hAnsiTheme="minorHAnsi" w:cstheme="minorHAnsi"/>
          <w:szCs w:val="24"/>
        </w:rPr>
        <w:tab/>
        <w:t>A delegate reaffirmed ITU’s host country commitment to provide support during the period of CICG renovation within the limits of resources and pending further discussion at federal level on support for international organizations.</w:t>
      </w:r>
    </w:p>
    <w:p w14:paraId="31D305C5" w14:textId="26515DA7" w:rsidR="00354EAD" w:rsidRPr="00C10B9C" w:rsidRDefault="00354EAD" w:rsidP="00C10B9C">
      <w:pPr>
        <w:tabs>
          <w:tab w:val="clear" w:pos="567"/>
          <w:tab w:val="clear" w:pos="1134"/>
          <w:tab w:val="clear" w:pos="1701"/>
          <w:tab w:val="clear" w:pos="2268"/>
          <w:tab w:val="clear" w:pos="2835"/>
          <w:tab w:val="left" w:pos="851"/>
        </w:tabs>
        <w:spacing w:after="120"/>
        <w:rPr>
          <w:rFonts w:asciiTheme="minorHAnsi" w:hAnsiTheme="minorHAnsi" w:cstheme="minorHAnsi"/>
          <w:szCs w:val="24"/>
        </w:rPr>
      </w:pPr>
      <w:r w:rsidRPr="00C10B9C">
        <w:rPr>
          <w:rFonts w:asciiTheme="minorHAnsi" w:hAnsiTheme="minorHAnsi" w:cstheme="minorHAnsi"/>
          <w:szCs w:val="24"/>
        </w:rPr>
        <w:t>2</w:t>
      </w:r>
      <w:r w:rsidR="00CB34EC" w:rsidRPr="00C10B9C">
        <w:rPr>
          <w:rFonts w:asciiTheme="minorHAnsi" w:hAnsiTheme="minorHAnsi" w:cstheme="minorHAnsi"/>
          <w:szCs w:val="24"/>
        </w:rPr>
        <w:t>1</w:t>
      </w:r>
      <w:r w:rsidR="00B82265" w:rsidRPr="00C10B9C">
        <w:rPr>
          <w:rFonts w:asciiTheme="minorHAnsi" w:hAnsiTheme="minorHAnsi" w:cstheme="minorHAnsi"/>
          <w:szCs w:val="24"/>
        </w:rPr>
        <w:t>.</w:t>
      </w:r>
      <w:r w:rsidRPr="00C10B9C">
        <w:rPr>
          <w:rFonts w:asciiTheme="minorHAnsi" w:hAnsiTheme="minorHAnsi" w:cstheme="minorHAnsi"/>
          <w:szCs w:val="24"/>
        </w:rPr>
        <w:t>4</w:t>
      </w:r>
      <w:r w:rsidRPr="00C10B9C">
        <w:rPr>
          <w:rFonts w:asciiTheme="minorHAnsi" w:hAnsiTheme="minorHAnsi" w:cstheme="minorHAnsi"/>
          <w:szCs w:val="24"/>
        </w:rPr>
        <w:tab/>
        <w:t xml:space="preserve">The secretariat noted delegate concerns on holding fully virtual meetings and the request to provide more detailed meeting categorization. Other international organizations based in Geneva, including UNOG, were regularly contacted for meeting space inquiries but no organization could provide sufficient space for the full schedule of ITU meetings or offer any timely guarantee of space for specific meetings. Given the lack of predictability in planning meetings necessary for budgetary and ITU membership purposes, as well as the extremely limited availability of space in other organizations, </w:t>
      </w:r>
      <w:proofErr w:type="spellStart"/>
      <w:r w:rsidRPr="00C10B9C">
        <w:rPr>
          <w:rFonts w:asciiTheme="minorHAnsi" w:hAnsiTheme="minorHAnsi" w:cstheme="minorHAnsi"/>
          <w:szCs w:val="24"/>
        </w:rPr>
        <w:t>Palexpo</w:t>
      </w:r>
      <w:proofErr w:type="spellEnd"/>
      <w:r w:rsidRPr="00C10B9C">
        <w:rPr>
          <w:rFonts w:asciiTheme="minorHAnsi" w:hAnsiTheme="minorHAnsi" w:cstheme="minorHAnsi"/>
          <w:szCs w:val="24"/>
        </w:rPr>
        <w:t xml:space="preserve"> remained the only viable Geneva-based option. Discussions with UNOG would however continue. In 2030 and 2031, whilst the new </w:t>
      </w:r>
      <w:proofErr w:type="spellStart"/>
      <w:r w:rsidRPr="00C10B9C">
        <w:rPr>
          <w:rFonts w:asciiTheme="minorHAnsi" w:hAnsiTheme="minorHAnsi" w:cstheme="minorHAnsi"/>
          <w:szCs w:val="24"/>
        </w:rPr>
        <w:t>Varembé</w:t>
      </w:r>
      <w:proofErr w:type="spellEnd"/>
      <w:r w:rsidRPr="00C10B9C">
        <w:rPr>
          <w:rFonts w:asciiTheme="minorHAnsi" w:hAnsiTheme="minorHAnsi" w:cstheme="minorHAnsi"/>
          <w:szCs w:val="24"/>
        </w:rPr>
        <w:t xml:space="preserve"> building would not be completed, conference facilities in </w:t>
      </w:r>
      <w:proofErr w:type="spellStart"/>
      <w:r w:rsidRPr="00C10B9C">
        <w:rPr>
          <w:rFonts w:asciiTheme="minorHAnsi" w:hAnsiTheme="minorHAnsi" w:cstheme="minorHAnsi"/>
          <w:szCs w:val="24"/>
        </w:rPr>
        <w:t>Montbrillant</w:t>
      </w:r>
      <w:proofErr w:type="spellEnd"/>
      <w:r w:rsidRPr="00C10B9C">
        <w:rPr>
          <w:rFonts w:asciiTheme="minorHAnsi" w:hAnsiTheme="minorHAnsi" w:cstheme="minorHAnsi"/>
          <w:szCs w:val="24"/>
        </w:rPr>
        <w:t xml:space="preserve"> and Tower should be available for use in addition to limited space in CICG following its planned renovation.</w:t>
      </w:r>
    </w:p>
    <w:p w14:paraId="07911390" w14:textId="1E01BC31" w:rsidR="00354EAD" w:rsidRPr="00C10B9C" w:rsidRDefault="00354EAD" w:rsidP="00C10B9C">
      <w:pPr>
        <w:tabs>
          <w:tab w:val="clear" w:pos="567"/>
          <w:tab w:val="clear" w:pos="1134"/>
          <w:tab w:val="clear" w:pos="1701"/>
          <w:tab w:val="clear" w:pos="2268"/>
          <w:tab w:val="clear" w:pos="2835"/>
          <w:tab w:val="left" w:pos="851"/>
        </w:tabs>
        <w:spacing w:after="120"/>
        <w:rPr>
          <w:rFonts w:asciiTheme="minorHAnsi" w:hAnsiTheme="minorHAnsi" w:cstheme="minorHAnsi"/>
          <w:szCs w:val="24"/>
        </w:rPr>
      </w:pPr>
      <w:r w:rsidRPr="00C10B9C">
        <w:rPr>
          <w:rFonts w:asciiTheme="minorHAnsi" w:hAnsiTheme="minorHAnsi" w:cstheme="minorHAnsi"/>
          <w:szCs w:val="24"/>
        </w:rPr>
        <w:t>2</w:t>
      </w:r>
      <w:r w:rsidR="00CB34EC" w:rsidRPr="00C10B9C">
        <w:rPr>
          <w:rFonts w:asciiTheme="minorHAnsi" w:hAnsiTheme="minorHAnsi" w:cstheme="minorHAnsi"/>
          <w:szCs w:val="24"/>
        </w:rPr>
        <w:t>1</w:t>
      </w:r>
      <w:r w:rsidRPr="00C10B9C">
        <w:rPr>
          <w:rFonts w:asciiTheme="minorHAnsi" w:hAnsiTheme="minorHAnsi" w:cstheme="minorHAnsi"/>
          <w:szCs w:val="24"/>
        </w:rPr>
        <w:t>.5</w:t>
      </w:r>
      <w:r w:rsidRPr="00C10B9C">
        <w:rPr>
          <w:rFonts w:asciiTheme="minorHAnsi" w:hAnsiTheme="minorHAnsi" w:cstheme="minorHAnsi"/>
          <w:szCs w:val="24"/>
        </w:rPr>
        <w:tab/>
        <w:t xml:space="preserve">The Deputy Secretary-General welcomed the suggestions provided by delegates and confirmed that more details would be provided as requested to ITU Council 2025, where the secretariat would seek clear guidance on the way forward for business continuity for meetings including acceptability of different modalities and any related allocation of budget, noting that the </w:t>
      </w:r>
      <w:proofErr w:type="spellStart"/>
      <w:r w:rsidRPr="00C10B9C">
        <w:rPr>
          <w:rFonts w:asciiTheme="minorHAnsi" w:hAnsiTheme="minorHAnsi" w:cstheme="minorHAnsi"/>
          <w:szCs w:val="24"/>
        </w:rPr>
        <w:t>Palexpo</w:t>
      </w:r>
      <w:proofErr w:type="spellEnd"/>
      <w:r w:rsidRPr="00C10B9C">
        <w:rPr>
          <w:rFonts w:asciiTheme="minorHAnsi" w:hAnsiTheme="minorHAnsi" w:cstheme="minorHAnsi"/>
          <w:szCs w:val="24"/>
        </w:rPr>
        <w:t xml:space="preserve"> option would require financial commitment by the end of 2025.</w:t>
      </w:r>
    </w:p>
    <w:p w14:paraId="63A8293E" w14:textId="06D3A8D7" w:rsidR="00354EAD" w:rsidRPr="00C10B9C" w:rsidRDefault="00354EAD" w:rsidP="00C10B9C">
      <w:pPr>
        <w:tabs>
          <w:tab w:val="clear" w:pos="567"/>
          <w:tab w:val="clear" w:pos="1134"/>
          <w:tab w:val="clear" w:pos="1701"/>
          <w:tab w:val="clear" w:pos="2268"/>
          <w:tab w:val="clear" w:pos="2835"/>
          <w:tab w:val="left" w:pos="851"/>
        </w:tabs>
        <w:spacing w:after="120"/>
        <w:rPr>
          <w:rFonts w:asciiTheme="minorHAnsi" w:hAnsiTheme="minorHAnsi" w:cstheme="minorHAnsi"/>
          <w:szCs w:val="24"/>
        </w:rPr>
      </w:pPr>
      <w:r w:rsidRPr="00C10B9C">
        <w:rPr>
          <w:rFonts w:asciiTheme="minorHAnsi" w:hAnsiTheme="minorHAnsi" w:cstheme="minorHAnsi"/>
          <w:szCs w:val="24"/>
        </w:rPr>
        <w:t>2</w:t>
      </w:r>
      <w:r w:rsidR="00CB34EC" w:rsidRPr="00C10B9C">
        <w:rPr>
          <w:rFonts w:asciiTheme="minorHAnsi" w:hAnsiTheme="minorHAnsi" w:cstheme="minorHAnsi"/>
          <w:szCs w:val="24"/>
        </w:rPr>
        <w:t>1</w:t>
      </w:r>
      <w:r w:rsidRPr="00C10B9C">
        <w:rPr>
          <w:rFonts w:asciiTheme="minorHAnsi" w:hAnsiTheme="minorHAnsi" w:cstheme="minorHAnsi"/>
          <w:szCs w:val="24"/>
        </w:rPr>
        <w:t>.</w:t>
      </w:r>
      <w:r w:rsidR="0046373E" w:rsidRPr="00C10B9C">
        <w:rPr>
          <w:rFonts w:asciiTheme="minorHAnsi" w:hAnsiTheme="minorHAnsi" w:cstheme="minorHAnsi"/>
          <w:szCs w:val="24"/>
        </w:rPr>
        <w:t>6</w:t>
      </w:r>
      <w:r w:rsidRPr="00C10B9C">
        <w:rPr>
          <w:rFonts w:asciiTheme="minorHAnsi" w:hAnsiTheme="minorHAnsi" w:cstheme="minorHAnsi"/>
          <w:szCs w:val="24"/>
        </w:rPr>
        <w:tab/>
        <w:t>The Chair requested that the secretariat present a detailed report mapping meetings to modalities to Council in its June 2025 session.</w:t>
      </w:r>
    </w:p>
    <w:p w14:paraId="7D4D0742" w14:textId="1A8AE3F4" w:rsidR="00DA4181" w:rsidRPr="00C10B9C" w:rsidRDefault="00DA4181" w:rsidP="000D2039">
      <w:pPr>
        <w:pStyle w:val="Tabletext"/>
        <w:tabs>
          <w:tab w:val="clear" w:pos="284"/>
          <w:tab w:val="clear" w:pos="567"/>
        </w:tabs>
        <w:spacing w:before="480" w:after="120"/>
        <w:ind w:left="851" w:hanging="851"/>
        <w:rPr>
          <w:rFonts w:asciiTheme="minorHAnsi" w:hAnsiTheme="minorHAnsi" w:cstheme="minorHAnsi"/>
          <w:b/>
          <w:bCs/>
          <w:sz w:val="24"/>
          <w:szCs w:val="24"/>
        </w:rPr>
      </w:pPr>
      <w:r w:rsidRPr="00C10B9C">
        <w:rPr>
          <w:rFonts w:asciiTheme="minorHAnsi" w:hAnsiTheme="minorHAnsi" w:cstheme="minorHAnsi"/>
          <w:b/>
          <w:bCs/>
          <w:sz w:val="24"/>
          <w:szCs w:val="24"/>
        </w:rPr>
        <w:t>2</w:t>
      </w:r>
      <w:r w:rsidR="00CB34EC" w:rsidRPr="00C10B9C">
        <w:rPr>
          <w:rFonts w:asciiTheme="minorHAnsi" w:hAnsiTheme="minorHAnsi" w:cstheme="minorHAnsi"/>
          <w:b/>
          <w:bCs/>
          <w:sz w:val="24"/>
          <w:szCs w:val="24"/>
        </w:rPr>
        <w:t>2</w:t>
      </w:r>
      <w:r w:rsidRPr="00C10B9C">
        <w:rPr>
          <w:rFonts w:asciiTheme="minorHAnsi" w:hAnsiTheme="minorHAnsi" w:cstheme="minorHAnsi"/>
          <w:b/>
          <w:bCs/>
          <w:sz w:val="24"/>
          <w:szCs w:val="24"/>
        </w:rPr>
        <w:tab/>
        <w:t>Contribution by Switzerland - Ensuring the return to the normal reporting cycle for the 2024 financial statements – Document </w:t>
      </w:r>
      <w:hyperlink r:id="rId41" w:history="1">
        <w:r w:rsidRPr="00C10B9C">
          <w:rPr>
            <w:rStyle w:val="Hyperlink"/>
            <w:rFonts w:asciiTheme="minorHAnsi" w:hAnsiTheme="minorHAnsi" w:cstheme="minorHAnsi"/>
            <w:b/>
            <w:bCs/>
            <w:sz w:val="24"/>
            <w:szCs w:val="24"/>
          </w:rPr>
          <w:t>CWG-FHR-20/18</w:t>
        </w:r>
      </w:hyperlink>
    </w:p>
    <w:p w14:paraId="2D7B91B4" w14:textId="0AF15CB8" w:rsidR="007440F9" w:rsidRPr="00C10B9C" w:rsidRDefault="00B82265" w:rsidP="00C10B9C">
      <w:pPr>
        <w:tabs>
          <w:tab w:val="clear" w:pos="567"/>
          <w:tab w:val="left" w:pos="851"/>
        </w:tabs>
        <w:spacing w:after="120"/>
        <w:rPr>
          <w:rFonts w:asciiTheme="minorHAnsi" w:hAnsiTheme="minorHAnsi" w:cstheme="minorHAnsi"/>
          <w:szCs w:val="24"/>
        </w:rPr>
      </w:pPr>
      <w:r w:rsidRPr="00C10B9C">
        <w:rPr>
          <w:rFonts w:asciiTheme="minorHAnsi" w:hAnsiTheme="minorHAnsi" w:cstheme="minorHAnsi"/>
          <w:szCs w:val="24"/>
          <w:lang w:val="en-US"/>
        </w:rPr>
        <w:t>2</w:t>
      </w:r>
      <w:r w:rsidR="00CB34EC" w:rsidRPr="00C10B9C">
        <w:rPr>
          <w:rFonts w:asciiTheme="minorHAnsi" w:hAnsiTheme="minorHAnsi" w:cstheme="minorHAnsi"/>
          <w:szCs w:val="24"/>
          <w:lang w:val="en-US"/>
        </w:rPr>
        <w:t>2</w:t>
      </w:r>
      <w:r w:rsidRPr="00C10B9C">
        <w:rPr>
          <w:rFonts w:asciiTheme="minorHAnsi" w:hAnsiTheme="minorHAnsi" w:cstheme="minorHAnsi"/>
          <w:szCs w:val="24"/>
          <w:lang w:val="en-US"/>
        </w:rPr>
        <w:t>.1</w:t>
      </w:r>
      <w:r w:rsidRPr="00C10B9C">
        <w:rPr>
          <w:rFonts w:asciiTheme="minorHAnsi" w:hAnsiTheme="minorHAnsi" w:cstheme="minorHAnsi"/>
          <w:szCs w:val="24"/>
          <w:lang w:val="en-US"/>
        </w:rPr>
        <w:tab/>
      </w:r>
      <w:r w:rsidR="007440F9" w:rsidRPr="00C10B9C">
        <w:rPr>
          <w:rFonts w:asciiTheme="minorHAnsi" w:hAnsiTheme="minorHAnsi" w:cstheme="minorHAnsi"/>
          <w:szCs w:val="24"/>
          <w:lang w:val="en-US"/>
        </w:rPr>
        <w:t xml:space="preserve">Switzerland introduced </w:t>
      </w:r>
      <w:r w:rsidR="007440F9" w:rsidRPr="00C10B9C">
        <w:rPr>
          <w:rFonts w:asciiTheme="minorHAnsi" w:hAnsiTheme="minorHAnsi" w:cstheme="minorHAnsi"/>
          <w:szCs w:val="24"/>
        </w:rPr>
        <w:t>Document </w:t>
      </w:r>
      <w:hyperlink r:id="rId42" w:history="1">
        <w:r w:rsidR="007440F9" w:rsidRPr="00C10B9C">
          <w:rPr>
            <w:rStyle w:val="Hyperlink"/>
            <w:rFonts w:asciiTheme="minorHAnsi" w:hAnsiTheme="minorHAnsi" w:cstheme="minorHAnsi"/>
            <w:szCs w:val="24"/>
          </w:rPr>
          <w:t>CWG-FHR-20/18</w:t>
        </w:r>
      </w:hyperlink>
      <w:r w:rsidR="007440F9" w:rsidRPr="00C10B9C">
        <w:rPr>
          <w:rFonts w:asciiTheme="minorHAnsi" w:hAnsiTheme="minorHAnsi" w:cstheme="minorHAnsi"/>
          <w:szCs w:val="24"/>
        </w:rPr>
        <w:t xml:space="preserve"> -</w:t>
      </w:r>
      <w:r w:rsidR="007440F9" w:rsidRPr="00C10B9C">
        <w:rPr>
          <w:rFonts w:asciiTheme="minorHAnsi" w:hAnsiTheme="minorHAnsi" w:cstheme="minorHAnsi"/>
          <w:b/>
          <w:bCs/>
          <w:szCs w:val="24"/>
        </w:rPr>
        <w:t xml:space="preserve"> </w:t>
      </w:r>
      <w:r w:rsidR="007440F9" w:rsidRPr="00C10B9C">
        <w:rPr>
          <w:rFonts w:asciiTheme="minorHAnsi" w:hAnsiTheme="minorHAnsi" w:cstheme="minorHAnsi"/>
          <w:szCs w:val="24"/>
        </w:rPr>
        <w:t>Ensuring the return to the normal reporting cycle for the 2024 financial statements.</w:t>
      </w:r>
    </w:p>
    <w:p w14:paraId="78916CD2" w14:textId="2836E1E5" w:rsidR="007440F9" w:rsidRPr="00C10B9C" w:rsidRDefault="007440F9" w:rsidP="00C10B9C">
      <w:pPr>
        <w:tabs>
          <w:tab w:val="clear" w:pos="567"/>
          <w:tab w:val="left" w:pos="851"/>
        </w:tabs>
        <w:spacing w:after="120"/>
        <w:rPr>
          <w:rFonts w:asciiTheme="minorHAnsi" w:hAnsiTheme="minorHAnsi" w:cstheme="minorHAnsi"/>
          <w:szCs w:val="24"/>
        </w:rPr>
      </w:pPr>
      <w:r w:rsidRPr="00C10B9C">
        <w:rPr>
          <w:rFonts w:asciiTheme="minorHAnsi" w:hAnsiTheme="minorHAnsi" w:cstheme="minorHAnsi"/>
          <w:szCs w:val="24"/>
        </w:rPr>
        <w:t>2</w:t>
      </w:r>
      <w:r w:rsidR="00CB34EC" w:rsidRPr="00C10B9C">
        <w:rPr>
          <w:rFonts w:asciiTheme="minorHAnsi" w:hAnsiTheme="minorHAnsi" w:cstheme="minorHAnsi"/>
          <w:szCs w:val="24"/>
        </w:rPr>
        <w:t>2</w:t>
      </w:r>
      <w:r w:rsidR="00B82265" w:rsidRPr="00C10B9C">
        <w:rPr>
          <w:rFonts w:asciiTheme="minorHAnsi" w:hAnsiTheme="minorHAnsi" w:cstheme="minorHAnsi"/>
          <w:szCs w:val="24"/>
        </w:rPr>
        <w:t>.2</w:t>
      </w:r>
      <w:r w:rsidR="00B82265" w:rsidRPr="00C10B9C">
        <w:rPr>
          <w:rFonts w:asciiTheme="minorHAnsi" w:hAnsiTheme="minorHAnsi" w:cstheme="minorHAnsi"/>
          <w:szCs w:val="24"/>
        </w:rPr>
        <w:tab/>
      </w:r>
      <w:r w:rsidRPr="00C10B9C">
        <w:rPr>
          <w:rFonts w:asciiTheme="minorHAnsi" w:hAnsiTheme="minorHAnsi" w:cstheme="minorHAnsi"/>
          <w:szCs w:val="24"/>
        </w:rPr>
        <w:t>The document emphasizes the importance of ensuring that the ITU returns to a regular reporting cycle for the 2024 financial statements. Switzerland expressed concerns that the Council ha</w:t>
      </w:r>
      <w:r w:rsidR="00B82265" w:rsidRPr="00C10B9C">
        <w:rPr>
          <w:rFonts w:asciiTheme="minorHAnsi" w:hAnsiTheme="minorHAnsi" w:cstheme="minorHAnsi"/>
          <w:szCs w:val="24"/>
        </w:rPr>
        <w:t>d</w:t>
      </w:r>
      <w:r w:rsidRPr="00C10B9C">
        <w:rPr>
          <w:rFonts w:asciiTheme="minorHAnsi" w:hAnsiTheme="minorHAnsi" w:cstheme="minorHAnsi"/>
          <w:szCs w:val="24"/>
        </w:rPr>
        <w:t xml:space="preserve"> been unable to fulfil its role effectively in overseeing the Union's finances in 2022 and 2023 in </w:t>
      </w:r>
      <w:r w:rsidR="00B82265" w:rsidRPr="00C10B9C">
        <w:rPr>
          <w:rFonts w:asciiTheme="minorHAnsi" w:hAnsiTheme="minorHAnsi" w:cstheme="minorHAnsi"/>
          <w:szCs w:val="24"/>
        </w:rPr>
        <w:t>a timely manner</w:t>
      </w:r>
      <w:r w:rsidRPr="00C10B9C">
        <w:rPr>
          <w:rFonts w:asciiTheme="minorHAnsi" w:hAnsiTheme="minorHAnsi" w:cstheme="minorHAnsi"/>
          <w:szCs w:val="24"/>
        </w:rPr>
        <w:t xml:space="preserve">, mainly due to the unavailability of </w:t>
      </w:r>
      <w:r w:rsidR="001049DA" w:rsidRPr="00C10B9C">
        <w:rPr>
          <w:rFonts w:asciiTheme="minorHAnsi" w:hAnsiTheme="minorHAnsi" w:cstheme="minorHAnsi"/>
          <w:szCs w:val="24"/>
        </w:rPr>
        <w:t xml:space="preserve">the </w:t>
      </w:r>
      <w:r w:rsidRPr="00C10B9C">
        <w:rPr>
          <w:rFonts w:asciiTheme="minorHAnsi" w:hAnsiTheme="minorHAnsi" w:cstheme="minorHAnsi"/>
          <w:szCs w:val="24"/>
        </w:rPr>
        <w:t>necessary documents. The situation needs to be rectified to ensure a normal reporting cycle for the 2024 financial statements, which is critical for maintaining proper financial oversight.</w:t>
      </w:r>
    </w:p>
    <w:p w14:paraId="7E08AA99" w14:textId="7040D152" w:rsidR="007440F9" w:rsidRPr="00C10B9C" w:rsidRDefault="007440F9" w:rsidP="00C10B9C">
      <w:pPr>
        <w:tabs>
          <w:tab w:val="left" w:pos="851"/>
        </w:tabs>
        <w:spacing w:after="120"/>
        <w:rPr>
          <w:rFonts w:asciiTheme="minorHAnsi" w:hAnsiTheme="minorHAnsi" w:cstheme="minorHAnsi"/>
          <w:szCs w:val="24"/>
        </w:rPr>
      </w:pPr>
      <w:r w:rsidRPr="00C10B9C">
        <w:rPr>
          <w:rFonts w:asciiTheme="minorHAnsi" w:hAnsiTheme="minorHAnsi" w:cstheme="minorHAnsi"/>
          <w:szCs w:val="24"/>
        </w:rPr>
        <w:lastRenderedPageBreak/>
        <w:t>2</w:t>
      </w:r>
      <w:r w:rsidR="00CB34EC" w:rsidRPr="00C10B9C">
        <w:rPr>
          <w:rFonts w:asciiTheme="minorHAnsi" w:hAnsiTheme="minorHAnsi" w:cstheme="minorHAnsi"/>
          <w:szCs w:val="24"/>
        </w:rPr>
        <w:t>2</w:t>
      </w:r>
      <w:r w:rsidRPr="00C10B9C">
        <w:rPr>
          <w:rFonts w:asciiTheme="minorHAnsi" w:hAnsiTheme="minorHAnsi" w:cstheme="minorHAnsi"/>
          <w:szCs w:val="24"/>
        </w:rPr>
        <w:t>.3</w:t>
      </w:r>
      <w:r w:rsidR="00B82265" w:rsidRPr="00C10B9C">
        <w:rPr>
          <w:rFonts w:asciiTheme="minorHAnsi" w:hAnsiTheme="minorHAnsi" w:cstheme="minorHAnsi"/>
          <w:szCs w:val="24"/>
        </w:rPr>
        <w:tab/>
      </w:r>
      <w:r w:rsidR="00B82265" w:rsidRPr="00C10B9C">
        <w:rPr>
          <w:rFonts w:asciiTheme="minorHAnsi" w:hAnsiTheme="minorHAnsi" w:cstheme="minorHAnsi"/>
          <w:szCs w:val="24"/>
        </w:rPr>
        <w:tab/>
      </w:r>
      <w:r w:rsidRPr="00C10B9C">
        <w:rPr>
          <w:rFonts w:asciiTheme="minorHAnsi" w:hAnsiTheme="minorHAnsi" w:cstheme="minorHAnsi"/>
          <w:szCs w:val="24"/>
        </w:rPr>
        <w:t xml:space="preserve">Switzerland proposed that the Chair of CWG-FHR should formally request that the </w:t>
      </w:r>
      <w:r w:rsidR="000503F4" w:rsidRPr="00C10B9C">
        <w:rPr>
          <w:rFonts w:asciiTheme="minorHAnsi" w:hAnsiTheme="minorHAnsi" w:cstheme="minorHAnsi"/>
          <w:szCs w:val="24"/>
        </w:rPr>
        <w:t>e</w:t>
      </w:r>
      <w:r w:rsidRPr="00C10B9C">
        <w:rPr>
          <w:rFonts w:asciiTheme="minorHAnsi" w:hAnsiTheme="minorHAnsi" w:cstheme="minorHAnsi"/>
          <w:szCs w:val="24"/>
        </w:rPr>
        <w:t xml:space="preserve">xternal </w:t>
      </w:r>
      <w:r w:rsidR="000503F4" w:rsidRPr="00C10B9C">
        <w:rPr>
          <w:rFonts w:asciiTheme="minorHAnsi" w:hAnsiTheme="minorHAnsi" w:cstheme="minorHAnsi"/>
          <w:szCs w:val="24"/>
        </w:rPr>
        <w:t>a</w:t>
      </w:r>
      <w:r w:rsidRPr="00C10B9C">
        <w:rPr>
          <w:rFonts w:asciiTheme="minorHAnsi" w:hAnsiTheme="minorHAnsi" w:cstheme="minorHAnsi"/>
          <w:szCs w:val="24"/>
        </w:rPr>
        <w:t>uditor provide</w:t>
      </w:r>
      <w:r w:rsidR="001049DA" w:rsidRPr="00C10B9C">
        <w:rPr>
          <w:rFonts w:asciiTheme="minorHAnsi" w:hAnsiTheme="minorHAnsi" w:cstheme="minorHAnsi"/>
          <w:szCs w:val="24"/>
        </w:rPr>
        <w:t>s</w:t>
      </w:r>
      <w:r w:rsidRPr="00C10B9C">
        <w:rPr>
          <w:rFonts w:asciiTheme="minorHAnsi" w:hAnsiTheme="minorHAnsi" w:cstheme="minorHAnsi"/>
          <w:szCs w:val="24"/>
        </w:rPr>
        <w:t xml:space="preserve"> a complete and final report on the 2024 financial statements by </w:t>
      </w:r>
      <w:r w:rsidR="000503F4" w:rsidRPr="00C10B9C">
        <w:rPr>
          <w:rFonts w:asciiTheme="minorHAnsi" w:hAnsiTheme="minorHAnsi" w:cstheme="minorHAnsi"/>
          <w:szCs w:val="24"/>
        </w:rPr>
        <w:t xml:space="preserve">fourteen </w:t>
      </w:r>
      <w:r w:rsidRPr="00C10B9C">
        <w:rPr>
          <w:rFonts w:asciiTheme="minorHAnsi" w:hAnsiTheme="minorHAnsi" w:cstheme="minorHAnsi"/>
          <w:szCs w:val="24"/>
        </w:rPr>
        <w:t xml:space="preserve">days before the 2025 Council session. Additionally, the Secretary-General should collaborate with the </w:t>
      </w:r>
      <w:r w:rsidR="000503F4" w:rsidRPr="00C10B9C">
        <w:rPr>
          <w:rFonts w:asciiTheme="minorHAnsi" w:hAnsiTheme="minorHAnsi" w:cstheme="minorHAnsi"/>
          <w:szCs w:val="24"/>
        </w:rPr>
        <w:t xml:space="preserve">external </w:t>
      </w:r>
      <w:r w:rsidRPr="00C10B9C">
        <w:rPr>
          <w:rFonts w:asciiTheme="minorHAnsi" w:hAnsiTheme="minorHAnsi" w:cstheme="minorHAnsi"/>
          <w:szCs w:val="24"/>
        </w:rPr>
        <w:t>auditors to meet this deadline.</w:t>
      </w:r>
    </w:p>
    <w:p w14:paraId="4A7F34D4" w14:textId="5DC48B58" w:rsidR="00C0246E" w:rsidRPr="00C10B9C" w:rsidRDefault="007440F9" w:rsidP="000D2039">
      <w:pPr>
        <w:tabs>
          <w:tab w:val="left" w:pos="851"/>
        </w:tabs>
        <w:spacing w:after="120"/>
        <w:rPr>
          <w:rFonts w:asciiTheme="minorHAnsi" w:hAnsiTheme="minorHAnsi" w:cstheme="minorHAnsi"/>
          <w:b/>
          <w:bCs/>
          <w:szCs w:val="24"/>
        </w:rPr>
      </w:pPr>
      <w:r w:rsidRPr="00C10B9C">
        <w:rPr>
          <w:rFonts w:asciiTheme="minorHAnsi" w:hAnsiTheme="minorHAnsi" w:cstheme="minorHAnsi"/>
          <w:szCs w:val="24"/>
        </w:rPr>
        <w:t>2</w:t>
      </w:r>
      <w:r w:rsidR="00CB34EC" w:rsidRPr="00C10B9C">
        <w:rPr>
          <w:rFonts w:asciiTheme="minorHAnsi" w:hAnsiTheme="minorHAnsi" w:cstheme="minorHAnsi"/>
          <w:szCs w:val="24"/>
        </w:rPr>
        <w:t>2</w:t>
      </w:r>
      <w:r w:rsidRPr="00C10B9C">
        <w:rPr>
          <w:rFonts w:asciiTheme="minorHAnsi" w:hAnsiTheme="minorHAnsi" w:cstheme="minorHAnsi"/>
          <w:szCs w:val="24"/>
        </w:rPr>
        <w:t xml:space="preserve">.4 </w:t>
      </w:r>
      <w:r w:rsidR="00B82265" w:rsidRPr="00C10B9C">
        <w:rPr>
          <w:rFonts w:asciiTheme="minorHAnsi" w:hAnsiTheme="minorHAnsi" w:cstheme="minorHAnsi"/>
          <w:szCs w:val="24"/>
        </w:rPr>
        <w:tab/>
      </w:r>
      <w:r w:rsidR="00B82265" w:rsidRPr="00C10B9C">
        <w:rPr>
          <w:rFonts w:asciiTheme="minorHAnsi" w:hAnsiTheme="minorHAnsi" w:cstheme="minorHAnsi"/>
          <w:szCs w:val="24"/>
        </w:rPr>
        <w:tab/>
      </w:r>
      <w:r w:rsidRPr="00C10B9C">
        <w:rPr>
          <w:rFonts w:asciiTheme="minorHAnsi" w:hAnsiTheme="minorHAnsi" w:cstheme="minorHAnsi"/>
          <w:szCs w:val="24"/>
        </w:rPr>
        <w:t>The Swiss contribution received a strong support by</w:t>
      </w:r>
      <w:r w:rsidR="00C0246E" w:rsidRPr="00C10B9C">
        <w:rPr>
          <w:rFonts w:asciiTheme="minorHAnsi" w:hAnsiTheme="minorHAnsi" w:cstheme="minorHAnsi"/>
          <w:szCs w:val="24"/>
        </w:rPr>
        <w:t xml:space="preserve"> </w:t>
      </w:r>
      <w:r w:rsidR="001049DA" w:rsidRPr="00C10B9C">
        <w:rPr>
          <w:rFonts w:asciiTheme="minorHAnsi" w:hAnsiTheme="minorHAnsi" w:cstheme="minorHAnsi"/>
          <w:szCs w:val="24"/>
        </w:rPr>
        <w:t xml:space="preserve">the </w:t>
      </w:r>
      <w:r w:rsidR="00C0246E" w:rsidRPr="00C10B9C">
        <w:rPr>
          <w:rFonts w:asciiTheme="minorHAnsi" w:hAnsiTheme="minorHAnsi" w:cstheme="minorHAnsi"/>
          <w:szCs w:val="24"/>
        </w:rPr>
        <w:t>delegates</w:t>
      </w:r>
      <w:r w:rsidRPr="00C10B9C">
        <w:rPr>
          <w:rFonts w:asciiTheme="minorHAnsi" w:hAnsiTheme="minorHAnsi" w:cstheme="minorHAnsi"/>
          <w:szCs w:val="24"/>
        </w:rPr>
        <w:t xml:space="preserve"> and the management reiterated the ITU’s commitment to improve and provide documents on time </w:t>
      </w:r>
      <w:proofErr w:type="gramStart"/>
      <w:r w:rsidRPr="00C10B9C">
        <w:rPr>
          <w:rFonts w:asciiTheme="minorHAnsi" w:hAnsiTheme="minorHAnsi" w:cstheme="minorHAnsi"/>
          <w:szCs w:val="24"/>
        </w:rPr>
        <w:t>and also</w:t>
      </w:r>
      <w:proofErr w:type="gramEnd"/>
      <w:r w:rsidRPr="00C10B9C">
        <w:rPr>
          <w:rFonts w:asciiTheme="minorHAnsi" w:hAnsiTheme="minorHAnsi" w:cstheme="minorHAnsi"/>
          <w:szCs w:val="24"/>
        </w:rPr>
        <w:t xml:space="preserve"> confirmed that the financial statement</w:t>
      </w:r>
      <w:r w:rsidR="000503F4" w:rsidRPr="00C10B9C">
        <w:rPr>
          <w:rFonts w:asciiTheme="minorHAnsi" w:hAnsiTheme="minorHAnsi" w:cstheme="minorHAnsi"/>
          <w:szCs w:val="24"/>
        </w:rPr>
        <w:t>s</w:t>
      </w:r>
      <w:r w:rsidRPr="00C10B9C">
        <w:rPr>
          <w:rFonts w:asciiTheme="minorHAnsi" w:hAnsiTheme="minorHAnsi" w:cstheme="minorHAnsi"/>
          <w:szCs w:val="24"/>
        </w:rPr>
        <w:t xml:space="preserve"> are on track to allow the audit report to be published as requested.</w:t>
      </w:r>
      <w:bookmarkStart w:id="13" w:name="_Hlk191478880"/>
    </w:p>
    <w:p w14:paraId="3A44EE3E" w14:textId="4F3530CD" w:rsidR="00DA4181" w:rsidRPr="00C10B9C" w:rsidRDefault="00DA4181" w:rsidP="000D2039">
      <w:pPr>
        <w:pStyle w:val="Tabletext"/>
        <w:keepNext/>
        <w:keepLines/>
        <w:tabs>
          <w:tab w:val="clear" w:pos="284"/>
          <w:tab w:val="clear" w:pos="567"/>
        </w:tabs>
        <w:spacing w:before="480" w:after="120"/>
        <w:ind w:left="851" w:hanging="851"/>
        <w:rPr>
          <w:rFonts w:asciiTheme="minorHAnsi" w:hAnsiTheme="minorHAnsi" w:cstheme="minorHAnsi"/>
          <w:sz w:val="24"/>
          <w:szCs w:val="24"/>
          <w:lang w:val="fr-FR"/>
        </w:rPr>
      </w:pPr>
      <w:r w:rsidRPr="00C10B9C">
        <w:rPr>
          <w:rFonts w:asciiTheme="minorHAnsi" w:hAnsiTheme="minorHAnsi" w:cstheme="minorHAnsi"/>
          <w:b/>
          <w:bCs/>
          <w:sz w:val="24"/>
          <w:szCs w:val="24"/>
          <w:lang w:val="fr-FR"/>
        </w:rPr>
        <w:t>2</w:t>
      </w:r>
      <w:r w:rsidR="00CB34EC" w:rsidRPr="00C10B9C">
        <w:rPr>
          <w:rFonts w:asciiTheme="minorHAnsi" w:hAnsiTheme="minorHAnsi" w:cstheme="minorHAnsi"/>
          <w:b/>
          <w:bCs/>
          <w:sz w:val="24"/>
          <w:szCs w:val="24"/>
          <w:lang w:val="fr-FR"/>
        </w:rPr>
        <w:t>3</w:t>
      </w:r>
      <w:r w:rsidRPr="00C10B9C">
        <w:rPr>
          <w:rFonts w:asciiTheme="minorHAnsi" w:hAnsiTheme="minorHAnsi" w:cstheme="minorHAnsi"/>
          <w:b/>
          <w:bCs/>
          <w:sz w:val="24"/>
          <w:szCs w:val="24"/>
          <w:lang w:val="fr-FR"/>
        </w:rPr>
        <w:tab/>
        <w:t xml:space="preserve">2024 Budget </w:t>
      </w:r>
      <w:proofErr w:type="spellStart"/>
      <w:r w:rsidRPr="00C10B9C">
        <w:rPr>
          <w:rFonts w:asciiTheme="minorHAnsi" w:hAnsiTheme="minorHAnsi" w:cstheme="minorHAnsi"/>
          <w:b/>
          <w:bCs/>
          <w:sz w:val="24"/>
          <w:szCs w:val="24"/>
          <w:lang w:val="fr-FR"/>
        </w:rPr>
        <w:t>implementation</w:t>
      </w:r>
      <w:proofErr w:type="spellEnd"/>
      <w:r w:rsidRPr="00C10B9C">
        <w:rPr>
          <w:rFonts w:asciiTheme="minorHAnsi" w:hAnsiTheme="minorHAnsi" w:cstheme="minorHAnsi"/>
          <w:b/>
          <w:bCs/>
          <w:sz w:val="24"/>
          <w:szCs w:val="24"/>
          <w:lang w:val="fr-FR"/>
        </w:rPr>
        <w:t xml:space="preserve"> – Document </w:t>
      </w:r>
      <w:hyperlink r:id="rId43" w:history="1">
        <w:r w:rsidRPr="00C10B9C">
          <w:rPr>
            <w:rStyle w:val="Hyperlink"/>
            <w:rFonts w:asciiTheme="minorHAnsi" w:hAnsiTheme="minorHAnsi" w:cstheme="minorHAnsi"/>
            <w:b/>
            <w:bCs/>
            <w:sz w:val="24"/>
            <w:szCs w:val="24"/>
            <w:lang w:val="fr-FR"/>
          </w:rPr>
          <w:t>CWG-FHR-20/14</w:t>
        </w:r>
      </w:hyperlink>
    </w:p>
    <w:bookmarkEnd w:id="13"/>
    <w:p w14:paraId="62F76696" w14:textId="4DD35B12" w:rsidR="00DA4181" w:rsidRPr="00C10B9C" w:rsidRDefault="00C0246E" w:rsidP="00C10B9C">
      <w:pPr>
        <w:pStyle w:val="Tabletext"/>
        <w:keepNext/>
        <w:keepLines/>
        <w:tabs>
          <w:tab w:val="clear" w:pos="284"/>
          <w:tab w:val="clear" w:pos="567"/>
        </w:tabs>
        <w:spacing w:before="120" w:after="120"/>
        <w:ind w:left="851" w:hanging="851"/>
        <w:rPr>
          <w:rFonts w:asciiTheme="minorHAnsi" w:hAnsiTheme="minorHAnsi" w:cstheme="minorHAnsi"/>
          <w:sz w:val="24"/>
          <w:szCs w:val="24"/>
        </w:rPr>
      </w:pPr>
      <w:r w:rsidRPr="00C10B9C">
        <w:rPr>
          <w:rFonts w:asciiTheme="minorHAnsi" w:hAnsiTheme="minorHAnsi" w:cstheme="minorHAnsi"/>
          <w:sz w:val="24"/>
          <w:szCs w:val="24"/>
        </w:rPr>
        <w:t>23.1</w:t>
      </w:r>
      <w:r w:rsidRPr="00C10B9C">
        <w:rPr>
          <w:rFonts w:asciiTheme="minorHAnsi" w:hAnsiTheme="minorHAnsi" w:cstheme="minorHAnsi"/>
          <w:sz w:val="24"/>
          <w:szCs w:val="24"/>
        </w:rPr>
        <w:tab/>
      </w:r>
      <w:r w:rsidR="008064B1" w:rsidRPr="00C10B9C">
        <w:rPr>
          <w:rFonts w:asciiTheme="minorHAnsi" w:hAnsiTheme="minorHAnsi" w:cstheme="minorHAnsi"/>
          <w:sz w:val="24"/>
          <w:szCs w:val="24"/>
        </w:rPr>
        <w:t xml:space="preserve">The </w:t>
      </w:r>
      <w:r w:rsidRPr="00C10B9C">
        <w:rPr>
          <w:rFonts w:asciiTheme="minorHAnsi" w:hAnsiTheme="minorHAnsi" w:cstheme="minorHAnsi"/>
          <w:sz w:val="24"/>
          <w:szCs w:val="24"/>
        </w:rPr>
        <w:t>s</w:t>
      </w:r>
      <w:r w:rsidR="008064B1" w:rsidRPr="00C10B9C">
        <w:rPr>
          <w:rFonts w:asciiTheme="minorHAnsi" w:hAnsiTheme="minorHAnsi" w:cstheme="minorHAnsi"/>
          <w:sz w:val="24"/>
          <w:szCs w:val="24"/>
        </w:rPr>
        <w:t xml:space="preserve">ecretariat presented </w:t>
      </w:r>
      <w:r w:rsidRPr="00C10B9C">
        <w:rPr>
          <w:rFonts w:asciiTheme="minorHAnsi" w:hAnsiTheme="minorHAnsi" w:cstheme="minorHAnsi"/>
          <w:sz w:val="24"/>
          <w:szCs w:val="24"/>
        </w:rPr>
        <w:t>D</w:t>
      </w:r>
      <w:r w:rsidR="008064B1" w:rsidRPr="00C10B9C">
        <w:rPr>
          <w:rFonts w:asciiTheme="minorHAnsi" w:hAnsiTheme="minorHAnsi" w:cstheme="minorHAnsi"/>
          <w:sz w:val="24"/>
          <w:szCs w:val="24"/>
        </w:rPr>
        <w:t>ocument CWG-FHR 20/14.</w:t>
      </w:r>
    </w:p>
    <w:p w14:paraId="78C41B52" w14:textId="1A05FAB9" w:rsidR="008064B1" w:rsidRPr="00C10B9C" w:rsidRDefault="00C0246E" w:rsidP="00C10B9C">
      <w:pPr>
        <w:pStyle w:val="CEONormal"/>
        <w:keepNext/>
        <w:keepLines/>
        <w:tabs>
          <w:tab w:val="left" w:pos="851"/>
        </w:tabs>
        <w:rPr>
          <w:rFonts w:asciiTheme="minorHAnsi" w:hAnsiTheme="minorHAnsi" w:cstheme="minorHAnsi"/>
          <w:sz w:val="24"/>
          <w:szCs w:val="24"/>
        </w:rPr>
      </w:pPr>
      <w:r w:rsidRPr="00C10B9C">
        <w:rPr>
          <w:rFonts w:asciiTheme="minorHAnsi" w:hAnsiTheme="minorHAnsi" w:cstheme="minorHAnsi"/>
          <w:sz w:val="24"/>
          <w:szCs w:val="24"/>
        </w:rPr>
        <w:t>23.2</w:t>
      </w:r>
      <w:r w:rsidRPr="00C10B9C">
        <w:rPr>
          <w:rFonts w:asciiTheme="minorHAnsi" w:hAnsiTheme="minorHAnsi" w:cstheme="minorHAnsi"/>
          <w:sz w:val="24"/>
          <w:szCs w:val="24"/>
        </w:rPr>
        <w:tab/>
      </w:r>
      <w:r w:rsidR="008064B1" w:rsidRPr="00C10B9C">
        <w:rPr>
          <w:rFonts w:asciiTheme="minorHAnsi" w:hAnsiTheme="minorHAnsi" w:cstheme="minorHAnsi"/>
          <w:sz w:val="24"/>
          <w:szCs w:val="24"/>
        </w:rPr>
        <w:t xml:space="preserve">This report provides the 2024 budget implementation forecast, as well as an outline of recommendations which the </w:t>
      </w:r>
      <w:r w:rsidR="0046452C" w:rsidRPr="00C10B9C">
        <w:rPr>
          <w:rFonts w:asciiTheme="minorHAnsi" w:hAnsiTheme="minorHAnsi" w:cstheme="minorHAnsi"/>
          <w:sz w:val="24"/>
          <w:szCs w:val="24"/>
        </w:rPr>
        <w:t>s</w:t>
      </w:r>
      <w:r w:rsidR="008064B1" w:rsidRPr="00C10B9C">
        <w:rPr>
          <w:rFonts w:asciiTheme="minorHAnsi" w:hAnsiTheme="minorHAnsi" w:cstheme="minorHAnsi"/>
          <w:sz w:val="24"/>
          <w:szCs w:val="24"/>
        </w:rPr>
        <w:t>ecretariat will make to Council 2025 for the allocation of the anticipated surplus.</w:t>
      </w:r>
    </w:p>
    <w:p w14:paraId="16590956" w14:textId="22B7C08E" w:rsidR="008064B1" w:rsidRPr="00C10B9C" w:rsidRDefault="00C0246E" w:rsidP="00C10B9C">
      <w:pPr>
        <w:tabs>
          <w:tab w:val="clear" w:pos="567"/>
          <w:tab w:val="left" w:pos="851"/>
        </w:tabs>
        <w:spacing w:after="120"/>
        <w:rPr>
          <w:rFonts w:asciiTheme="minorHAnsi" w:hAnsiTheme="minorHAnsi" w:cstheme="minorHAnsi"/>
          <w:bCs/>
          <w:szCs w:val="24"/>
        </w:rPr>
      </w:pPr>
      <w:r w:rsidRPr="00C10B9C">
        <w:rPr>
          <w:rFonts w:asciiTheme="minorHAnsi" w:hAnsiTheme="minorHAnsi" w:cstheme="minorHAnsi"/>
          <w:szCs w:val="24"/>
        </w:rPr>
        <w:t>23.3</w:t>
      </w:r>
      <w:r w:rsidRPr="00C10B9C">
        <w:rPr>
          <w:rFonts w:asciiTheme="minorHAnsi" w:hAnsiTheme="minorHAnsi" w:cstheme="minorHAnsi"/>
          <w:szCs w:val="24"/>
        </w:rPr>
        <w:tab/>
      </w:r>
      <w:r w:rsidR="008064B1" w:rsidRPr="00C10B9C">
        <w:rPr>
          <w:rFonts w:asciiTheme="minorHAnsi" w:hAnsiTheme="minorHAnsi" w:cstheme="minorHAnsi"/>
          <w:szCs w:val="24"/>
        </w:rPr>
        <w:t xml:space="preserve">On 14 February 2025, the provisional anticipated result for 2024 stands at </w:t>
      </w:r>
      <w:r w:rsidR="008064B1" w:rsidRPr="00C10B9C">
        <w:rPr>
          <w:rFonts w:asciiTheme="minorHAnsi" w:hAnsiTheme="minorHAnsi" w:cstheme="minorHAnsi"/>
          <w:bCs/>
          <w:szCs w:val="24"/>
        </w:rPr>
        <w:t>+CHF</w:t>
      </w:r>
      <w:r w:rsidRPr="00C10B9C">
        <w:rPr>
          <w:rFonts w:asciiTheme="minorHAnsi" w:hAnsiTheme="minorHAnsi" w:cstheme="minorHAnsi"/>
          <w:bCs/>
          <w:szCs w:val="24"/>
        </w:rPr>
        <w:t> </w:t>
      </w:r>
      <w:r w:rsidR="008064B1" w:rsidRPr="00C10B9C">
        <w:rPr>
          <w:rFonts w:asciiTheme="minorHAnsi" w:hAnsiTheme="minorHAnsi" w:cstheme="minorHAnsi"/>
          <w:bCs/>
          <w:szCs w:val="24"/>
        </w:rPr>
        <w:t>5.6</w:t>
      </w:r>
      <w:r w:rsidRPr="00C10B9C">
        <w:rPr>
          <w:rFonts w:asciiTheme="minorHAnsi" w:hAnsiTheme="minorHAnsi" w:cstheme="minorHAnsi"/>
          <w:bCs/>
          <w:szCs w:val="24"/>
        </w:rPr>
        <w:t> million</w:t>
      </w:r>
      <w:r w:rsidR="008064B1" w:rsidRPr="00C10B9C">
        <w:rPr>
          <w:rFonts w:asciiTheme="minorHAnsi" w:hAnsiTheme="minorHAnsi" w:cstheme="minorHAnsi"/>
          <w:bCs/>
          <w:szCs w:val="24"/>
        </w:rPr>
        <w:t>, an anticipated surplus, corresponding to 3.43</w:t>
      </w:r>
      <w:r w:rsidRPr="00C10B9C">
        <w:rPr>
          <w:rFonts w:asciiTheme="minorHAnsi" w:hAnsiTheme="minorHAnsi" w:cstheme="minorHAnsi"/>
          <w:bCs/>
          <w:szCs w:val="24"/>
        </w:rPr>
        <w:t> per cent</w:t>
      </w:r>
      <w:r w:rsidR="008064B1" w:rsidRPr="00C10B9C">
        <w:rPr>
          <w:rFonts w:asciiTheme="minorHAnsi" w:hAnsiTheme="minorHAnsi" w:cstheme="minorHAnsi"/>
          <w:bCs/>
          <w:szCs w:val="24"/>
        </w:rPr>
        <w:t xml:space="preserve"> of the 2024 budget.</w:t>
      </w:r>
    </w:p>
    <w:p w14:paraId="70C7D51F" w14:textId="79B3BCFD" w:rsidR="008064B1" w:rsidRPr="00C10B9C" w:rsidRDefault="00402305" w:rsidP="00C10B9C">
      <w:pPr>
        <w:tabs>
          <w:tab w:val="clear" w:pos="567"/>
          <w:tab w:val="left" w:pos="851"/>
        </w:tabs>
        <w:spacing w:after="120"/>
        <w:rPr>
          <w:rFonts w:asciiTheme="minorHAnsi" w:hAnsiTheme="minorHAnsi" w:cstheme="minorHAnsi"/>
          <w:szCs w:val="24"/>
        </w:rPr>
      </w:pPr>
      <w:r w:rsidRPr="00C10B9C">
        <w:rPr>
          <w:rFonts w:asciiTheme="minorHAnsi" w:hAnsiTheme="minorHAnsi" w:cstheme="minorHAnsi"/>
          <w:szCs w:val="24"/>
        </w:rPr>
        <w:t>23.4</w:t>
      </w:r>
      <w:r w:rsidRPr="00C10B9C">
        <w:rPr>
          <w:rFonts w:asciiTheme="minorHAnsi" w:hAnsiTheme="minorHAnsi" w:cstheme="minorHAnsi"/>
          <w:szCs w:val="24"/>
        </w:rPr>
        <w:tab/>
      </w:r>
      <w:r w:rsidR="008064B1" w:rsidRPr="00C10B9C">
        <w:rPr>
          <w:rFonts w:asciiTheme="minorHAnsi" w:hAnsiTheme="minorHAnsi" w:cstheme="minorHAnsi"/>
          <w:szCs w:val="24"/>
        </w:rPr>
        <w:t>The expenses rate stands at 94.60</w:t>
      </w:r>
      <w:r w:rsidR="00C0246E" w:rsidRPr="00C10B9C">
        <w:rPr>
          <w:rFonts w:asciiTheme="minorHAnsi" w:hAnsiTheme="minorHAnsi" w:cstheme="minorHAnsi"/>
          <w:szCs w:val="24"/>
        </w:rPr>
        <w:t> per cent</w:t>
      </w:r>
      <w:r w:rsidR="008064B1" w:rsidRPr="00C10B9C">
        <w:rPr>
          <w:rFonts w:asciiTheme="minorHAnsi" w:hAnsiTheme="minorHAnsi" w:cstheme="minorHAnsi"/>
          <w:szCs w:val="24"/>
        </w:rPr>
        <w:t>, while the revenue rate is foreseen to be 98.02</w:t>
      </w:r>
      <w:r w:rsidR="00C0246E" w:rsidRPr="00C10B9C">
        <w:rPr>
          <w:rFonts w:asciiTheme="minorHAnsi" w:hAnsiTheme="minorHAnsi" w:cstheme="minorHAnsi"/>
          <w:szCs w:val="24"/>
        </w:rPr>
        <w:t> per cent.</w:t>
      </w:r>
    </w:p>
    <w:p w14:paraId="3D47FEE6" w14:textId="4E4E35FA" w:rsidR="008064B1" w:rsidRPr="00C10B9C" w:rsidRDefault="00402305" w:rsidP="00C10B9C">
      <w:pPr>
        <w:tabs>
          <w:tab w:val="clear" w:pos="567"/>
          <w:tab w:val="left" w:pos="851"/>
        </w:tabs>
        <w:spacing w:after="120"/>
        <w:rPr>
          <w:rFonts w:asciiTheme="minorHAnsi" w:hAnsiTheme="minorHAnsi" w:cstheme="minorHAnsi"/>
          <w:szCs w:val="24"/>
        </w:rPr>
      </w:pPr>
      <w:r w:rsidRPr="00C10B9C">
        <w:rPr>
          <w:rFonts w:asciiTheme="minorHAnsi" w:hAnsiTheme="minorHAnsi" w:cstheme="minorHAnsi"/>
          <w:szCs w:val="24"/>
        </w:rPr>
        <w:t>23.5</w:t>
      </w:r>
      <w:r w:rsidRPr="00C10B9C">
        <w:rPr>
          <w:rFonts w:asciiTheme="minorHAnsi" w:hAnsiTheme="minorHAnsi" w:cstheme="minorHAnsi"/>
          <w:szCs w:val="24"/>
        </w:rPr>
        <w:tab/>
      </w:r>
      <w:r w:rsidR="008064B1" w:rsidRPr="00C10B9C">
        <w:rPr>
          <w:rFonts w:asciiTheme="minorHAnsi" w:hAnsiTheme="minorHAnsi" w:cstheme="minorHAnsi"/>
          <w:szCs w:val="24"/>
        </w:rPr>
        <w:t xml:space="preserve">Balance sheet </w:t>
      </w:r>
      <w:r w:rsidR="00453670" w:rsidRPr="00C10B9C">
        <w:rPr>
          <w:rFonts w:asciiTheme="minorHAnsi" w:hAnsiTheme="minorHAnsi" w:cstheme="minorHAnsi"/>
          <w:szCs w:val="24"/>
        </w:rPr>
        <w:t>re-evaluation</w:t>
      </w:r>
      <w:r w:rsidR="008064B1" w:rsidRPr="00C10B9C">
        <w:rPr>
          <w:rFonts w:asciiTheme="minorHAnsi" w:hAnsiTheme="minorHAnsi" w:cstheme="minorHAnsi"/>
          <w:szCs w:val="24"/>
        </w:rPr>
        <w:t xml:space="preserve"> for cash and cash equivalent will be dealt with outside of the budget implementation and will not impact the budget implementation result.</w:t>
      </w:r>
    </w:p>
    <w:p w14:paraId="6E53EA92" w14:textId="6A45CFB8" w:rsidR="00453670" w:rsidRPr="00C10B9C" w:rsidRDefault="00402305" w:rsidP="00C10B9C">
      <w:pPr>
        <w:tabs>
          <w:tab w:val="clear" w:pos="567"/>
          <w:tab w:val="left" w:pos="851"/>
        </w:tabs>
        <w:spacing w:after="120"/>
        <w:rPr>
          <w:rFonts w:asciiTheme="minorHAnsi" w:hAnsiTheme="minorHAnsi" w:cstheme="minorHAnsi"/>
          <w:szCs w:val="24"/>
        </w:rPr>
      </w:pPr>
      <w:r w:rsidRPr="00C10B9C">
        <w:rPr>
          <w:rFonts w:asciiTheme="minorHAnsi" w:hAnsiTheme="minorHAnsi" w:cstheme="minorHAnsi"/>
          <w:szCs w:val="24"/>
        </w:rPr>
        <w:t>23.6</w:t>
      </w:r>
      <w:r w:rsidRPr="00C10B9C">
        <w:rPr>
          <w:rFonts w:asciiTheme="minorHAnsi" w:hAnsiTheme="minorHAnsi" w:cstheme="minorHAnsi"/>
          <w:szCs w:val="24"/>
        </w:rPr>
        <w:tab/>
      </w:r>
      <w:r w:rsidR="00453670" w:rsidRPr="00C10B9C">
        <w:rPr>
          <w:rFonts w:asciiTheme="minorHAnsi" w:hAnsiTheme="minorHAnsi" w:cstheme="minorHAnsi"/>
          <w:szCs w:val="24"/>
        </w:rPr>
        <w:t xml:space="preserve">The </w:t>
      </w:r>
      <w:r w:rsidRPr="00C10B9C">
        <w:rPr>
          <w:rFonts w:asciiTheme="minorHAnsi" w:hAnsiTheme="minorHAnsi" w:cstheme="minorHAnsi"/>
          <w:szCs w:val="24"/>
        </w:rPr>
        <w:t>s</w:t>
      </w:r>
      <w:r w:rsidR="00453670" w:rsidRPr="00C10B9C">
        <w:rPr>
          <w:rFonts w:asciiTheme="minorHAnsi" w:hAnsiTheme="minorHAnsi" w:cstheme="minorHAnsi"/>
          <w:szCs w:val="24"/>
        </w:rPr>
        <w:t xml:space="preserve">ecretariat has previously advised membership of the challenging financial position experienced by ITU in relation to funding its activities and ensuring prudent resource management. The surplus for 2024 is not an indication of excess resources, but reflective of cuts in expenses and positive treasury management, with the intention to make additional funding available for key underfunded activities. The </w:t>
      </w:r>
      <w:r w:rsidRPr="00C10B9C">
        <w:rPr>
          <w:rFonts w:asciiTheme="minorHAnsi" w:hAnsiTheme="minorHAnsi" w:cstheme="minorHAnsi"/>
          <w:szCs w:val="24"/>
        </w:rPr>
        <w:t>s</w:t>
      </w:r>
      <w:r w:rsidR="00453670" w:rsidRPr="00C10B9C">
        <w:rPr>
          <w:rFonts w:asciiTheme="minorHAnsi" w:hAnsiTheme="minorHAnsi" w:cstheme="minorHAnsi"/>
          <w:szCs w:val="24"/>
        </w:rPr>
        <w:t xml:space="preserve">ecretariat intends to propose at Council that ITU uses this result to fund key organizational priorities for the coming years. Detailed proposals, including justifications and further details of the specific expenditure will be presented to Council 2025, but at this stage, based on the existing constraints on the ITU Budget for 2025, the </w:t>
      </w:r>
      <w:r w:rsidRPr="00C10B9C">
        <w:rPr>
          <w:rFonts w:asciiTheme="minorHAnsi" w:hAnsiTheme="minorHAnsi" w:cstheme="minorHAnsi"/>
          <w:szCs w:val="24"/>
        </w:rPr>
        <w:t>s</w:t>
      </w:r>
      <w:r w:rsidR="00453670" w:rsidRPr="00C10B9C">
        <w:rPr>
          <w:rFonts w:asciiTheme="minorHAnsi" w:hAnsiTheme="minorHAnsi" w:cstheme="minorHAnsi"/>
          <w:szCs w:val="24"/>
        </w:rPr>
        <w:t>ecretariat anticipates that it will request that Council authorize the Secretary</w:t>
      </w:r>
      <w:r w:rsidRPr="00C10B9C">
        <w:rPr>
          <w:rFonts w:asciiTheme="minorHAnsi" w:hAnsiTheme="minorHAnsi" w:cstheme="minorHAnsi"/>
          <w:szCs w:val="24"/>
        </w:rPr>
        <w:t>-</w:t>
      </w:r>
      <w:r w:rsidR="00453670" w:rsidRPr="00C10B9C">
        <w:rPr>
          <w:rFonts w:asciiTheme="minorHAnsi" w:hAnsiTheme="minorHAnsi" w:cstheme="minorHAnsi"/>
          <w:szCs w:val="24"/>
        </w:rPr>
        <w:t>General to make the following allocations from the 2024 surplus:</w:t>
      </w:r>
    </w:p>
    <w:p w14:paraId="152732EE" w14:textId="77777777" w:rsidR="00453670" w:rsidRPr="00C10B9C" w:rsidRDefault="00453670" w:rsidP="000B1885">
      <w:pPr>
        <w:keepNext/>
        <w:keepLines/>
        <w:tabs>
          <w:tab w:val="clear" w:pos="567"/>
          <w:tab w:val="clear" w:pos="1134"/>
          <w:tab w:val="clear" w:pos="1701"/>
          <w:tab w:val="clear" w:pos="2268"/>
          <w:tab w:val="clear" w:pos="2835"/>
          <w:tab w:val="left" w:pos="709"/>
        </w:tabs>
        <w:snapToGrid w:val="0"/>
        <w:spacing w:before="360" w:after="240"/>
        <w:jc w:val="both"/>
        <w:rPr>
          <w:rFonts w:asciiTheme="minorHAnsi" w:eastAsia="SimSun" w:hAnsiTheme="minorHAnsi" w:cstheme="minorHAnsi"/>
          <w:b/>
          <w:szCs w:val="24"/>
        </w:rPr>
      </w:pPr>
      <w:r w:rsidRPr="00C10B9C">
        <w:rPr>
          <w:rFonts w:asciiTheme="minorHAnsi" w:eastAsia="SimSun" w:hAnsiTheme="minorHAnsi" w:cstheme="minorHAnsi"/>
          <w:b/>
          <w:szCs w:val="24"/>
        </w:rPr>
        <w:lastRenderedPageBreak/>
        <w:t>Summary of the proposal</w:t>
      </w:r>
    </w:p>
    <w:tbl>
      <w:tblPr>
        <w:tblW w:w="9180" w:type="dxa"/>
        <w:tblLook w:val="04A0" w:firstRow="1" w:lastRow="0" w:firstColumn="1" w:lastColumn="0" w:noHBand="0" w:noVBand="1"/>
      </w:tblPr>
      <w:tblGrid>
        <w:gridCol w:w="7880"/>
        <w:gridCol w:w="1300"/>
      </w:tblGrid>
      <w:tr w:rsidR="00453670" w:rsidRPr="0046069A" w14:paraId="4947F71D" w14:textId="77777777" w:rsidTr="004D5E69">
        <w:trPr>
          <w:trHeight w:val="340"/>
        </w:trPr>
        <w:tc>
          <w:tcPr>
            <w:tcW w:w="7880" w:type="dxa"/>
            <w:tcBorders>
              <w:top w:val="single" w:sz="8" w:space="0" w:color="auto"/>
              <w:left w:val="single" w:sz="8" w:space="0" w:color="auto"/>
              <w:bottom w:val="single" w:sz="4" w:space="0" w:color="auto"/>
              <w:right w:val="single" w:sz="4" w:space="0" w:color="auto"/>
            </w:tcBorders>
            <w:shd w:val="clear" w:color="000000" w:fill="C0E6F5"/>
            <w:noWrap/>
            <w:vAlign w:val="center"/>
            <w:hideMark/>
          </w:tcPr>
          <w:p w14:paraId="1BD9925B"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46069A">
              <w:rPr>
                <w:rFonts w:cs="Calibri"/>
                <w:b/>
                <w:bCs/>
                <w:color w:val="000000"/>
                <w:szCs w:val="24"/>
                <w:lang w:eastAsia="en-GB"/>
              </w:rPr>
              <w:t>Planned allocation of resources</w:t>
            </w:r>
          </w:p>
        </w:tc>
        <w:tc>
          <w:tcPr>
            <w:tcW w:w="1300" w:type="dxa"/>
            <w:tcBorders>
              <w:top w:val="single" w:sz="8" w:space="0" w:color="auto"/>
              <w:left w:val="nil"/>
              <w:bottom w:val="single" w:sz="8" w:space="0" w:color="auto"/>
              <w:right w:val="single" w:sz="8" w:space="0" w:color="auto"/>
            </w:tcBorders>
            <w:shd w:val="clear" w:color="000000" w:fill="C0E6F5"/>
            <w:noWrap/>
            <w:vAlign w:val="center"/>
            <w:hideMark/>
          </w:tcPr>
          <w:p w14:paraId="04D061E3"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Cs w:val="24"/>
                <w:lang w:eastAsia="en-GB"/>
              </w:rPr>
            </w:pPr>
            <w:r w:rsidRPr="0046069A">
              <w:rPr>
                <w:rFonts w:cs="Calibri"/>
                <w:b/>
                <w:bCs/>
                <w:color w:val="000000"/>
                <w:szCs w:val="24"/>
                <w:lang w:eastAsia="en-GB"/>
              </w:rPr>
              <w:t>KCHF</w:t>
            </w:r>
          </w:p>
        </w:tc>
      </w:tr>
      <w:tr w:rsidR="00453670" w:rsidRPr="0046069A" w14:paraId="0A396231" w14:textId="77777777" w:rsidTr="004D5E69">
        <w:trPr>
          <w:trHeight w:val="340"/>
        </w:trPr>
        <w:tc>
          <w:tcPr>
            <w:tcW w:w="7880" w:type="dxa"/>
            <w:tcBorders>
              <w:top w:val="nil"/>
              <w:left w:val="single" w:sz="8" w:space="0" w:color="auto"/>
              <w:bottom w:val="single" w:sz="4" w:space="0" w:color="auto"/>
              <w:right w:val="single" w:sz="4" w:space="0" w:color="auto"/>
            </w:tcBorders>
            <w:shd w:val="clear" w:color="000000" w:fill="C1F0C8"/>
            <w:vAlign w:val="center"/>
            <w:hideMark/>
          </w:tcPr>
          <w:p w14:paraId="68DFEF78"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46069A">
              <w:rPr>
                <w:rFonts w:cs="Calibri"/>
                <w:color w:val="000000"/>
                <w:szCs w:val="24"/>
                <w:lang w:eastAsia="en-GB"/>
              </w:rPr>
              <w:t>After Service Health Insurance (ASHI) – Decision 5, (Bucharest, 2022)</w:t>
            </w:r>
          </w:p>
        </w:tc>
        <w:tc>
          <w:tcPr>
            <w:tcW w:w="1300" w:type="dxa"/>
            <w:tcBorders>
              <w:top w:val="nil"/>
              <w:left w:val="nil"/>
              <w:bottom w:val="single" w:sz="4" w:space="0" w:color="auto"/>
              <w:right w:val="single" w:sz="8" w:space="0" w:color="auto"/>
            </w:tcBorders>
            <w:shd w:val="clear" w:color="000000" w:fill="C1F0C8"/>
            <w:noWrap/>
            <w:vAlign w:val="center"/>
            <w:hideMark/>
          </w:tcPr>
          <w:p w14:paraId="71F2C9EC"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46069A">
              <w:rPr>
                <w:rFonts w:cs="Calibri"/>
                <w:color w:val="000000"/>
                <w:szCs w:val="24"/>
                <w:lang w:eastAsia="en-GB"/>
              </w:rPr>
              <w:t>500</w:t>
            </w:r>
          </w:p>
        </w:tc>
      </w:tr>
      <w:tr w:rsidR="00453670" w:rsidRPr="0046069A" w14:paraId="77B2F226" w14:textId="77777777" w:rsidTr="004D5E69">
        <w:trPr>
          <w:trHeight w:val="340"/>
        </w:trPr>
        <w:tc>
          <w:tcPr>
            <w:tcW w:w="7880" w:type="dxa"/>
            <w:tcBorders>
              <w:top w:val="nil"/>
              <w:left w:val="single" w:sz="8" w:space="0" w:color="auto"/>
              <w:bottom w:val="single" w:sz="4" w:space="0" w:color="auto"/>
              <w:right w:val="single" w:sz="4" w:space="0" w:color="auto"/>
            </w:tcBorders>
            <w:shd w:val="clear" w:color="000000" w:fill="C1F0C8"/>
            <w:vAlign w:val="center"/>
            <w:hideMark/>
          </w:tcPr>
          <w:p w14:paraId="5678A43A"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46069A">
              <w:rPr>
                <w:rFonts w:cs="Calibri"/>
                <w:color w:val="000000"/>
                <w:szCs w:val="24"/>
                <w:lang w:eastAsia="en-GB"/>
              </w:rPr>
              <w:t>Allocation to WTSA-24 post conference work</w:t>
            </w:r>
          </w:p>
        </w:tc>
        <w:tc>
          <w:tcPr>
            <w:tcW w:w="1300" w:type="dxa"/>
            <w:tcBorders>
              <w:top w:val="nil"/>
              <w:left w:val="nil"/>
              <w:bottom w:val="single" w:sz="4" w:space="0" w:color="auto"/>
              <w:right w:val="single" w:sz="8" w:space="0" w:color="auto"/>
            </w:tcBorders>
            <w:shd w:val="clear" w:color="000000" w:fill="C1F0C8"/>
            <w:noWrap/>
            <w:vAlign w:val="center"/>
            <w:hideMark/>
          </w:tcPr>
          <w:p w14:paraId="6D412846"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46069A">
              <w:rPr>
                <w:rFonts w:cs="Calibri"/>
                <w:color w:val="000000"/>
                <w:szCs w:val="24"/>
                <w:lang w:eastAsia="en-GB"/>
              </w:rPr>
              <w:t>556</w:t>
            </w:r>
          </w:p>
        </w:tc>
      </w:tr>
      <w:tr w:rsidR="00453670" w:rsidRPr="0046069A" w14:paraId="5A60BCCE" w14:textId="77777777" w:rsidTr="004D5E69">
        <w:trPr>
          <w:trHeight w:val="340"/>
        </w:trPr>
        <w:tc>
          <w:tcPr>
            <w:tcW w:w="7880" w:type="dxa"/>
            <w:tcBorders>
              <w:top w:val="nil"/>
              <w:left w:val="single" w:sz="8" w:space="0" w:color="auto"/>
              <w:bottom w:val="single" w:sz="4" w:space="0" w:color="auto"/>
              <w:right w:val="single" w:sz="4" w:space="0" w:color="auto"/>
            </w:tcBorders>
            <w:shd w:val="clear" w:color="000000" w:fill="C1F0C8"/>
            <w:vAlign w:val="center"/>
            <w:hideMark/>
          </w:tcPr>
          <w:p w14:paraId="27008B3A"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46069A">
              <w:rPr>
                <w:rFonts w:cs="Calibri"/>
                <w:color w:val="000000"/>
                <w:szCs w:val="24"/>
                <w:lang w:eastAsia="en-GB"/>
              </w:rPr>
              <w:t>Allocation to WRC-23 post conference work</w:t>
            </w:r>
          </w:p>
        </w:tc>
        <w:tc>
          <w:tcPr>
            <w:tcW w:w="1300" w:type="dxa"/>
            <w:tcBorders>
              <w:top w:val="nil"/>
              <w:left w:val="nil"/>
              <w:bottom w:val="single" w:sz="4" w:space="0" w:color="auto"/>
              <w:right w:val="single" w:sz="8" w:space="0" w:color="auto"/>
            </w:tcBorders>
            <w:shd w:val="clear" w:color="000000" w:fill="C1F0C8"/>
            <w:noWrap/>
            <w:vAlign w:val="center"/>
            <w:hideMark/>
          </w:tcPr>
          <w:p w14:paraId="5AE9E771"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46069A">
              <w:rPr>
                <w:rFonts w:cs="Calibri"/>
                <w:color w:val="000000"/>
                <w:szCs w:val="24"/>
                <w:lang w:eastAsia="en-GB"/>
              </w:rPr>
              <w:t>300</w:t>
            </w:r>
          </w:p>
        </w:tc>
      </w:tr>
      <w:tr w:rsidR="00453670" w:rsidRPr="0046069A" w14:paraId="2400272F" w14:textId="77777777" w:rsidTr="004D5E69">
        <w:trPr>
          <w:trHeight w:val="340"/>
        </w:trPr>
        <w:tc>
          <w:tcPr>
            <w:tcW w:w="7880" w:type="dxa"/>
            <w:tcBorders>
              <w:top w:val="nil"/>
              <w:left w:val="single" w:sz="8" w:space="0" w:color="auto"/>
              <w:bottom w:val="single" w:sz="4" w:space="0" w:color="auto"/>
              <w:right w:val="single" w:sz="4" w:space="0" w:color="auto"/>
            </w:tcBorders>
            <w:shd w:val="clear" w:color="000000" w:fill="C1F0C8"/>
            <w:vAlign w:val="center"/>
            <w:hideMark/>
          </w:tcPr>
          <w:p w14:paraId="4C38141C"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46069A">
              <w:rPr>
                <w:rFonts w:cs="Calibri"/>
                <w:color w:val="000000"/>
                <w:szCs w:val="24"/>
                <w:lang w:val="en-US" w:eastAsia="en-GB"/>
              </w:rPr>
              <w:t xml:space="preserve">ITU AI related Initiatives </w:t>
            </w:r>
          </w:p>
        </w:tc>
        <w:tc>
          <w:tcPr>
            <w:tcW w:w="1300" w:type="dxa"/>
            <w:tcBorders>
              <w:top w:val="nil"/>
              <w:left w:val="nil"/>
              <w:bottom w:val="single" w:sz="4" w:space="0" w:color="auto"/>
              <w:right w:val="single" w:sz="8" w:space="0" w:color="auto"/>
            </w:tcBorders>
            <w:shd w:val="clear" w:color="000000" w:fill="C1F0C8"/>
            <w:noWrap/>
            <w:vAlign w:val="center"/>
            <w:hideMark/>
          </w:tcPr>
          <w:p w14:paraId="1E6857E1"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46069A">
              <w:rPr>
                <w:rFonts w:cs="Calibri"/>
                <w:color w:val="000000"/>
                <w:szCs w:val="24"/>
                <w:lang w:eastAsia="en-GB"/>
              </w:rPr>
              <w:t>500</w:t>
            </w:r>
          </w:p>
        </w:tc>
      </w:tr>
      <w:tr w:rsidR="00453670" w:rsidRPr="0046069A" w14:paraId="6D872BE4" w14:textId="77777777" w:rsidTr="004D5E69">
        <w:trPr>
          <w:trHeight w:val="680"/>
        </w:trPr>
        <w:tc>
          <w:tcPr>
            <w:tcW w:w="7880" w:type="dxa"/>
            <w:tcBorders>
              <w:top w:val="nil"/>
              <w:left w:val="single" w:sz="8" w:space="0" w:color="auto"/>
              <w:bottom w:val="single" w:sz="4" w:space="0" w:color="auto"/>
              <w:right w:val="single" w:sz="4" w:space="0" w:color="auto"/>
            </w:tcBorders>
            <w:shd w:val="clear" w:color="000000" w:fill="DAEEF3"/>
            <w:vAlign w:val="center"/>
            <w:hideMark/>
          </w:tcPr>
          <w:p w14:paraId="34EC04C0"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46069A">
              <w:rPr>
                <w:rFonts w:cs="Calibri"/>
                <w:color w:val="000000"/>
                <w:szCs w:val="24"/>
                <w:lang w:eastAsia="en-GB"/>
              </w:rPr>
              <w:t>Allocation to the Transformation roadmap implementation and roadmap for website improvement</w:t>
            </w:r>
          </w:p>
        </w:tc>
        <w:tc>
          <w:tcPr>
            <w:tcW w:w="1300" w:type="dxa"/>
            <w:tcBorders>
              <w:top w:val="nil"/>
              <w:left w:val="nil"/>
              <w:bottom w:val="single" w:sz="4" w:space="0" w:color="auto"/>
              <w:right w:val="single" w:sz="8" w:space="0" w:color="auto"/>
            </w:tcBorders>
            <w:shd w:val="clear" w:color="000000" w:fill="DAEEF3"/>
            <w:noWrap/>
            <w:vAlign w:val="center"/>
            <w:hideMark/>
          </w:tcPr>
          <w:p w14:paraId="5D7F08F3"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46069A">
              <w:rPr>
                <w:rFonts w:cs="Calibri"/>
                <w:color w:val="000000"/>
                <w:szCs w:val="24"/>
                <w:lang w:eastAsia="en-GB"/>
              </w:rPr>
              <w:t>250</w:t>
            </w:r>
          </w:p>
        </w:tc>
      </w:tr>
      <w:tr w:rsidR="00453670" w:rsidRPr="0046069A" w14:paraId="4F207786" w14:textId="77777777" w:rsidTr="004D5E69">
        <w:trPr>
          <w:trHeight w:val="340"/>
        </w:trPr>
        <w:tc>
          <w:tcPr>
            <w:tcW w:w="7880" w:type="dxa"/>
            <w:tcBorders>
              <w:top w:val="nil"/>
              <w:left w:val="single" w:sz="8" w:space="0" w:color="auto"/>
              <w:bottom w:val="single" w:sz="4" w:space="0" w:color="auto"/>
              <w:right w:val="single" w:sz="4" w:space="0" w:color="auto"/>
            </w:tcBorders>
            <w:shd w:val="clear" w:color="000000" w:fill="DAEEF3"/>
            <w:vAlign w:val="center"/>
            <w:hideMark/>
          </w:tcPr>
          <w:p w14:paraId="75ABACF5"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46069A">
              <w:rPr>
                <w:rFonts w:cs="Calibri"/>
                <w:color w:val="000000"/>
                <w:szCs w:val="24"/>
                <w:lang w:eastAsia="en-GB"/>
              </w:rPr>
              <w:t>Allocation to the Young Professional Programme (YPP)</w:t>
            </w:r>
          </w:p>
        </w:tc>
        <w:tc>
          <w:tcPr>
            <w:tcW w:w="1300" w:type="dxa"/>
            <w:tcBorders>
              <w:top w:val="nil"/>
              <w:left w:val="nil"/>
              <w:bottom w:val="single" w:sz="4" w:space="0" w:color="auto"/>
              <w:right w:val="single" w:sz="8" w:space="0" w:color="auto"/>
            </w:tcBorders>
            <w:shd w:val="clear" w:color="000000" w:fill="DAEEF3"/>
            <w:noWrap/>
            <w:vAlign w:val="center"/>
            <w:hideMark/>
          </w:tcPr>
          <w:p w14:paraId="561718D5"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46069A">
              <w:rPr>
                <w:rFonts w:cs="Calibri"/>
                <w:color w:val="000000"/>
                <w:szCs w:val="24"/>
                <w:lang w:eastAsia="en-GB"/>
              </w:rPr>
              <w:t>250</w:t>
            </w:r>
          </w:p>
        </w:tc>
      </w:tr>
      <w:tr w:rsidR="00453670" w:rsidRPr="0046069A" w14:paraId="1E239E49" w14:textId="77777777" w:rsidTr="004D5E69">
        <w:trPr>
          <w:trHeight w:val="360"/>
        </w:trPr>
        <w:tc>
          <w:tcPr>
            <w:tcW w:w="7880" w:type="dxa"/>
            <w:tcBorders>
              <w:top w:val="nil"/>
              <w:left w:val="single" w:sz="8" w:space="0" w:color="auto"/>
              <w:bottom w:val="single" w:sz="8" w:space="0" w:color="auto"/>
              <w:right w:val="single" w:sz="4" w:space="0" w:color="auto"/>
            </w:tcBorders>
            <w:shd w:val="clear" w:color="000000" w:fill="DAEEF3"/>
            <w:vAlign w:val="center"/>
            <w:hideMark/>
          </w:tcPr>
          <w:p w14:paraId="2B9628D9"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46069A">
              <w:rPr>
                <w:rFonts w:cs="Calibri"/>
                <w:color w:val="000000"/>
                <w:szCs w:val="24"/>
                <w:lang w:eastAsia="en-GB"/>
              </w:rPr>
              <w:t>Allocation WTPF-26 preparation</w:t>
            </w:r>
          </w:p>
        </w:tc>
        <w:tc>
          <w:tcPr>
            <w:tcW w:w="1300" w:type="dxa"/>
            <w:tcBorders>
              <w:top w:val="nil"/>
              <w:left w:val="nil"/>
              <w:bottom w:val="single" w:sz="4" w:space="0" w:color="auto"/>
              <w:right w:val="single" w:sz="8" w:space="0" w:color="auto"/>
            </w:tcBorders>
            <w:shd w:val="clear" w:color="000000" w:fill="DAEEF3"/>
            <w:noWrap/>
            <w:vAlign w:val="center"/>
            <w:hideMark/>
          </w:tcPr>
          <w:p w14:paraId="3AA9C627"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46069A">
              <w:rPr>
                <w:rFonts w:cs="Calibri"/>
                <w:color w:val="000000"/>
                <w:szCs w:val="24"/>
                <w:lang w:eastAsia="en-GB"/>
              </w:rPr>
              <w:t>180</w:t>
            </w:r>
          </w:p>
        </w:tc>
      </w:tr>
      <w:tr w:rsidR="00453670" w:rsidRPr="0046069A" w14:paraId="6FABB6F9" w14:textId="77777777" w:rsidTr="004D5E69">
        <w:trPr>
          <w:trHeight w:val="340"/>
        </w:trPr>
        <w:tc>
          <w:tcPr>
            <w:tcW w:w="7880" w:type="dxa"/>
            <w:tcBorders>
              <w:top w:val="nil"/>
              <w:left w:val="single" w:sz="8" w:space="0" w:color="auto"/>
              <w:bottom w:val="single" w:sz="4" w:space="0" w:color="auto"/>
              <w:right w:val="single" w:sz="4" w:space="0" w:color="auto"/>
            </w:tcBorders>
            <w:shd w:val="clear" w:color="000000" w:fill="FBE2D5"/>
            <w:vAlign w:val="center"/>
            <w:hideMark/>
          </w:tcPr>
          <w:p w14:paraId="577C215F"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46069A">
              <w:rPr>
                <w:rFonts w:cs="Calibri"/>
                <w:color w:val="000000"/>
                <w:szCs w:val="24"/>
                <w:lang w:val="en-US" w:eastAsia="en-GB"/>
              </w:rPr>
              <w:t>Allocation to the Building Maintenance Fund</w:t>
            </w:r>
          </w:p>
        </w:tc>
        <w:tc>
          <w:tcPr>
            <w:tcW w:w="1300" w:type="dxa"/>
            <w:tcBorders>
              <w:top w:val="nil"/>
              <w:left w:val="nil"/>
              <w:bottom w:val="single" w:sz="4" w:space="0" w:color="auto"/>
              <w:right w:val="single" w:sz="8" w:space="0" w:color="auto"/>
            </w:tcBorders>
            <w:shd w:val="clear" w:color="000000" w:fill="FBE2D5"/>
            <w:noWrap/>
            <w:vAlign w:val="center"/>
            <w:hideMark/>
          </w:tcPr>
          <w:p w14:paraId="501924F5"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46069A">
              <w:rPr>
                <w:rFonts w:cs="Calibri"/>
                <w:color w:val="000000"/>
                <w:szCs w:val="24"/>
                <w:lang w:eastAsia="en-GB"/>
              </w:rPr>
              <w:t>1'000</w:t>
            </w:r>
          </w:p>
        </w:tc>
      </w:tr>
      <w:tr w:rsidR="00453670" w:rsidRPr="0046069A" w14:paraId="397C04E4" w14:textId="77777777" w:rsidTr="004D5E69">
        <w:trPr>
          <w:trHeight w:val="340"/>
        </w:trPr>
        <w:tc>
          <w:tcPr>
            <w:tcW w:w="7880" w:type="dxa"/>
            <w:tcBorders>
              <w:top w:val="nil"/>
              <w:left w:val="single" w:sz="8" w:space="0" w:color="auto"/>
              <w:bottom w:val="single" w:sz="4" w:space="0" w:color="auto"/>
              <w:right w:val="single" w:sz="4" w:space="0" w:color="auto"/>
            </w:tcBorders>
            <w:shd w:val="clear" w:color="000000" w:fill="FBE2D5"/>
            <w:vAlign w:val="center"/>
            <w:hideMark/>
          </w:tcPr>
          <w:p w14:paraId="299764D8"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46069A">
              <w:rPr>
                <w:rFonts w:cs="Calibri"/>
                <w:color w:val="000000"/>
                <w:szCs w:val="24"/>
                <w:lang w:eastAsia="en-GB"/>
              </w:rPr>
              <w:t>Allocation to the ICT Fund</w:t>
            </w:r>
          </w:p>
        </w:tc>
        <w:tc>
          <w:tcPr>
            <w:tcW w:w="1300" w:type="dxa"/>
            <w:tcBorders>
              <w:top w:val="nil"/>
              <w:left w:val="nil"/>
              <w:bottom w:val="single" w:sz="4" w:space="0" w:color="auto"/>
              <w:right w:val="single" w:sz="8" w:space="0" w:color="auto"/>
            </w:tcBorders>
            <w:shd w:val="clear" w:color="000000" w:fill="FBE2D5"/>
            <w:noWrap/>
            <w:vAlign w:val="center"/>
            <w:hideMark/>
          </w:tcPr>
          <w:p w14:paraId="30048C02"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46069A">
              <w:rPr>
                <w:rFonts w:cs="Calibri"/>
                <w:color w:val="000000"/>
                <w:szCs w:val="24"/>
                <w:lang w:eastAsia="en-GB"/>
              </w:rPr>
              <w:t>1'000</w:t>
            </w:r>
          </w:p>
        </w:tc>
      </w:tr>
      <w:tr w:rsidR="00453670" w:rsidRPr="0046069A" w14:paraId="275B46B8" w14:textId="77777777" w:rsidTr="004D5E69">
        <w:trPr>
          <w:trHeight w:val="680"/>
        </w:trPr>
        <w:tc>
          <w:tcPr>
            <w:tcW w:w="7880" w:type="dxa"/>
            <w:tcBorders>
              <w:top w:val="nil"/>
              <w:left w:val="single" w:sz="8" w:space="0" w:color="auto"/>
              <w:bottom w:val="single" w:sz="4" w:space="0" w:color="auto"/>
              <w:right w:val="single" w:sz="4" w:space="0" w:color="auto"/>
            </w:tcBorders>
            <w:shd w:val="clear" w:color="000000" w:fill="FBE2D5"/>
            <w:vAlign w:val="center"/>
            <w:hideMark/>
          </w:tcPr>
          <w:p w14:paraId="65D46256"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46069A">
              <w:rPr>
                <w:rFonts w:cs="Calibri"/>
                <w:color w:val="000000"/>
                <w:szCs w:val="24"/>
                <w:lang w:eastAsia="en-GB"/>
              </w:rPr>
              <w:t>Transfer to the Information and Communication Technologies Development Fund (ICT-DF)</w:t>
            </w:r>
          </w:p>
        </w:tc>
        <w:tc>
          <w:tcPr>
            <w:tcW w:w="1300" w:type="dxa"/>
            <w:tcBorders>
              <w:top w:val="nil"/>
              <w:left w:val="nil"/>
              <w:bottom w:val="single" w:sz="4" w:space="0" w:color="auto"/>
              <w:right w:val="single" w:sz="8" w:space="0" w:color="auto"/>
            </w:tcBorders>
            <w:shd w:val="clear" w:color="000000" w:fill="FBE2D5"/>
            <w:noWrap/>
            <w:vAlign w:val="center"/>
            <w:hideMark/>
          </w:tcPr>
          <w:p w14:paraId="1FCD7056"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46069A">
              <w:rPr>
                <w:rFonts w:cs="Calibri"/>
                <w:color w:val="000000"/>
                <w:szCs w:val="24"/>
                <w:lang w:eastAsia="en-GB"/>
              </w:rPr>
              <w:t>524</w:t>
            </w:r>
          </w:p>
        </w:tc>
      </w:tr>
      <w:tr w:rsidR="00453670" w:rsidRPr="0046069A" w14:paraId="53DD5D45" w14:textId="77777777" w:rsidTr="00453670">
        <w:trPr>
          <w:trHeight w:val="360"/>
        </w:trPr>
        <w:tc>
          <w:tcPr>
            <w:tcW w:w="7880" w:type="dxa"/>
            <w:tcBorders>
              <w:top w:val="nil"/>
              <w:left w:val="single" w:sz="8" w:space="0" w:color="auto"/>
              <w:bottom w:val="single" w:sz="8" w:space="0" w:color="auto"/>
              <w:right w:val="single" w:sz="4" w:space="0" w:color="auto"/>
            </w:tcBorders>
            <w:shd w:val="clear" w:color="000000" w:fill="FBE2D5"/>
            <w:vAlign w:val="center"/>
          </w:tcPr>
          <w:p w14:paraId="73B4D283" w14:textId="4ED27020" w:rsidR="00453670" w:rsidRPr="00453670" w:rsidRDefault="00453670" w:rsidP="000B188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Pr>
                <w:rFonts w:cs="Calibri"/>
                <w:color w:val="000000"/>
                <w:szCs w:val="24"/>
                <w:lang w:val="fr-CH" w:eastAsia="en-GB"/>
              </w:rPr>
              <w:t>XXX</w:t>
            </w:r>
          </w:p>
        </w:tc>
        <w:tc>
          <w:tcPr>
            <w:tcW w:w="1300" w:type="dxa"/>
            <w:tcBorders>
              <w:top w:val="nil"/>
              <w:left w:val="nil"/>
              <w:bottom w:val="single" w:sz="8" w:space="0" w:color="auto"/>
              <w:right w:val="single" w:sz="8" w:space="0" w:color="auto"/>
            </w:tcBorders>
            <w:shd w:val="clear" w:color="000000" w:fill="FBE2D5"/>
            <w:noWrap/>
            <w:vAlign w:val="center"/>
          </w:tcPr>
          <w:p w14:paraId="7AFCEB57" w14:textId="04A889B5" w:rsidR="00453670" w:rsidRPr="00453670" w:rsidRDefault="00453670" w:rsidP="000B188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val="fr-CH" w:eastAsia="en-GB"/>
              </w:rPr>
            </w:pPr>
            <w:r>
              <w:rPr>
                <w:rFonts w:cs="Calibri"/>
                <w:color w:val="000000"/>
                <w:szCs w:val="24"/>
                <w:lang w:val="fr-CH" w:eastAsia="en-GB"/>
              </w:rPr>
              <w:t>591</w:t>
            </w:r>
          </w:p>
        </w:tc>
      </w:tr>
      <w:tr w:rsidR="00453670" w:rsidRPr="0046069A" w14:paraId="7C5D2A4E" w14:textId="77777777" w:rsidTr="004D5E69">
        <w:trPr>
          <w:trHeight w:val="360"/>
        </w:trPr>
        <w:tc>
          <w:tcPr>
            <w:tcW w:w="7880" w:type="dxa"/>
            <w:tcBorders>
              <w:top w:val="single" w:sz="4" w:space="0" w:color="auto"/>
              <w:left w:val="single" w:sz="8" w:space="0" w:color="auto"/>
              <w:bottom w:val="single" w:sz="8" w:space="0" w:color="auto"/>
              <w:right w:val="single" w:sz="4" w:space="0" w:color="auto"/>
            </w:tcBorders>
            <w:shd w:val="clear" w:color="000000" w:fill="FFFDC8"/>
            <w:vAlign w:val="center"/>
            <w:hideMark/>
          </w:tcPr>
          <w:p w14:paraId="6E4FF2DC"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46069A">
              <w:rPr>
                <w:rFonts w:cs="Calibri"/>
                <w:b/>
                <w:bCs/>
                <w:color w:val="000000"/>
                <w:szCs w:val="24"/>
                <w:lang w:eastAsia="en-GB"/>
              </w:rPr>
              <w:t>TOTAL</w:t>
            </w:r>
          </w:p>
        </w:tc>
        <w:tc>
          <w:tcPr>
            <w:tcW w:w="1300" w:type="dxa"/>
            <w:tcBorders>
              <w:top w:val="single" w:sz="4" w:space="0" w:color="auto"/>
              <w:left w:val="nil"/>
              <w:bottom w:val="single" w:sz="8" w:space="0" w:color="auto"/>
              <w:right w:val="single" w:sz="8" w:space="0" w:color="auto"/>
            </w:tcBorders>
            <w:shd w:val="clear" w:color="000000" w:fill="FFFDC8"/>
            <w:noWrap/>
            <w:vAlign w:val="center"/>
            <w:hideMark/>
          </w:tcPr>
          <w:p w14:paraId="0C24D71D" w14:textId="77777777" w:rsidR="00453670" w:rsidRPr="0046069A" w:rsidRDefault="00453670" w:rsidP="000B188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Cs w:val="24"/>
                <w:lang w:eastAsia="en-GB"/>
              </w:rPr>
            </w:pPr>
            <w:r w:rsidRPr="0046069A">
              <w:rPr>
                <w:rFonts w:cs="Calibri"/>
                <w:b/>
                <w:bCs/>
                <w:color w:val="000000"/>
                <w:szCs w:val="24"/>
                <w:lang w:eastAsia="en-GB"/>
              </w:rPr>
              <w:t>5'651</w:t>
            </w:r>
          </w:p>
        </w:tc>
      </w:tr>
    </w:tbl>
    <w:p w14:paraId="69839A52" w14:textId="517B5D1E" w:rsidR="008064B1" w:rsidRPr="00C10B9C" w:rsidRDefault="00402305" w:rsidP="000B1885">
      <w:pPr>
        <w:pStyle w:val="Tabletext"/>
        <w:tabs>
          <w:tab w:val="clear" w:pos="284"/>
          <w:tab w:val="clear" w:pos="567"/>
          <w:tab w:val="clear" w:pos="851"/>
          <w:tab w:val="left" w:pos="0"/>
        </w:tabs>
        <w:spacing w:before="240" w:after="120"/>
        <w:jc w:val="both"/>
        <w:rPr>
          <w:rFonts w:cs="Calibri"/>
          <w:sz w:val="24"/>
          <w:szCs w:val="24"/>
          <w:lang w:val="en-US"/>
        </w:rPr>
      </w:pPr>
      <w:r w:rsidRPr="00C10B9C">
        <w:rPr>
          <w:rFonts w:cs="Calibri"/>
          <w:sz w:val="24"/>
          <w:szCs w:val="24"/>
          <w:lang w:val="en-US"/>
        </w:rPr>
        <w:t>23.7</w:t>
      </w:r>
      <w:r w:rsidRPr="00C10B9C">
        <w:rPr>
          <w:rFonts w:cs="Calibri"/>
          <w:sz w:val="24"/>
          <w:szCs w:val="24"/>
          <w:lang w:val="en-US"/>
        </w:rPr>
        <w:tab/>
      </w:r>
      <w:r w:rsidR="00453670" w:rsidRPr="00C10B9C">
        <w:rPr>
          <w:rFonts w:cs="Calibri"/>
          <w:sz w:val="24"/>
          <w:szCs w:val="24"/>
          <w:lang w:val="en-US"/>
        </w:rPr>
        <w:t>The CWG-FHR took note of this document and considered that this item will be discussed at the next Council session in June 2025.</w:t>
      </w:r>
    </w:p>
    <w:p w14:paraId="2C6F6BF9" w14:textId="7E28BFB1" w:rsidR="00DA4181" w:rsidRPr="00C10B9C" w:rsidRDefault="00DA4181" w:rsidP="000D2039">
      <w:pPr>
        <w:pStyle w:val="Tabletext"/>
        <w:tabs>
          <w:tab w:val="clear" w:pos="284"/>
          <w:tab w:val="clear" w:pos="567"/>
        </w:tabs>
        <w:spacing w:before="600" w:after="120"/>
        <w:ind w:left="851" w:hanging="851"/>
        <w:rPr>
          <w:b/>
          <w:bCs/>
          <w:sz w:val="24"/>
          <w:szCs w:val="24"/>
        </w:rPr>
      </w:pPr>
      <w:r w:rsidRPr="00C10B9C">
        <w:rPr>
          <w:rFonts w:cs="Calibri"/>
          <w:b/>
          <w:bCs/>
          <w:sz w:val="24"/>
          <w:szCs w:val="24"/>
        </w:rPr>
        <w:t>2</w:t>
      </w:r>
      <w:r w:rsidR="00CB34EC" w:rsidRPr="00C10B9C">
        <w:rPr>
          <w:rFonts w:cs="Calibri"/>
          <w:b/>
          <w:bCs/>
          <w:sz w:val="24"/>
          <w:szCs w:val="24"/>
        </w:rPr>
        <w:t>4</w:t>
      </w:r>
      <w:r w:rsidRPr="00C10B9C">
        <w:rPr>
          <w:rFonts w:cs="Calibri"/>
          <w:b/>
          <w:bCs/>
          <w:sz w:val="24"/>
          <w:szCs w:val="24"/>
        </w:rPr>
        <w:tab/>
      </w:r>
      <w:r w:rsidRPr="00C10B9C">
        <w:rPr>
          <w:b/>
          <w:bCs/>
          <w:sz w:val="24"/>
          <w:szCs w:val="24"/>
        </w:rPr>
        <w:t>Contribution by South Africa (Republic of) - Submission and consideration of the 2024 financial statements - Document </w:t>
      </w:r>
      <w:hyperlink r:id="rId44" w:history="1">
        <w:r w:rsidRPr="00C10B9C">
          <w:rPr>
            <w:rStyle w:val="Hyperlink"/>
            <w:b/>
            <w:bCs/>
            <w:sz w:val="24"/>
            <w:szCs w:val="24"/>
          </w:rPr>
          <w:t>CWG-FHR-20/25</w:t>
        </w:r>
      </w:hyperlink>
    </w:p>
    <w:p w14:paraId="695AEE84" w14:textId="7CAC7AE9" w:rsidR="007440F9" w:rsidRPr="00C10B9C" w:rsidRDefault="000503F4" w:rsidP="00C10B9C">
      <w:pPr>
        <w:tabs>
          <w:tab w:val="clear" w:pos="567"/>
          <w:tab w:val="left" w:pos="851"/>
        </w:tabs>
        <w:spacing w:after="120"/>
        <w:rPr>
          <w:szCs w:val="24"/>
        </w:rPr>
      </w:pPr>
      <w:r w:rsidRPr="00C10B9C">
        <w:rPr>
          <w:szCs w:val="24"/>
        </w:rPr>
        <w:t>2</w:t>
      </w:r>
      <w:r w:rsidR="00CB34EC" w:rsidRPr="00C10B9C">
        <w:rPr>
          <w:szCs w:val="24"/>
        </w:rPr>
        <w:t>4</w:t>
      </w:r>
      <w:r w:rsidR="007440F9" w:rsidRPr="00C10B9C">
        <w:rPr>
          <w:szCs w:val="24"/>
        </w:rPr>
        <w:t>.1</w:t>
      </w:r>
      <w:r w:rsidRPr="00C10B9C">
        <w:rPr>
          <w:szCs w:val="24"/>
        </w:rPr>
        <w:tab/>
      </w:r>
      <w:r w:rsidR="007440F9" w:rsidRPr="00C10B9C">
        <w:rPr>
          <w:szCs w:val="24"/>
        </w:rPr>
        <w:t>South Africa introduced Document </w:t>
      </w:r>
      <w:hyperlink r:id="rId45" w:history="1">
        <w:r w:rsidR="007440F9" w:rsidRPr="00C10B9C">
          <w:rPr>
            <w:rStyle w:val="Hyperlink"/>
            <w:szCs w:val="24"/>
          </w:rPr>
          <w:t>CWG-FHR-20/25</w:t>
        </w:r>
      </w:hyperlink>
      <w:r w:rsidR="007440F9" w:rsidRPr="00C10B9C">
        <w:rPr>
          <w:szCs w:val="24"/>
        </w:rPr>
        <w:t xml:space="preserve"> </w:t>
      </w:r>
      <w:r w:rsidR="00766172" w:rsidRPr="00C10B9C">
        <w:rPr>
          <w:szCs w:val="24"/>
        </w:rPr>
        <w:t xml:space="preserve">- </w:t>
      </w:r>
      <w:r w:rsidR="007440F9" w:rsidRPr="00C10B9C">
        <w:rPr>
          <w:szCs w:val="24"/>
        </w:rPr>
        <w:t>Submission and consideration of the 2024 financial statements.</w:t>
      </w:r>
    </w:p>
    <w:p w14:paraId="607D3E4E" w14:textId="56EC0CB8" w:rsidR="007440F9" w:rsidRPr="00C10B9C" w:rsidRDefault="000503F4" w:rsidP="00C10B9C">
      <w:pPr>
        <w:tabs>
          <w:tab w:val="clear" w:pos="567"/>
          <w:tab w:val="left" w:pos="851"/>
        </w:tabs>
        <w:spacing w:after="120"/>
        <w:rPr>
          <w:szCs w:val="24"/>
        </w:rPr>
      </w:pPr>
      <w:r w:rsidRPr="00C10B9C">
        <w:rPr>
          <w:szCs w:val="24"/>
        </w:rPr>
        <w:t>2</w:t>
      </w:r>
      <w:r w:rsidR="00CB34EC" w:rsidRPr="00C10B9C">
        <w:rPr>
          <w:szCs w:val="24"/>
        </w:rPr>
        <w:t>4</w:t>
      </w:r>
      <w:r w:rsidRPr="00C10B9C">
        <w:rPr>
          <w:szCs w:val="24"/>
        </w:rPr>
        <w:t>.2</w:t>
      </w:r>
      <w:r w:rsidRPr="00C10B9C">
        <w:rPr>
          <w:szCs w:val="24"/>
        </w:rPr>
        <w:tab/>
      </w:r>
      <w:r w:rsidR="007440F9" w:rsidRPr="00C10B9C">
        <w:rPr>
          <w:szCs w:val="24"/>
        </w:rPr>
        <w:t>The document stressed the need for the ITU to return to its standard financial reporting cycle for the 2024 financial statements, ensuring a thorough review and transparent governance process.</w:t>
      </w:r>
    </w:p>
    <w:p w14:paraId="3FCC15F2" w14:textId="7ACA9EA5" w:rsidR="007440F9" w:rsidRPr="00C10B9C" w:rsidRDefault="000503F4" w:rsidP="00C10B9C">
      <w:pPr>
        <w:tabs>
          <w:tab w:val="clear" w:pos="567"/>
          <w:tab w:val="left" w:pos="851"/>
        </w:tabs>
        <w:spacing w:after="120"/>
        <w:rPr>
          <w:szCs w:val="24"/>
        </w:rPr>
      </w:pPr>
      <w:r w:rsidRPr="00C10B9C">
        <w:rPr>
          <w:szCs w:val="24"/>
        </w:rPr>
        <w:t>2</w:t>
      </w:r>
      <w:r w:rsidR="00CB34EC" w:rsidRPr="00C10B9C">
        <w:rPr>
          <w:szCs w:val="24"/>
        </w:rPr>
        <w:t>4</w:t>
      </w:r>
      <w:r w:rsidRPr="00C10B9C">
        <w:rPr>
          <w:szCs w:val="24"/>
        </w:rPr>
        <w:t>.3</w:t>
      </w:r>
      <w:r w:rsidRPr="00C10B9C">
        <w:rPr>
          <w:szCs w:val="24"/>
        </w:rPr>
        <w:tab/>
      </w:r>
      <w:r w:rsidR="007440F9" w:rsidRPr="00C10B9C">
        <w:rPr>
          <w:szCs w:val="24"/>
        </w:rPr>
        <w:t>It is therefore requested that the financial statements for 2024 be evaluated by the Council Working Group on Financial and Human Resources before they are submitted for final approval at the 2025 ordinary session of the ITU Council. This review is vital for effective financial oversight, accountability, and transparency within the organization</w:t>
      </w:r>
    </w:p>
    <w:p w14:paraId="1372B610" w14:textId="4F635091" w:rsidR="007440F9" w:rsidRPr="00C10B9C" w:rsidRDefault="000503F4" w:rsidP="00C10B9C">
      <w:pPr>
        <w:tabs>
          <w:tab w:val="clear" w:pos="567"/>
          <w:tab w:val="left" w:pos="851"/>
        </w:tabs>
        <w:spacing w:after="120"/>
        <w:rPr>
          <w:szCs w:val="24"/>
        </w:rPr>
      </w:pPr>
      <w:r w:rsidRPr="00C10B9C">
        <w:rPr>
          <w:szCs w:val="24"/>
        </w:rPr>
        <w:t>2</w:t>
      </w:r>
      <w:r w:rsidR="00CB34EC" w:rsidRPr="00C10B9C">
        <w:rPr>
          <w:szCs w:val="24"/>
        </w:rPr>
        <w:t>4</w:t>
      </w:r>
      <w:r w:rsidRPr="00C10B9C">
        <w:rPr>
          <w:szCs w:val="24"/>
        </w:rPr>
        <w:t>.4</w:t>
      </w:r>
      <w:r w:rsidRPr="00C10B9C">
        <w:rPr>
          <w:szCs w:val="24"/>
        </w:rPr>
        <w:tab/>
      </w:r>
      <w:r w:rsidR="007440F9" w:rsidRPr="00C10B9C">
        <w:rPr>
          <w:szCs w:val="24"/>
        </w:rPr>
        <w:t>Some delegates expressed their concern about the delay in the presentation of the final audit report which restricted the Council's ability to engage fully with the material, undermining effective financial oversight and governance.</w:t>
      </w:r>
    </w:p>
    <w:p w14:paraId="32BF52CA" w14:textId="44A017F1" w:rsidR="007440F9" w:rsidRPr="00C10B9C" w:rsidRDefault="000503F4" w:rsidP="00C10B9C">
      <w:pPr>
        <w:tabs>
          <w:tab w:val="clear" w:pos="567"/>
          <w:tab w:val="left" w:pos="851"/>
        </w:tabs>
        <w:spacing w:after="120"/>
        <w:rPr>
          <w:szCs w:val="24"/>
        </w:rPr>
      </w:pPr>
      <w:r w:rsidRPr="00C10B9C">
        <w:rPr>
          <w:szCs w:val="24"/>
        </w:rPr>
        <w:t>2</w:t>
      </w:r>
      <w:r w:rsidR="00CB34EC" w:rsidRPr="00C10B9C">
        <w:rPr>
          <w:szCs w:val="24"/>
        </w:rPr>
        <w:t>4</w:t>
      </w:r>
      <w:r w:rsidR="007440F9" w:rsidRPr="00C10B9C">
        <w:rPr>
          <w:szCs w:val="24"/>
        </w:rPr>
        <w:t>.5</w:t>
      </w:r>
      <w:r w:rsidRPr="00C10B9C">
        <w:rPr>
          <w:szCs w:val="24"/>
        </w:rPr>
        <w:tab/>
      </w:r>
      <w:r w:rsidR="007440F9" w:rsidRPr="00C10B9C">
        <w:rPr>
          <w:szCs w:val="24"/>
        </w:rPr>
        <w:t xml:space="preserve">The secretariat </w:t>
      </w:r>
      <w:r w:rsidR="00AC016E" w:rsidRPr="00C10B9C">
        <w:rPr>
          <w:szCs w:val="24"/>
        </w:rPr>
        <w:t xml:space="preserve">expressed its appreciation to the </w:t>
      </w:r>
      <w:r w:rsidR="00C86F5F" w:rsidRPr="00C10B9C">
        <w:rPr>
          <w:szCs w:val="24"/>
        </w:rPr>
        <w:t xml:space="preserve">delegates </w:t>
      </w:r>
      <w:r w:rsidR="007440F9" w:rsidRPr="00C10B9C">
        <w:rPr>
          <w:szCs w:val="24"/>
        </w:rPr>
        <w:t>for their comments and their willingness to consider any possibilities which could enhance the transparency for all the financial documents</w:t>
      </w:r>
      <w:r w:rsidR="00766172" w:rsidRPr="00C10B9C">
        <w:rPr>
          <w:szCs w:val="24"/>
        </w:rPr>
        <w:t xml:space="preserve"> and</w:t>
      </w:r>
      <w:r w:rsidR="00C86F5F" w:rsidRPr="00C10B9C">
        <w:rPr>
          <w:szCs w:val="24"/>
        </w:rPr>
        <w:t xml:space="preserve"> stressed </w:t>
      </w:r>
      <w:r w:rsidR="007440F9" w:rsidRPr="00C10B9C">
        <w:rPr>
          <w:szCs w:val="24"/>
        </w:rPr>
        <w:t>that the financial statement</w:t>
      </w:r>
      <w:r w:rsidR="00C86F5F" w:rsidRPr="00C10B9C">
        <w:rPr>
          <w:szCs w:val="24"/>
        </w:rPr>
        <w:t>s</w:t>
      </w:r>
      <w:r w:rsidR="007440F9" w:rsidRPr="00C10B9C">
        <w:rPr>
          <w:szCs w:val="24"/>
        </w:rPr>
        <w:t xml:space="preserve"> and </w:t>
      </w:r>
      <w:r w:rsidR="00C86F5F" w:rsidRPr="00C10B9C">
        <w:rPr>
          <w:szCs w:val="24"/>
        </w:rPr>
        <w:t xml:space="preserve">the </w:t>
      </w:r>
      <w:r w:rsidR="007440F9" w:rsidRPr="00C10B9C">
        <w:rPr>
          <w:szCs w:val="24"/>
        </w:rPr>
        <w:t xml:space="preserve">final audit report </w:t>
      </w:r>
      <w:r w:rsidR="00C86F5F" w:rsidRPr="00C10B9C">
        <w:rPr>
          <w:szCs w:val="24"/>
        </w:rPr>
        <w:t>are</w:t>
      </w:r>
      <w:r w:rsidR="007440F9" w:rsidRPr="00C10B9C">
        <w:rPr>
          <w:szCs w:val="24"/>
        </w:rPr>
        <w:t xml:space="preserve"> also provided and discussed with the IMAC </w:t>
      </w:r>
      <w:r w:rsidR="00C86F5F" w:rsidRPr="00C10B9C">
        <w:rPr>
          <w:szCs w:val="24"/>
        </w:rPr>
        <w:t>M</w:t>
      </w:r>
      <w:r w:rsidR="007440F9" w:rsidRPr="00C10B9C">
        <w:rPr>
          <w:szCs w:val="24"/>
        </w:rPr>
        <w:t>embers prior to the Council session. The secretariat proposed to reinstate during the Council an information session with the external auditors to allow a direct dialogue on audit findings.</w:t>
      </w:r>
    </w:p>
    <w:p w14:paraId="70D7D417" w14:textId="7E704D84" w:rsidR="007440F9" w:rsidRPr="00C10B9C" w:rsidRDefault="000503F4" w:rsidP="000B1885">
      <w:pPr>
        <w:keepNext/>
        <w:keepLines/>
        <w:tabs>
          <w:tab w:val="clear" w:pos="567"/>
          <w:tab w:val="left" w:pos="851"/>
        </w:tabs>
        <w:spacing w:after="120"/>
        <w:rPr>
          <w:szCs w:val="24"/>
        </w:rPr>
      </w:pPr>
      <w:r w:rsidRPr="00C10B9C">
        <w:rPr>
          <w:szCs w:val="24"/>
        </w:rPr>
        <w:lastRenderedPageBreak/>
        <w:t>2</w:t>
      </w:r>
      <w:r w:rsidR="00CB34EC" w:rsidRPr="00C10B9C">
        <w:rPr>
          <w:szCs w:val="24"/>
        </w:rPr>
        <w:t>4</w:t>
      </w:r>
      <w:r w:rsidR="007440F9" w:rsidRPr="00C10B9C">
        <w:rPr>
          <w:szCs w:val="24"/>
        </w:rPr>
        <w:t>.6</w:t>
      </w:r>
      <w:r w:rsidRPr="00C10B9C">
        <w:rPr>
          <w:szCs w:val="24"/>
        </w:rPr>
        <w:tab/>
      </w:r>
      <w:r w:rsidR="007440F9" w:rsidRPr="00C10B9C">
        <w:rPr>
          <w:szCs w:val="24"/>
        </w:rPr>
        <w:t xml:space="preserve">As a way forward and considering the strong support received on this contribution the </w:t>
      </w:r>
      <w:r w:rsidR="00C86F5F" w:rsidRPr="00C10B9C">
        <w:rPr>
          <w:szCs w:val="24"/>
        </w:rPr>
        <w:t>C</w:t>
      </w:r>
      <w:r w:rsidR="007440F9" w:rsidRPr="00C10B9C">
        <w:rPr>
          <w:szCs w:val="24"/>
        </w:rPr>
        <w:t xml:space="preserve">hair urged the secretariat to organize a virtual meeting of the CWG-FHR after the publication of the final audit report and before the next </w:t>
      </w:r>
      <w:r w:rsidR="00C86F5F" w:rsidRPr="00C10B9C">
        <w:rPr>
          <w:szCs w:val="24"/>
        </w:rPr>
        <w:t>C</w:t>
      </w:r>
      <w:r w:rsidR="007440F9" w:rsidRPr="00C10B9C">
        <w:rPr>
          <w:szCs w:val="24"/>
        </w:rPr>
        <w:t xml:space="preserve">ouncil session to discuss </w:t>
      </w:r>
      <w:r w:rsidR="00C86F5F" w:rsidRPr="00C10B9C">
        <w:rPr>
          <w:szCs w:val="24"/>
        </w:rPr>
        <w:t xml:space="preserve">further </w:t>
      </w:r>
      <w:r w:rsidR="007440F9" w:rsidRPr="00C10B9C">
        <w:rPr>
          <w:szCs w:val="24"/>
        </w:rPr>
        <w:t>the financial documents.</w:t>
      </w:r>
    </w:p>
    <w:p w14:paraId="0806942F" w14:textId="727DB235" w:rsidR="00DA4181" w:rsidRPr="00C10B9C" w:rsidRDefault="00DA4181" w:rsidP="000D2039">
      <w:pPr>
        <w:tabs>
          <w:tab w:val="clear" w:pos="567"/>
          <w:tab w:val="clear" w:pos="1134"/>
          <w:tab w:val="clear" w:pos="1701"/>
          <w:tab w:val="clear" w:pos="2268"/>
          <w:tab w:val="clear" w:pos="2835"/>
        </w:tabs>
        <w:overflowPunct/>
        <w:autoSpaceDE/>
        <w:autoSpaceDN/>
        <w:adjustRightInd/>
        <w:spacing w:before="480" w:after="120"/>
        <w:ind w:left="720" w:hanging="720"/>
        <w:textAlignment w:val="auto"/>
        <w:rPr>
          <w:b/>
          <w:bCs/>
          <w:szCs w:val="24"/>
        </w:rPr>
      </w:pPr>
      <w:r w:rsidRPr="00C10B9C">
        <w:rPr>
          <w:rFonts w:cs="Calibri"/>
          <w:b/>
          <w:bCs/>
          <w:szCs w:val="24"/>
        </w:rPr>
        <w:t>2</w:t>
      </w:r>
      <w:r w:rsidR="00CB34EC" w:rsidRPr="00C10B9C">
        <w:rPr>
          <w:rFonts w:cs="Calibri"/>
          <w:b/>
          <w:bCs/>
          <w:szCs w:val="24"/>
        </w:rPr>
        <w:t>5</w:t>
      </w:r>
      <w:r w:rsidRPr="00C10B9C">
        <w:rPr>
          <w:rFonts w:cs="Calibri"/>
          <w:b/>
          <w:bCs/>
          <w:szCs w:val="24"/>
        </w:rPr>
        <w:tab/>
      </w:r>
      <w:r w:rsidRPr="00C10B9C">
        <w:rPr>
          <w:b/>
          <w:bCs/>
          <w:szCs w:val="24"/>
        </w:rPr>
        <w:t>Renewal of the mandate of the External Auditor - The United Kingdom's National Audit Office (NAO) - for a period of two years – Document </w:t>
      </w:r>
      <w:hyperlink r:id="rId46" w:history="1">
        <w:r w:rsidRPr="00C10B9C">
          <w:rPr>
            <w:rStyle w:val="Hyperlink"/>
            <w:b/>
            <w:bCs/>
            <w:szCs w:val="24"/>
          </w:rPr>
          <w:t>CWG-FHR-20/19</w:t>
        </w:r>
      </w:hyperlink>
    </w:p>
    <w:p w14:paraId="16770142" w14:textId="0C69CB87" w:rsidR="007440F9" w:rsidRPr="00C10B9C" w:rsidRDefault="000503F4" w:rsidP="00C10B9C">
      <w:pPr>
        <w:tabs>
          <w:tab w:val="clear" w:pos="567"/>
          <w:tab w:val="left" w:pos="851"/>
        </w:tabs>
        <w:spacing w:after="120"/>
        <w:rPr>
          <w:szCs w:val="24"/>
        </w:rPr>
      </w:pPr>
      <w:r w:rsidRPr="00C10B9C">
        <w:rPr>
          <w:szCs w:val="24"/>
        </w:rPr>
        <w:t>2</w:t>
      </w:r>
      <w:r w:rsidR="00CB34EC" w:rsidRPr="00C10B9C">
        <w:rPr>
          <w:szCs w:val="24"/>
        </w:rPr>
        <w:t>5</w:t>
      </w:r>
      <w:r w:rsidR="007440F9" w:rsidRPr="00C10B9C">
        <w:rPr>
          <w:szCs w:val="24"/>
        </w:rPr>
        <w:t>.1</w:t>
      </w:r>
      <w:r w:rsidRPr="00C10B9C">
        <w:rPr>
          <w:szCs w:val="24"/>
        </w:rPr>
        <w:tab/>
      </w:r>
      <w:r w:rsidR="007440F9" w:rsidRPr="00C10B9C">
        <w:rPr>
          <w:szCs w:val="24"/>
        </w:rPr>
        <w:t xml:space="preserve">The secretariat introduced Document CWG-FHR-20/19 - </w:t>
      </w:r>
      <w:r w:rsidR="007440F9" w:rsidRPr="000B1885">
        <w:rPr>
          <w:spacing w:val="-2"/>
          <w:szCs w:val="24"/>
        </w:rPr>
        <w:t>Renewal of the mandate of the External Auditor - The United Kingdom's National Audit Office (NAO) - for a period of two years.</w:t>
      </w:r>
      <w:r w:rsidR="007440F9" w:rsidRPr="00C10B9C">
        <w:rPr>
          <w:szCs w:val="24"/>
        </w:rPr>
        <w:t xml:space="preserve"> </w:t>
      </w:r>
    </w:p>
    <w:p w14:paraId="6E780E73" w14:textId="29602D39" w:rsidR="007440F9" w:rsidRPr="00C10B9C" w:rsidRDefault="000503F4" w:rsidP="00C10B9C">
      <w:pPr>
        <w:tabs>
          <w:tab w:val="clear" w:pos="567"/>
          <w:tab w:val="left" w:pos="851"/>
        </w:tabs>
        <w:spacing w:after="120"/>
        <w:rPr>
          <w:szCs w:val="24"/>
        </w:rPr>
      </w:pPr>
      <w:r w:rsidRPr="00C10B9C">
        <w:rPr>
          <w:szCs w:val="24"/>
        </w:rPr>
        <w:t>2</w:t>
      </w:r>
      <w:r w:rsidR="00CB34EC" w:rsidRPr="00C10B9C">
        <w:rPr>
          <w:szCs w:val="24"/>
        </w:rPr>
        <w:t>5</w:t>
      </w:r>
      <w:r w:rsidR="007440F9" w:rsidRPr="00C10B9C">
        <w:rPr>
          <w:szCs w:val="24"/>
        </w:rPr>
        <w:t>.2</w:t>
      </w:r>
      <w:r w:rsidRPr="00C10B9C">
        <w:rPr>
          <w:szCs w:val="24"/>
        </w:rPr>
        <w:tab/>
      </w:r>
      <w:r w:rsidR="007440F9" w:rsidRPr="00C10B9C">
        <w:rPr>
          <w:szCs w:val="24"/>
        </w:rPr>
        <w:t>The document proposed the renewal of the mandate of the United Kingdom's National Audit Office (NAO) as the External Auditor for the ITU for the auditing of the 2026 and 2027 financial statements. The current mandate for auditing the 2022-2025 financial statements will end on 30 June 2026. The renewal is recommended for a two-year period to cover the upcoming financial periods. This recommendation and the draft decision will be submitted for approval at the next Council session.</w:t>
      </w:r>
    </w:p>
    <w:p w14:paraId="0ECF4AF1" w14:textId="2AF509A7" w:rsidR="007440F9" w:rsidRPr="00C10B9C" w:rsidRDefault="00091345" w:rsidP="00C10B9C">
      <w:pPr>
        <w:tabs>
          <w:tab w:val="clear" w:pos="567"/>
          <w:tab w:val="clear" w:pos="1134"/>
          <w:tab w:val="clear" w:pos="1701"/>
          <w:tab w:val="clear" w:pos="2268"/>
          <w:tab w:val="clear" w:pos="2835"/>
          <w:tab w:val="left" w:pos="851"/>
        </w:tabs>
        <w:spacing w:after="120"/>
        <w:rPr>
          <w:szCs w:val="24"/>
        </w:rPr>
      </w:pPr>
      <w:r w:rsidRPr="00C10B9C">
        <w:rPr>
          <w:szCs w:val="24"/>
        </w:rPr>
        <w:t>2</w:t>
      </w:r>
      <w:r w:rsidR="00CB34EC" w:rsidRPr="00C10B9C">
        <w:rPr>
          <w:szCs w:val="24"/>
        </w:rPr>
        <w:t>5</w:t>
      </w:r>
      <w:r w:rsidR="007440F9" w:rsidRPr="00C10B9C">
        <w:rPr>
          <w:szCs w:val="24"/>
        </w:rPr>
        <w:t>.3</w:t>
      </w:r>
      <w:r w:rsidRPr="00C10B9C">
        <w:rPr>
          <w:szCs w:val="24"/>
        </w:rPr>
        <w:tab/>
        <w:t xml:space="preserve">Several </w:t>
      </w:r>
      <w:r w:rsidR="007440F9" w:rsidRPr="00C10B9C">
        <w:rPr>
          <w:szCs w:val="24"/>
        </w:rPr>
        <w:t>delegat</w:t>
      </w:r>
      <w:r w:rsidRPr="00C10B9C">
        <w:rPr>
          <w:szCs w:val="24"/>
        </w:rPr>
        <w:t>es</w:t>
      </w:r>
      <w:r w:rsidR="007440F9" w:rsidRPr="00C10B9C">
        <w:rPr>
          <w:szCs w:val="24"/>
        </w:rPr>
        <w:t xml:space="preserve"> thanked the United Kingdom's National Audit Office (NAO) for their work but mentioned the importance of going back to its standard financial reporting cycle for the 2024 financial statements.</w:t>
      </w:r>
    </w:p>
    <w:p w14:paraId="417AA816" w14:textId="6C070D9E" w:rsidR="007440F9" w:rsidRPr="00C10B9C" w:rsidRDefault="00091345" w:rsidP="00C10B9C">
      <w:pPr>
        <w:tabs>
          <w:tab w:val="clear" w:pos="567"/>
          <w:tab w:val="left" w:pos="851"/>
        </w:tabs>
        <w:spacing w:after="120"/>
        <w:rPr>
          <w:szCs w:val="24"/>
        </w:rPr>
      </w:pPr>
      <w:r w:rsidRPr="00C10B9C">
        <w:rPr>
          <w:szCs w:val="24"/>
        </w:rPr>
        <w:t>2</w:t>
      </w:r>
      <w:r w:rsidR="00CB34EC" w:rsidRPr="00C10B9C">
        <w:rPr>
          <w:szCs w:val="24"/>
        </w:rPr>
        <w:t>5</w:t>
      </w:r>
      <w:r w:rsidR="007440F9" w:rsidRPr="00C10B9C">
        <w:rPr>
          <w:szCs w:val="24"/>
        </w:rPr>
        <w:t>.4</w:t>
      </w:r>
      <w:r w:rsidRPr="00C10B9C">
        <w:rPr>
          <w:szCs w:val="24"/>
        </w:rPr>
        <w:tab/>
        <w:t xml:space="preserve">Some </w:t>
      </w:r>
      <w:r w:rsidR="007440F9" w:rsidRPr="00C10B9C">
        <w:rPr>
          <w:szCs w:val="24"/>
        </w:rPr>
        <w:t>delegates mentioned the need of stability concerning the audit of the financial statements and expressed their full support to the renewal of the mandate of the United Kingdom's National Audit Office (NAO) as external auditors</w:t>
      </w:r>
      <w:r w:rsidR="00DE5AA7" w:rsidRPr="00C10B9C">
        <w:rPr>
          <w:szCs w:val="24"/>
        </w:rPr>
        <w:t>.</w:t>
      </w:r>
    </w:p>
    <w:p w14:paraId="198F3819" w14:textId="2021EC52" w:rsidR="007440F9" w:rsidRPr="00C10B9C" w:rsidRDefault="00091345" w:rsidP="00C10B9C">
      <w:pPr>
        <w:tabs>
          <w:tab w:val="clear" w:pos="567"/>
          <w:tab w:val="left" w:pos="851"/>
        </w:tabs>
        <w:spacing w:after="120"/>
        <w:rPr>
          <w:szCs w:val="24"/>
        </w:rPr>
      </w:pPr>
      <w:r w:rsidRPr="00C10B9C">
        <w:rPr>
          <w:szCs w:val="24"/>
        </w:rPr>
        <w:t>2</w:t>
      </w:r>
      <w:r w:rsidR="00CB34EC" w:rsidRPr="00C10B9C">
        <w:rPr>
          <w:szCs w:val="24"/>
        </w:rPr>
        <w:t>5</w:t>
      </w:r>
      <w:r w:rsidR="007440F9" w:rsidRPr="00C10B9C">
        <w:rPr>
          <w:szCs w:val="24"/>
        </w:rPr>
        <w:t>.5</w:t>
      </w:r>
      <w:r w:rsidRPr="00C10B9C">
        <w:rPr>
          <w:szCs w:val="24"/>
        </w:rPr>
        <w:tab/>
      </w:r>
      <w:r w:rsidR="007440F9" w:rsidRPr="00C10B9C">
        <w:rPr>
          <w:szCs w:val="24"/>
        </w:rPr>
        <w:t>The secretariat brought some explanations on the financial and human impacts of a non</w:t>
      </w:r>
      <w:r w:rsidR="00DE5AA7" w:rsidRPr="00C10B9C">
        <w:rPr>
          <w:szCs w:val="24"/>
        </w:rPr>
        <w:t>-</w:t>
      </w:r>
      <w:r w:rsidR="007440F9" w:rsidRPr="00C10B9C">
        <w:rPr>
          <w:szCs w:val="24"/>
        </w:rPr>
        <w:t>renewal of the mandate and outlined the support brought by NAO to the management in their transformation process and the need of stability to continue and achieve this transformation.</w:t>
      </w:r>
    </w:p>
    <w:p w14:paraId="2667E456" w14:textId="057FB5E2" w:rsidR="007440F9" w:rsidRPr="00C10B9C" w:rsidRDefault="00DE5AA7" w:rsidP="00C10B9C">
      <w:pPr>
        <w:tabs>
          <w:tab w:val="clear" w:pos="567"/>
          <w:tab w:val="left" w:pos="851"/>
        </w:tabs>
        <w:spacing w:after="120"/>
        <w:rPr>
          <w:szCs w:val="24"/>
        </w:rPr>
      </w:pPr>
      <w:r w:rsidRPr="00C10B9C">
        <w:rPr>
          <w:szCs w:val="24"/>
        </w:rPr>
        <w:t>2</w:t>
      </w:r>
      <w:r w:rsidR="00CB34EC" w:rsidRPr="00C10B9C">
        <w:rPr>
          <w:szCs w:val="24"/>
        </w:rPr>
        <w:t>5</w:t>
      </w:r>
      <w:r w:rsidR="007440F9" w:rsidRPr="00C10B9C">
        <w:rPr>
          <w:szCs w:val="24"/>
        </w:rPr>
        <w:t>.6</w:t>
      </w:r>
      <w:r w:rsidRPr="00C10B9C">
        <w:rPr>
          <w:szCs w:val="24"/>
        </w:rPr>
        <w:tab/>
      </w:r>
      <w:r w:rsidR="007440F9" w:rsidRPr="00C10B9C">
        <w:rPr>
          <w:szCs w:val="24"/>
        </w:rPr>
        <w:t xml:space="preserve">The </w:t>
      </w:r>
      <w:r w:rsidRPr="00C10B9C">
        <w:rPr>
          <w:szCs w:val="24"/>
        </w:rPr>
        <w:t>C</w:t>
      </w:r>
      <w:r w:rsidR="007440F9" w:rsidRPr="00C10B9C">
        <w:rPr>
          <w:szCs w:val="24"/>
        </w:rPr>
        <w:t>hair</w:t>
      </w:r>
      <w:r w:rsidRPr="00C10B9C">
        <w:rPr>
          <w:szCs w:val="24"/>
        </w:rPr>
        <w:t xml:space="preserve">, </w:t>
      </w:r>
      <w:r w:rsidR="007440F9" w:rsidRPr="00C10B9C">
        <w:rPr>
          <w:szCs w:val="24"/>
        </w:rPr>
        <w:t xml:space="preserve">considering the support of </w:t>
      </w:r>
      <w:proofErr w:type="gramStart"/>
      <w:r w:rsidR="007440F9" w:rsidRPr="00C10B9C">
        <w:rPr>
          <w:szCs w:val="24"/>
        </w:rPr>
        <w:t>the majority of</w:t>
      </w:r>
      <w:proofErr w:type="gramEnd"/>
      <w:r w:rsidR="007440F9" w:rsidRPr="00C10B9C">
        <w:rPr>
          <w:szCs w:val="24"/>
        </w:rPr>
        <w:t xml:space="preserve"> </w:t>
      </w:r>
      <w:r w:rsidRPr="00C10B9C">
        <w:rPr>
          <w:szCs w:val="24"/>
        </w:rPr>
        <w:t xml:space="preserve">delegates, would recommend to Council-25 the </w:t>
      </w:r>
      <w:r w:rsidR="007440F9" w:rsidRPr="00C10B9C">
        <w:rPr>
          <w:szCs w:val="24"/>
        </w:rPr>
        <w:t>renewal of the mandate of the United Kingdom's National Audit Office (NAO)</w:t>
      </w:r>
      <w:r w:rsidRPr="00C10B9C">
        <w:rPr>
          <w:szCs w:val="24"/>
        </w:rPr>
        <w:t>.</w:t>
      </w:r>
    </w:p>
    <w:p w14:paraId="7AAF7521" w14:textId="0A6E1E73" w:rsidR="007440F9" w:rsidRPr="00C10B9C" w:rsidRDefault="00DE5AA7" w:rsidP="00C10B9C">
      <w:pPr>
        <w:tabs>
          <w:tab w:val="clear" w:pos="567"/>
          <w:tab w:val="left" w:pos="851"/>
        </w:tabs>
        <w:spacing w:after="120"/>
        <w:rPr>
          <w:szCs w:val="24"/>
        </w:rPr>
      </w:pPr>
      <w:r w:rsidRPr="00C10B9C">
        <w:rPr>
          <w:szCs w:val="24"/>
        </w:rPr>
        <w:t>2</w:t>
      </w:r>
      <w:r w:rsidR="00CB34EC" w:rsidRPr="00C10B9C">
        <w:rPr>
          <w:szCs w:val="24"/>
        </w:rPr>
        <w:t>5</w:t>
      </w:r>
      <w:r w:rsidRPr="00C10B9C">
        <w:rPr>
          <w:szCs w:val="24"/>
        </w:rPr>
        <w:t>.7</w:t>
      </w:r>
      <w:r w:rsidRPr="00C10B9C">
        <w:rPr>
          <w:szCs w:val="24"/>
        </w:rPr>
        <w:tab/>
        <w:t xml:space="preserve">One delegation requested that </w:t>
      </w:r>
      <w:r w:rsidR="007440F9" w:rsidRPr="00C10B9C">
        <w:rPr>
          <w:szCs w:val="24"/>
        </w:rPr>
        <w:t xml:space="preserve">the below statement be </w:t>
      </w:r>
      <w:r w:rsidRPr="00C10B9C">
        <w:rPr>
          <w:szCs w:val="24"/>
        </w:rPr>
        <w:t xml:space="preserve">included in the report </w:t>
      </w:r>
      <w:r w:rsidR="007440F9" w:rsidRPr="00C10B9C">
        <w:rPr>
          <w:szCs w:val="24"/>
        </w:rPr>
        <w:t xml:space="preserve">to </w:t>
      </w:r>
      <w:r w:rsidRPr="00C10B9C">
        <w:rPr>
          <w:szCs w:val="24"/>
        </w:rPr>
        <w:t xml:space="preserve">Council to </w:t>
      </w:r>
      <w:r w:rsidR="007440F9" w:rsidRPr="00C10B9C">
        <w:rPr>
          <w:szCs w:val="24"/>
        </w:rPr>
        <w:t>reflect the view</w:t>
      </w:r>
      <w:r w:rsidRPr="00C10B9C">
        <w:rPr>
          <w:szCs w:val="24"/>
        </w:rPr>
        <w:t>s</w:t>
      </w:r>
      <w:r w:rsidR="007440F9" w:rsidRPr="00C10B9C">
        <w:rPr>
          <w:szCs w:val="24"/>
        </w:rPr>
        <w:t xml:space="preserve"> of several delegations</w:t>
      </w:r>
      <w:r w:rsidRPr="00C10B9C">
        <w:rPr>
          <w:szCs w:val="24"/>
        </w:rPr>
        <w:t>:</w:t>
      </w:r>
    </w:p>
    <w:p w14:paraId="657D6420" w14:textId="1494E61E" w:rsidR="007440F9" w:rsidRPr="00C10B9C" w:rsidRDefault="00130AC0" w:rsidP="00C10B9C">
      <w:pPr>
        <w:spacing w:after="120"/>
        <w:rPr>
          <w:szCs w:val="24"/>
        </w:rPr>
      </w:pPr>
      <w:r w:rsidRPr="00C10B9C">
        <w:rPr>
          <w:szCs w:val="24"/>
        </w:rPr>
        <w:t>“</w:t>
      </w:r>
      <w:r w:rsidRPr="00C10B9C">
        <w:rPr>
          <w:rFonts w:hint="eastAsia"/>
          <w:szCs w:val="24"/>
        </w:rPr>
        <w:t xml:space="preserve">Some </w:t>
      </w:r>
      <w:r w:rsidR="007873C7" w:rsidRPr="00C10B9C">
        <w:rPr>
          <w:szCs w:val="24"/>
        </w:rPr>
        <w:t xml:space="preserve">delegates </w:t>
      </w:r>
      <w:r w:rsidRPr="00C10B9C">
        <w:rPr>
          <w:rFonts w:hint="eastAsia"/>
          <w:szCs w:val="24"/>
        </w:rPr>
        <w:t>pointed out that the 2023 External Auditor's Report on ITU's 2023 Financial</w:t>
      </w:r>
      <w:r w:rsidRPr="00C10B9C">
        <w:rPr>
          <w:szCs w:val="24"/>
        </w:rPr>
        <w:t xml:space="preserve"> </w:t>
      </w:r>
      <w:r w:rsidRPr="00C10B9C">
        <w:rPr>
          <w:rFonts w:hint="eastAsia"/>
          <w:szCs w:val="24"/>
        </w:rPr>
        <w:t>Statement</w:t>
      </w:r>
      <w:r w:rsidR="00DE5AA7" w:rsidRPr="00C10B9C">
        <w:rPr>
          <w:szCs w:val="24"/>
        </w:rPr>
        <w:t>s</w:t>
      </w:r>
      <w:r w:rsidRPr="00C10B9C">
        <w:rPr>
          <w:rFonts w:hint="eastAsia"/>
          <w:szCs w:val="24"/>
        </w:rPr>
        <w:t xml:space="preserve"> and 2023 Financial Operating Report did not provide sufficient information on the financial impact </w:t>
      </w:r>
      <w:r w:rsidR="007873C7" w:rsidRPr="00C10B9C">
        <w:rPr>
          <w:szCs w:val="24"/>
        </w:rPr>
        <w:t xml:space="preserve">accrued </w:t>
      </w:r>
      <w:r w:rsidRPr="00C10B9C">
        <w:rPr>
          <w:rFonts w:hint="eastAsia"/>
          <w:szCs w:val="24"/>
        </w:rPr>
        <w:t xml:space="preserve">by the relevant ILO Tribunal </w:t>
      </w:r>
      <w:proofErr w:type="gramStart"/>
      <w:r w:rsidRPr="00C10B9C">
        <w:rPr>
          <w:rFonts w:hint="eastAsia"/>
          <w:szCs w:val="24"/>
        </w:rPr>
        <w:t>cases, and</w:t>
      </w:r>
      <w:proofErr w:type="gramEnd"/>
      <w:r w:rsidRPr="00C10B9C">
        <w:rPr>
          <w:rFonts w:hint="eastAsia"/>
          <w:szCs w:val="24"/>
        </w:rPr>
        <w:t xml:space="preserve"> requested that such detailed information should be clearly incorporated in the 2024 audited financial </w:t>
      </w:r>
      <w:r w:rsidR="007873C7" w:rsidRPr="00C10B9C">
        <w:rPr>
          <w:szCs w:val="24"/>
        </w:rPr>
        <w:t xml:space="preserve">operating </w:t>
      </w:r>
      <w:r w:rsidRPr="00C10B9C">
        <w:rPr>
          <w:rFonts w:hint="eastAsia"/>
          <w:szCs w:val="24"/>
        </w:rPr>
        <w:t>report to be submitted for transpar</w:t>
      </w:r>
      <w:r w:rsidR="007873C7" w:rsidRPr="00C10B9C">
        <w:rPr>
          <w:szCs w:val="24"/>
        </w:rPr>
        <w:t>e</w:t>
      </w:r>
      <w:r w:rsidRPr="00C10B9C">
        <w:rPr>
          <w:rFonts w:hint="eastAsia"/>
          <w:szCs w:val="24"/>
        </w:rPr>
        <w:t xml:space="preserve">ncy of the </w:t>
      </w:r>
      <w:r w:rsidR="00C10B9C" w:rsidRPr="00C10B9C">
        <w:rPr>
          <w:szCs w:val="24"/>
        </w:rPr>
        <w:t>Union “</w:t>
      </w:r>
      <w:r w:rsidR="007873C7" w:rsidRPr="00C10B9C">
        <w:rPr>
          <w:szCs w:val="24"/>
        </w:rPr>
        <w:t>.</w:t>
      </w:r>
    </w:p>
    <w:p w14:paraId="57969CB0" w14:textId="443A19BA" w:rsidR="00DA4181" w:rsidRPr="00C10B9C" w:rsidRDefault="007873C7" w:rsidP="000D2039">
      <w:pPr>
        <w:pStyle w:val="Tabletext"/>
        <w:tabs>
          <w:tab w:val="clear" w:pos="284"/>
          <w:tab w:val="clear" w:pos="567"/>
        </w:tabs>
        <w:spacing w:before="480" w:after="120"/>
        <w:ind w:left="851" w:hanging="851"/>
        <w:rPr>
          <w:b/>
          <w:bCs/>
          <w:sz w:val="24"/>
          <w:szCs w:val="24"/>
        </w:rPr>
      </w:pPr>
      <w:r w:rsidRPr="00C10B9C">
        <w:rPr>
          <w:rFonts w:cs="Calibri"/>
          <w:b/>
          <w:bCs/>
          <w:sz w:val="24"/>
          <w:szCs w:val="24"/>
        </w:rPr>
        <w:t>2</w:t>
      </w:r>
      <w:r w:rsidR="00CB34EC" w:rsidRPr="00C10B9C">
        <w:rPr>
          <w:rFonts w:cs="Calibri"/>
          <w:b/>
          <w:bCs/>
          <w:sz w:val="24"/>
          <w:szCs w:val="24"/>
        </w:rPr>
        <w:t>6</w:t>
      </w:r>
      <w:r w:rsidR="00DA4181" w:rsidRPr="00C10B9C">
        <w:rPr>
          <w:rFonts w:cs="Calibri"/>
          <w:b/>
          <w:bCs/>
          <w:sz w:val="24"/>
          <w:szCs w:val="24"/>
        </w:rPr>
        <w:tab/>
      </w:r>
      <w:r w:rsidR="00DA4181" w:rsidRPr="00C10B9C">
        <w:rPr>
          <w:b/>
          <w:bCs/>
          <w:sz w:val="24"/>
          <w:szCs w:val="24"/>
        </w:rPr>
        <w:t xml:space="preserve">Updated </w:t>
      </w:r>
      <w:proofErr w:type="gramStart"/>
      <w:r w:rsidR="00DA4181" w:rsidRPr="00C10B9C">
        <w:rPr>
          <w:b/>
          <w:bCs/>
          <w:sz w:val="24"/>
          <w:szCs w:val="24"/>
        </w:rPr>
        <w:t>report</w:t>
      </w:r>
      <w:proofErr w:type="gramEnd"/>
      <w:r w:rsidR="00DA4181" w:rsidRPr="00C10B9C">
        <w:rPr>
          <w:b/>
          <w:bCs/>
          <w:sz w:val="24"/>
          <w:szCs w:val="24"/>
        </w:rPr>
        <w:t xml:space="preserve"> on the use of consulting firms – Document </w:t>
      </w:r>
      <w:hyperlink r:id="rId47" w:history="1">
        <w:r w:rsidR="00DA4181" w:rsidRPr="00C10B9C">
          <w:rPr>
            <w:rStyle w:val="Hyperlink"/>
            <w:b/>
            <w:bCs/>
            <w:spacing w:val="-4"/>
            <w:sz w:val="24"/>
            <w:szCs w:val="24"/>
          </w:rPr>
          <w:t>CWG-FHR-20/INF/1</w:t>
        </w:r>
      </w:hyperlink>
    </w:p>
    <w:p w14:paraId="2ABD6F9E" w14:textId="2CBAA42F" w:rsidR="00B05B4E" w:rsidRPr="00C10B9C" w:rsidRDefault="007873C7" w:rsidP="00C10B9C">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color w:val="000000"/>
          <w:szCs w:val="24"/>
          <w:lang w:eastAsia="en-GB"/>
        </w:rPr>
      </w:pPr>
      <w:r w:rsidRPr="00C10B9C">
        <w:rPr>
          <w:rFonts w:cs="Calibri"/>
          <w:color w:val="000000"/>
          <w:szCs w:val="24"/>
          <w:lang w:eastAsia="en-GB"/>
        </w:rPr>
        <w:t>2</w:t>
      </w:r>
      <w:r w:rsidR="00CB34EC" w:rsidRPr="00C10B9C">
        <w:rPr>
          <w:rFonts w:cs="Calibri"/>
          <w:color w:val="000000"/>
          <w:szCs w:val="24"/>
          <w:lang w:eastAsia="en-GB"/>
        </w:rPr>
        <w:t>6</w:t>
      </w:r>
      <w:r w:rsidR="00B05B4E" w:rsidRPr="00C10B9C">
        <w:rPr>
          <w:rFonts w:cs="Calibri"/>
          <w:color w:val="000000"/>
          <w:szCs w:val="24"/>
          <w:lang w:eastAsia="en-GB"/>
        </w:rPr>
        <w:t>.1</w:t>
      </w:r>
      <w:r w:rsidR="00B05B4E" w:rsidRPr="00C10B9C">
        <w:rPr>
          <w:rFonts w:cs="Calibri"/>
          <w:color w:val="000000"/>
          <w:szCs w:val="24"/>
          <w:lang w:eastAsia="en-GB"/>
        </w:rPr>
        <w:tab/>
      </w:r>
      <w:r w:rsidR="00B05B4E" w:rsidRPr="00C10B9C">
        <w:rPr>
          <w:rFonts w:cs="Calibri"/>
          <w:color w:val="000000"/>
          <w:spacing w:val="4"/>
          <w:szCs w:val="24"/>
          <w:lang w:eastAsia="en-GB"/>
        </w:rPr>
        <w:t>Following a request by the CWG-FHR, the secretariat submitted Document</w:t>
      </w:r>
      <w:r w:rsidR="00C10B9C" w:rsidRPr="00C10B9C">
        <w:rPr>
          <w:rFonts w:cs="Calibri"/>
          <w:color w:val="000000"/>
          <w:szCs w:val="24"/>
          <w:lang w:eastAsia="en-GB"/>
        </w:rPr>
        <w:t xml:space="preserve"> </w:t>
      </w:r>
      <w:r w:rsidR="00B05B4E" w:rsidRPr="00C10B9C">
        <w:rPr>
          <w:rFonts w:cs="Calibri"/>
          <w:color w:val="000000"/>
          <w:szCs w:val="24"/>
          <w:lang w:eastAsia="en-GB"/>
        </w:rPr>
        <w:t>CWG-FHR 19/INF/1 to the October 2024 session to provide information on the use of consulting firms. During this session, some delegates requested more information about the contracts listed in the document, including purpose and outcomes. Document 20/INF/1 provides additional details to respond to these requests.</w:t>
      </w:r>
    </w:p>
    <w:p w14:paraId="406FBAD8" w14:textId="00EC0A04" w:rsidR="00B05B4E" w:rsidRPr="00C10B9C" w:rsidRDefault="007873C7" w:rsidP="00C10B9C">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color w:val="000000"/>
          <w:szCs w:val="24"/>
          <w:lang w:eastAsia="en-GB"/>
        </w:rPr>
      </w:pPr>
      <w:r w:rsidRPr="00C10B9C">
        <w:rPr>
          <w:rFonts w:cs="Calibri"/>
          <w:color w:val="000000"/>
          <w:szCs w:val="24"/>
          <w:lang w:eastAsia="en-GB"/>
        </w:rPr>
        <w:t>2</w:t>
      </w:r>
      <w:r w:rsidR="00CB34EC" w:rsidRPr="00C10B9C">
        <w:rPr>
          <w:rFonts w:cs="Calibri"/>
          <w:color w:val="000000"/>
          <w:szCs w:val="24"/>
          <w:lang w:eastAsia="en-GB"/>
        </w:rPr>
        <w:t>6</w:t>
      </w:r>
      <w:r w:rsidR="00B05B4E" w:rsidRPr="00C10B9C">
        <w:rPr>
          <w:rFonts w:cs="Calibri"/>
          <w:color w:val="000000"/>
          <w:szCs w:val="24"/>
          <w:lang w:eastAsia="en-GB"/>
        </w:rPr>
        <w:t>.2</w:t>
      </w:r>
      <w:r w:rsidR="00B05B4E" w:rsidRPr="00C10B9C">
        <w:rPr>
          <w:rFonts w:cs="Calibri"/>
          <w:color w:val="000000"/>
          <w:szCs w:val="24"/>
          <w:lang w:eastAsia="en-GB"/>
        </w:rPr>
        <w:tab/>
        <w:t xml:space="preserve">ITU makes use of consulting firms in cases where the secretariat requires specific expertise or capacity, or where use of external providers is more cost effective than using ITU’s </w:t>
      </w:r>
      <w:r w:rsidR="00B05B4E" w:rsidRPr="00C10B9C">
        <w:rPr>
          <w:rFonts w:cs="Calibri"/>
          <w:color w:val="000000"/>
          <w:szCs w:val="24"/>
          <w:lang w:eastAsia="en-GB"/>
        </w:rPr>
        <w:lastRenderedPageBreak/>
        <w:t>own resources. This report provides a table listing such consulting contracts since the last plenipotentiary conference.</w:t>
      </w:r>
    </w:p>
    <w:p w14:paraId="195FBE06" w14:textId="58D54B39" w:rsidR="00B05B4E" w:rsidRPr="00C10B9C" w:rsidRDefault="007873C7" w:rsidP="00C10B9C">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color w:val="000000"/>
          <w:szCs w:val="24"/>
          <w:lang w:eastAsia="en-GB"/>
        </w:rPr>
      </w:pPr>
      <w:r w:rsidRPr="00C10B9C">
        <w:rPr>
          <w:rFonts w:cs="Calibri"/>
          <w:color w:val="000000"/>
          <w:szCs w:val="24"/>
          <w:lang w:eastAsia="en-GB"/>
        </w:rPr>
        <w:t>2</w:t>
      </w:r>
      <w:r w:rsidR="00CB34EC" w:rsidRPr="00C10B9C">
        <w:rPr>
          <w:rFonts w:cs="Calibri"/>
          <w:color w:val="000000"/>
          <w:szCs w:val="24"/>
          <w:lang w:eastAsia="en-GB"/>
        </w:rPr>
        <w:t>6</w:t>
      </w:r>
      <w:r w:rsidR="00B05B4E" w:rsidRPr="00C10B9C">
        <w:rPr>
          <w:rFonts w:cs="Calibri"/>
          <w:color w:val="000000"/>
          <w:szCs w:val="24"/>
          <w:lang w:eastAsia="en-GB"/>
        </w:rPr>
        <w:t>.3</w:t>
      </w:r>
      <w:r w:rsidR="00B05B4E" w:rsidRPr="00C10B9C">
        <w:rPr>
          <w:rFonts w:cs="Calibri"/>
          <w:color w:val="000000"/>
          <w:szCs w:val="24"/>
          <w:lang w:eastAsia="en-GB"/>
        </w:rPr>
        <w:tab/>
        <w:t>Consulting firms are hired to advise management on key strategic issues, providing the secretariat with an external view, based on industry best practice. Management considers the consulting firm’s advice but is not bound by it. External strategic consulting is also sometimes used as a means of boosting capacity in new areas on a short-term basis. As part of our transformation road map, the secretariat is working to fill key skills gaps to internalize such capacity going forward.</w:t>
      </w:r>
    </w:p>
    <w:p w14:paraId="09099F96" w14:textId="4C53BAFF" w:rsidR="00B05B4E" w:rsidRPr="00C10B9C" w:rsidRDefault="007873C7" w:rsidP="00C10B9C">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color w:val="000000"/>
          <w:szCs w:val="24"/>
          <w:lang w:eastAsia="en-GB"/>
        </w:rPr>
      </w:pPr>
      <w:r w:rsidRPr="00C10B9C">
        <w:rPr>
          <w:rFonts w:cs="Calibri"/>
          <w:color w:val="000000"/>
          <w:szCs w:val="24"/>
          <w:lang w:eastAsia="en-GB"/>
        </w:rPr>
        <w:t>2</w:t>
      </w:r>
      <w:r w:rsidR="00CB34EC" w:rsidRPr="00C10B9C">
        <w:rPr>
          <w:rFonts w:cs="Calibri"/>
          <w:color w:val="000000"/>
          <w:szCs w:val="24"/>
          <w:lang w:eastAsia="en-GB"/>
        </w:rPr>
        <w:t>6</w:t>
      </w:r>
      <w:r w:rsidR="00B05B4E" w:rsidRPr="00C10B9C">
        <w:rPr>
          <w:rFonts w:cs="Calibri"/>
          <w:color w:val="000000"/>
          <w:szCs w:val="24"/>
          <w:lang w:eastAsia="en-GB"/>
        </w:rPr>
        <w:t>.4</w:t>
      </w:r>
      <w:r w:rsidR="00B05B4E" w:rsidRPr="00C10B9C">
        <w:rPr>
          <w:rFonts w:cs="Calibri"/>
          <w:color w:val="000000"/>
          <w:szCs w:val="24"/>
          <w:lang w:eastAsia="en-GB"/>
        </w:rPr>
        <w:tab/>
        <w:t xml:space="preserve">Several delegates thanked the secretariat for the additional information provided. </w:t>
      </w:r>
      <w:r w:rsidR="00CB7F4D" w:rsidRPr="00C10B9C">
        <w:rPr>
          <w:rFonts w:cs="Calibri"/>
          <w:color w:val="000000"/>
          <w:szCs w:val="24"/>
          <w:lang w:eastAsia="en-GB"/>
        </w:rPr>
        <w:t xml:space="preserve">Some delegates </w:t>
      </w:r>
      <w:r w:rsidR="00B05B4E" w:rsidRPr="00C10B9C">
        <w:rPr>
          <w:rFonts w:cs="Calibri"/>
          <w:color w:val="000000"/>
          <w:szCs w:val="24"/>
          <w:lang w:eastAsia="en-GB"/>
        </w:rPr>
        <w:t xml:space="preserve">noted that they support and understand the benefits of </w:t>
      </w:r>
      <w:r w:rsidR="00CB7F4D" w:rsidRPr="00C10B9C">
        <w:rPr>
          <w:rFonts w:cs="Calibri"/>
          <w:color w:val="000000"/>
          <w:szCs w:val="24"/>
          <w:lang w:eastAsia="en-GB"/>
        </w:rPr>
        <w:t xml:space="preserve">the use of </w:t>
      </w:r>
      <w:r w:rsidR="00B05B4E" w:rsidRPr="00C10B9C">
        <w:rPr>
          <w:rFonts w:cs="Calibri"/>
          <w:color w:val="000000"/>
          <w:szCs w:val="24"/>
          <w:lang w:eastAsia="en-GB"/>
        </w:rPr>
        <w:t xml:space="preserve">consulting firms but emphasized that the secretariat should carefully consider when such work can be done by internal staff and only turn to consulting firms when internal capacity or skills are not sufficient. </w:t>
      </w:r>
      <w:proofErr w:type="gramStart"/>
      <w:r w:rsidR="00CB7F4D" w:rsidRPr="00C10B9C">
        <w:rPr>
          <w:rFonts w:cs="Calibri"/>
          <w:color w:val="000000"/>
          <w:szCs w:val="24"/>
          <w:lang w:eastAsia="en-GB"/>
        </w:rPr>
        <w:t>A number of</w:t>
      </w:r>
      <w:proofErr w:type="gramEnd"/>
      <w:r w:rsidR="00CB7F4D" w:rsidRPr="00C10B9C">
        <w:rPr>
          <w:rFonts w:cs="Calibri"/>
          <w:color w:val="000000"/>
          <w:szCs w:val="24"/>
          <w:lang w:eastAsia="en-GB"/>
        </w:rPr>
        <w:t xml:space="preserve"> d</w:t>
      </w:r>
      <w:r w:rsidR="00A20C57" w:rsidRPr="00C10B9C">
        <w:rPr>
          <w:rFonts w:cs="Calibri"/>
          <w:color w:val="000000"/>
          <w:szCs w:val="24"/>
          <w:lang w:eastAsia="en-GB"/>
        </w:rPr>
        <w:t xml:space="preserve">elegates </w:t>
      </w:r>
      <w:r w:rsidR="00B05B4E" w:rsidRPr="00C10B9C">
        <w:rPr>
          <w:rFonts w:cs="Calibri"/>
          <w:color w:val="000000"/>
          <w:szCs w:val="24"/>
          <w:lang w:eastAsia="en-GB"/>
        </w:rPr>
        <w:t>also expressed concern about increased use of SSAs (i.e.</w:t>
      </w:r>
      <w:r w:rsidR="00A20C57" w:rsidRPr="00C10B9C">
        <w:rPr>
          <w:rFonts w:cs="Calibri"/>
          <w:color w:val="000000"/>
          <w:szCs w:val="24"/>
          <w:lang w:eastAsia="en-GB"/>
        </w:rPr>
        <w:t>,</w:t>
      </w:r>
      <w:r w:rsidR="00B05B4E" w:rsidRPr="00C10B9C">
        <w:rPr>
          <w:rFonts w:cs="Calibri"/>
          <w:color w:val="000000"/>
          <w:szCs w:val="24"/>
          <w:lang w:eastAsia="en-GB"/>
        </w:rPr>
        <w:t xml:space="preserve"> individual experts / consultants). Lastly, </w:t>
      </w:r>
      <w:r w:rsidR="00CB7F4D" w:rsidRPr="00C10B9C">
        <w:rPr>
          <w:rFonts w:cs="Calibri"/>
          <w:color w:val="000000"/>
          <w:szCs w:val="24"/>
          <w:lang w:eastAsia="en-GB"/>
        </w:rPr>
        <w:t>some</w:t>
      </w:r>
      <w:r w:rsidR="00B05B4E" w:rsidRPr="00C10B9C">
        <w:rPr>
          <w:rFonts w:cs="Calibri"/>
          <w:color w:val="000000"/>
          <w:szCs w:val="24"/>
          <w:lang w:eastAsia="en-GB"/>
        </w:rPr>
        <w:t xml:space="preserve"> </w:t>
      </w:r>
      <w:r w:rsidR="00A20C57" w:rsidRPr="00C10B9C">
        <w:rPr>
          <w:rFonts w:cs="Calibri"/>
          <w:color w:val="000000"/>
          <w:szCs w:val="24"/>
          <w:lang w:eastAsia="en-GB"/>
        </w:rPr>
        <w:t xml:space="preserve">delegates </w:t>
      </w:r>
      <w:r w:rsidR="00B05B4E" w:rsidRPr="00C10B9C">
        <w:rPr>
          <w:rFonts w:cs="Calibri"/>
          <w:color w:val="000000"/>
          <w:szCs w:val="24"/>
          <w:lang w:eastAsia="en-GB"/>
        </w:rPr>
        <w:t>emphasized the need for training of staff as part of the transformation road map to build internal capacity and thus reduce external consulting requirements.</w:t>
      </w:r>
    </w:p>
    <w:p w14:paraId="513BE1D5" w14:textId="14857AB8" w:rsidR="00B05B4E" w:rsidRPr="00C10B9C" w:rsidRDefault="007873C7" w:rsidP="00C10B9C">
      <w:pPr>
        <w:shd w:val="clear" w:color="auto" w:fill="FFFFFF" w:themeFill="background1"/>
        <w:tabs>
          <w:tab w:val="clear" w:pos="567"/>
          <w:tab w:val="clear" w:pos="1134"/>
          <w:tab w:val="clear" w:pos="1701"/>
          <w:tab w:val="clear" w:pos="2268"/>
          <w:tab w:val="clear" w:pos="2835"/>
          <w:tab w:val="left" w:pos="851"/>
        </w:tabs>
        <w:overflowPunct/>
        <w:autoSpaceDE/>
        <w:autoSpaceDN/>
        <w:adjustRightInd/>
        <w:spacing w:after="120"/>
        <w:textAlignment w:val="auto"/>
        <w:rPr>
          <w:rFonts w:cs="Calibri"/>
          <w:color w:val="000000"/>
          <w:szCs w:val="24"/>
          <w:lang w:eastAsia="en-GB"/>
        </w:rPr>
      </w:pPr>
      <w:r w:rsidRPr="00C10B9C">
        <w:rPr>
          <w:rFonts w:cs="Calibri"/>
          <w:color w:val="000000"/>
          <w:szCs w:val="24"/>
          <w:lang w:eastAsia="en-GB"/>
        </w:rPr>
        <w:t>2</w:t>
      </w:r>
      <w:r w:rsidR="00CB34EC" w:rsidRPr="00C10B9C">
        <w:rPr>
          <w:rFonts w:cs="Calibri"/>
          <w:color w:val="000000"/>
          <w:szCs w:val="24"/>
          <w:lang w:eastAsia="en-GB"/>
        </w:rPr>
        <w:t>6</w:t>
      </w:r>
      <w:r w:rsidR="00A20C57" w:rsidRPr="00C10B9C">
        <w:rPr>
          <w:rFonts w:cs="Calibri"/>
          <w:color w:val="000000"/>
          <w:szCs w:val="24"/>
          <w:lang w:eastAsia="en-GB"/>
        </w:rPr>
        <w:t>.5</w:t>
      </w:r>
      <w:r w:rsidR="00A20C57" w:rsidRPr="00C10B9C">
        <w:rPr>
          <w:rFonts w:cs="Calibri"/>
          <w:color w:val="000000"/>
          <w:szCs w:val="24"/>
          <w:lang w:eastAsia="en-GB"/>
        </w:rPr>
        <w:tab/>
      </w:r>
      <w:r w:rsidR="00CB7F4D" w:rsidRPr="00C10B9C">
        <w:rPr>
          <w:rFonts w:cs="Calibri"/>
          <w:color w:val="000000"/>
          <w:szCs w:val="24"/>
          <w:lang w:eastAsia="en-GB"/>
        </w:rPr>
        <w:t xml:space="preserve">Several </w:t>
      </w:r>
      <w:r w:rsidR="00A20C57" w:rsidRPr="00C10B9C">
        <w:rPr>
          <w:rFonts w:cs="Calibri"/>
          <w:color w:val="000000"/>
          <w:szCs w:val="24"/>
          <w:lang w:eastAsia="en-GB"/>
        </w:rPr>
        <w:t xml:space="preserve">delegates </w:t>
      </w:r>
      <w:r w:rsidR="00B05B4E" w:rsidRPr="00C10B9C">
        <w:rPr>
          <w:rFonts w:cs="Calibri"/>
          <w:color w:val="000000"/>
          <w:szCs w:val="24"/>
          <w:lang w:eastAsia="en-GB"/>
        </w:rPr>
        <w:t xml:space="preserve">expressed concern about the cost of consulting firms, and highlighted cases where ITU did not fully benefit or follow the advice of consulting firms. Others asked if ITU monitors outcomes and satisfaction of delivery, which the secretariat confirmed. </w:t>
      </w:r>
      <w:r w:rsidR="00CB7F4D" w:rsidRPr="00C10B9C">
        <w:rPr>
          <w:rFonts w:cs="Calibri"/>
          <w:color w:val="000000"/>
          <w:szCs w:val="24"/>
          <w:lang w:eastAsia="en-GB"/>
        </w:rPr>
        <w:t xml:space="preserve">Delegates </w:t>
      </w:r>
      <w:r w:rsidR="00B05B4E" w:rsidRPr="00C10B9C">
        <w:rPr>
          <w:rFonts w:cs="Calibri"/>
          <w:color w:val="000000"/>
          <w:szCs w:val="24"/>
          <w:lang w:eastAsia="en-GB"/>
        </w:rPr>
        <w:t>asked for continued reporting on the use of consulting firms, including the use of long-term agreements and the procurement process.</w:t>
      </w:r>
    </w:p>
    <w:p w14:paraId="696D3A29" w14:textId="244A6D71" w:rsidR="00BD5050" w:rsidRPr="00C10B9C" w:rsidRDefault="007873C7" w:rsidP="00C10B9C">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color w:val="000000"/>
          <w:szCs w:val="24"/>
          <w:lang w:eastAsia="en-GB"/>
        </w:rPr>
      </w:pPr>
      <w:r w:rsidRPr="00C10B9C">
        <w:rPr>
          <w:rFonts w:cs="Calibri"/>
          <w:color w:val="000000"/>
          <w:szCs w:val="24"/>
          <w:lang w:eastAsia="en-GB"/>
        </w:rPr>
        <w:t>2</w:t>
      </w:r>
      <w:r w:rsidR="00CB34EC" w:rsidRPr="00C10B9C">
        <w:rPr>
          <w:rFonts w:cs="Calibri"/>
          <w:color w:val="000000"/>
          <w:szCs w:val="24"/>
          <w:lang w:eastAsia="en-GB"/>
        </w:rPr>
        <w:t>6</w:t>
      </w:r>
      <w:r w:rsidR="00B05B4E" w:rsidRPr="00C10B9C">
        <w:rPr>
          <w:rFonts w:cs="Calibri"/>
          <w:color w:val="000000"/>
          <w:szCs w:val="24"/>
          <w:lang w:eastAsia="en-GB"/>
        </w:rPr>
        <w:t>.</w:t>
      </w:r>
      <w:r w:rsidR="00A20C57" w:rsidRPr="00C10B9C">
        <w:rPr>
          <w:rFonts w:cs="Calibri"/>
          <w:color w:val="000000"/>
          <w:szCs w:val="24"/>
          <w:lang w:eastAsia="en-GB"/>
        </w:rPr>
        <w:t>6</w:t>
      </w:r>
      <w:r w:rsidR="00B05B4E" w:rsidRPr="00C10B9C">
        <w:rPr>
          <w:rFonts w:cs="Calibri"/>
          <w:color w:val="000000"/>
          <w:szCs w:val="24"/>
          <w:lang w:eastAsia="en-GB"/>
        </w:rPr>
        <w:tab/>
        <w:t xml:space="preserve">The </w:t>
      </w:r>
      <w:r w:rsidR="00A20C57" w:rsidRPr="00C10B9C">
        <w:rPr>
          <w:rFonts w:cs="Calibri"/>
          <w:color w:val="000000"/>
          <w:szCs w:val="24"/>
          <w:lang w:eastAsia="en-GB"/>
        </w:rPr>
        <w:t xml:space="preserve">Deputy Secretary-General </w:t>
      </w:r>
      <w:r w:rsidR="00B05B4E" w:rsidRPr="00C10B9C">
        <w:rPr>
          <w:rFonts w:cs="Calibri"/>
          <w:color w:val="000000"/>
          <w:szCs w:val="24"/>
          <w:lang w:eastAsia="en-GB"/>
        </w:rPr>
        <w:t xml:space="preserve">thanked </w:t>
      </w:r>
      <w:r w:rsidR="00A20C57" w:rsidRPr="00C10B9C">
        <w:rPr>
          <w:rFonts w:cs="Calibri"/>
          <w:color w:val="000000"/>
          <w:szCs w:val="24"/>
          <w:lang w:eastAsia="en-GB"/>
        </w:rPr>
        <w:t xml:space="preserve">delegates </w:t>
      </w:r>
      <w:r w:rsidR="00B05B4E" w:rsidRPr="00C10B9C">
        <w:rPr>
          <w:rFonts w:cs="Calibri"/>
          <w:color w:val="000000"/>
          <w:szCs w:val="24"/>
          <w:lang w:eastAsia="en-GB"/>
        </w:rPr>
        <w:t xml:space="preserve">and emphasized that the secretariat </w:t>
      </w:r>
      <w:r w:rsidR="00A20C57" w:rsidRPr="00C10B9C">
        <w:rPr>
          <w:rFonts w:cs="Calibri"/>
          <w:color w:val="000000"/>
          <w:szCs w:val="24"/>
          <w:lang w:eastAsia="en-GB"/>
        </w:rPr>
        <w:t xml:space="preserve">had taken </w:t>
      </w:r>
      <w:r w:rsidR="00B05B4E" w:rsidRPr="00C10B9C">
        <w:rPr>
          <w:rFonts w:cs="Calibri"/>
          <w:color w:val="000000"/>
          <w:szCs w:val="24"/>
          <w:lang w:eastAsia="en-GB"/>
        </w:rPr>
        <w:t xml:space="preserve">careful note of the feedback. He assured </w:t>
      </w:r>
      <w:r w:rsidR="00A20C57" w:rsidRPr="00C10B9C">
        <w:rPr>
          <w:rFonts w:cs="Calibri"/>
          <w:color w:val="000000"/>
          <w:szCs w:val="24"/>
          <w:lang w:eastAsia="en-GB"/>
        </w:rPr>
        <w:t xml:space="preserve">delegates </w:t>
      </w:r>
      <w:r w:rsidR="00B05B4E" w:rsidRPr="00C10B9C">
        <w:rPr>
          <w:rFonts w:cs="Calibri"/>
          <w:color w:val="000000"/>
          <w:szCs w:val="24"/>
          <w:lang w:eastAsia="en-GB"/>
        </w:rPr>
        <w:t>that the secretariat carefully considers</w:t>
      </w:r>
      <w:r w:rsidR="00BD5050" w:rsidRPr="00C10B9C">
        <w:rPr>
          <w:rFonts w:cs="Calibri"/>
          <w:color w:val="000000"/>
          <w:szCs w:val="24"/>
          <w:lang w:eastAsia="en-GB"/>
        </w:rPr>
        <w:t>,</w:t>
      </w:r>
      <w:r w:rsidR="00B05B4E" w:rsidRPr="00C10B9C">
        <w:rPr>
          <w:rFonts w:cs="Calibri"/>
          <w:color w:val="000000"/>
          <w:szCs w:val="24"/>
          <w:lang w:eastAsia="en-GB"/>
        </w:rPr>
        <w:t xml:space="preserve"> in each case</w:t>
      </w:r>
      <w:r w:rsidR="00BD5050" w:rsidRPr="00C10B9C">
        <w:rPr>
          <w:rFonts w:cs="Calibri"/>
          <w:color w:val="000000"/>
          <w:szCs w:val="24"/>
          <w:lang w:eastAsia="en-GB"/>
        </w:rPr>
        <w:t>,</w:t>
      </w:r>
      <w:r w:rsidR="00B05B4E" w:rsidRPr="00C10B9C">
        <w:rPr>
          <w:rFonts w:cs="Calibri"/>
          <w:color w:val="000000"/>
          <w:szCs w:val="24"/>
          <w:lang w:eastAsia="en-GB"/>
        </w:rPr>
        <w:t xml:space="preserve"> </w:t>
      </w:r>
      <w:proofErr w:type="gramStart"/>
      <w:r w:rsidR="00B05B4E" w:rsidRPr="00C10B9C">
        <w:rPr>
          <w:rFonts w:cs="Calibri"/>
          <w:color w:val="000000"/>
          <w:szCs w:val="24"/>
          <w:lang w:eastAsia="en-GB"/>
        </w:rPr>
        <w:t>whether or not</w:t>
      </w:r>
      <w:proofErr w:type="gramEnd"/>
      <w:r w:rsidR="00B05B4E" w:rsidRPr="00C10B9C">
        <w:rPr>
          <w:rFonts w:cs="Calibri"/>
          <w:color w:val="000000"/>
          <w:szCs w:val="24"/>
          <w:lang w:eastAsia="en-GB"/>
        </w:rPr>
        <w:t xml:space="preserve"> using external consultants is the most effective option</w:t>
      </w:r>
      <w:r w:rsidR="00BD5050" w:rsidRPr="00C10B9C">
        <w:rPr>
          <w:rFonts w:cs="Calibri"/>
          <w:color w:val="000000"/>
          <w:szCs w:val="24"/>
          <w:lang w:eastAsia="en-GB"/>
        </w:rPr>
        <w:t xml:space="preserve"> and added that the use of SSAs is significantly cheaper than hiring regular staff, thus allowing the secretariat to address growing demands at a lower cost given the budgetary constraints.</w:t>
      </w:r>
    </w:p>
    <w:p w14:paraId="7C4449AD" w14:textId="212F60D1" w:rsidR="00B05B4E" w:rsidRPr="00C10B9C" w:rsidRDefault="007873C7" w:rsidP="00C10B9C">
      <w:pPr>
        <w:shd w:val="clear" w:color="auto" w:fill="FFFFFF" w:themeFill="background1"/>
        <w:tabs>
          <w:tab w:val="clear" w:pos="567"/>
          <w:tab w:val="clear" w:pos="1134"/>
          <w:tab w:val="clear" w:pos="1701"/>
          <w:tab w:val="clear" w:pos="2268"/>
          <w:tab w:val="clear" w:pos="2835"/>
          <w:tab w:val="left" w:pos="851"/>
        </w:tabs>
        <w:overflowPunct/>
        <w:autoSpaceDE/>
        <w:autoSpaceDN/>
        <w:adjustRightInd/>
        <w:spacing w:after="120"/>
        <w:textAlignment w:val="auto"/>
        <w:rPr>
          <w:rFonts w:cs="Calibri"/>
          <w:color w:val="000000"/>
          <w:szCs w:val="24"/>
          <w:lang w:eastAsia="en-GB"/>
        </w:rPr>
      </w:pPr>
      <w:r w:rsidRPr="00C10B9C">
        <w:rPr>
          <w:rFonts w:cs="Calibri"/>
          <w:color w:val="000000"/>
          <w:szCs w:val="24"/>
          <w:lang w:eastAsia="en-GB"/>
        </w:rPr>
        <w:t>2</w:t>
      </w:r>
      <w:r w:rsidR="00CB34EC" w:rsidRPr="00C10B9C">
        <w:rPr>
          <w:rFonts w:cs="Calibri"/>
          <w:color w:val="000000"/>
          <w:szCs w:val="24"/>
          <w:lang w:eastAsia="en-GB"/>
        </w:rPr>
        <w:t>6</w:t>
      </w:r>
      <w:r w:rsidR="00B05B4E" w:rsidRPr="00C10B9C">
        <w:rPr>
          <w:rFonts w:cs="Calibri"/>
          <w:color w:val="000000"/>
          <w:szCs w:val="24"/>
          <w:lang w:eastAsia="en-GB"/>
        </w:rPr>
        <w:t>.</w:t>
      </w:r>
      <w:r w:rsidR="001D3CCA" w:rsidRPr="00C10B9C">
        <w:rPr>
          <w:rFonts w:cs="Calibri"/>
          <w:color w:val="000000"/>
          <w:szCs w:val="24"/>
          <w:lang w:eastAsia="en-GB"/>
        </w:rPr>
        <w:t>7</w:t>
      </w:r>
      <w:r w:rsidR="00B05B4E" w:rsidRPr="00C10B9C">
        <w:rPr>
          <w:rFonts w:cs="Calibri"/>
          <w:color w:val="000000"/>
          <w:szCs w:val="24"/>
          <w:lang w:eastAsia="en-GB"/>
        </w:rPr>
        <w:tab/>
        <w:t>The chair concluded the discussion, noting that the secretariat will continue regular reporting on this subject.</w:t>
      </w:r>
    </w:p>
    <w:p w14:paraId="0EFBEBE3" w14:textId="25EC35AA" w:rsidR="00DA4181" w:rsidRPr="00C10B9C" w:rsidRDefault="007873C7" w:rsidP="000D2039">
      <w:pPr>
        <w:pStyle w:val="Tabletext"/>
        <w:shd w:val="clear" w:color="auto" w:fill="FFFFFF" w:themeFill="background1"/>
        <w:tabs>
          <w:tab w:val="clear" w:pos="284"/>
          <w:tab w:val="clear" w:pos="567"/>
        </w:tabs>
        <w:spacing w:before="480" w:after="120"/>
        <w:ind w:left="851" w:hanging="851"/>
        <w:rPr>
          <w:b/>
          <w:bCs/>
          <w:sz w:val="24"/>
          <w:szCs w:val="24"/>
        </w:rPr>
      </w:pPr>
      <w:r w:rsidRPr="00C10B9C">
        <w:rPr>
          <w:rFonts w:cs="Calibri"/>
          <w:b/>
          <w:bCs/>
          <w:sz w:val="24"/>
          <w:szCs w:val="24"/>
        </w:rPr>
        <w:t>2</w:t>
      </w:r>
      <w:r w:rsidR="00CB34EC" w:rsidRPr="00C10B9C">
        <w:rPr>
          <w:rFonts w:cs="Calibri"/>
          <w:b/>
          <w:bCs/>
          <w:sz w:val="24"/>
          <w:szCs w:val="24"/>
        </w:rPr>
        <w:t>7</w:t>
      </w:r>
      <w:r w:rsidR="00DA4181" w:rsidRPr="00C10B9C">
        <w:rPr>
          <w:rFonts w:cs="Calibri"/>
          <w:b/>
          <w:bCs/>
          <w:sz w:val="24"/>
          <w:szCs w:val="24"/>
        </w:rPr>
        <w:tab/>
        <w:t>Report on Inter-Sector Coordination Group activities – Document </w:t>
      </w:r>
      <w:hyperlink r:id="rId48" w:history="1">
        <w:r w:rsidR="00DA4181" w:rsidRPr="00C10B9C">
          <w:rPr>
            <w:rStyle w:val="Hyperlink"/>
            <w:b/>
            <w:bCs/>
            <w:sz w:val="24"/>
            <w:szCs w:val="24"/>
          </w:rPr>
          <w:t>CWG-FHR-20/24</w:t>
        </w:r>
      </w:hyperlink>
    </w:p>
    <w:p w14:paraId="48D96D33" w14:textId="5C82A88E" w:rsidR="00C74425" w:rsidRPr="00C10B9C" w:rsidRDefault="007873C7" w:rsidP="00C10B9C">
      <w:pPr>
        <w:pStyle w:val="Tabletext"/>
        <w:shd w:val="clear" w:color="auto" w:fill="FFFFFF" w:themeFill="background1"/>
        <w:tabs>
          <w:tab w:val="clear" w:pos="284"/>
          <w:tab w:val="clear" w:pos="567"/>
        </w:tabs>
        <w:spacing w:before="120" w:after="120"/>
        <w:rPr>
          <w:rFonts w:cs="Calibri"/>
          <w:sz w:val="24"/>
          <w:szCs w:val="24"/>
        </w:rPr>
      </w:pPr>
      <w:r w:rsidRPr="00C10B9C">
        <w:rPr>
          <w:rFonts w:cs="Calibri"/>
          <w:sz w:val="24"/>
          <w:szCs w:val="24"/>
          <w:lang w:val="en-US"/>
        </w:rPr>
        <w:t>2</w:t>
      </w:r>
      <w:r w:rsidR="00CB34EC" w:rsidRPr="00C10B9C">
        <w:rPr>
          <w:rFonts w:cs="Calibri"/>
          <w:sz w:val="24"/>
          <w:szCs w:val="24"/>
          <w:lang w:val="en-US"/>
        </w:rPr>
        <w:t>7</w:t>
      </w:r>
      <w:r w:rsidR="00C74425" w:rsidRPr="00C10B9C">
        <w:rPr>
          <w:rFonts w:cs="Calibri"/>
          <w:sz w:val="24"/>
          <w:szCs w:val="24"/>
          <w:lang w:val="en-US"/>
        </w:rPr>
        <w:t>.1</w:t>
      </w:r>
      <w:r w:rsidR="00C74425" w:rsidRPr="00C10B9C">
        <w:rPr>
          <w:rFonts w:cs="Calibri"/>
          <w:sz w:val="24"/>
          <w:szCs w:val="24"/>
          <w:lang w:val="en-US"/>
        </w:rPr>
        <w:tab/>
        <w:t xml:space="preserve">The Chair of the ISCG presented a brief report on the activities of the group related to the tasks of the CWG-FHR. The report included a proposal related to the use of captioning services in all ITU meetings. The Chair </w:t>
      </w:r>
      <w:r w:rsidR="00D26A54" w:rsidRPr="00C10B9C">
        <w:rPr>
          <w:rFonts w:cs="Calibri"/>
          <w:sz w:val="24"/>
          <w:szCs w:val="24"/>
          <w:lang w:val="en-US"/>
        </w:rPr>
        <w:t xml:space="preserve">also </w:t>
      </w:r>
      <w:r w:rsidR="00C74425" w:rsidRPr="00C10B9C">
        <w:rPr>
          <w:rFonts w:cs="Calibri"/>
          <w:sz w:val="24"/>
          <w:szCs w:val="24"/>
          <w:lang w:val="en-US"/>
        </w:rPr>
        <w:t xml:space="preserve">highlighted that the proposal had already </w:t>
      </w:r>
      <w:r w:rsidR="00D26A54" w:rsidRPr="00C10B9C">
        <w:rPr>
          <w:rFonts w:cs="Calibri"/>
          <w:sz w:val="24"/>
          <w:szCs w:val="24"/>
          <w:lang w:val="en-US"/>
        </w:rPr>
        <w:t xml:space="preserve">been </w:t>
      </w:r>
      <w:r w:rsidR="00C74425" w:rsidRPr="00C10B9C">
        <w:rPr>
          <w:rFonts w:cs="Calibri"/>
          <w:sz w:val="24"/>
          <w:szCs w:val="24"/>
          <w:lang w:val="en-US"/>
        </w:rPr>
        <w:t xml:space="preserve">covered by the Correspondence Working Group created to draft </w:t>
      </w:r>
      <w:r w:rsidR="00D26A54" w:rsidRPr="00C10B9C">
        <w:rPr>
          <w:rFonts w:cs="Calibri"/>
          <w:sz w:val="24"/>
          <w:szCs w:val="24"/>
          <w:lang w:val="en-US"/>
        </w:rPr>
        <w:t xml:space="preserve">the </w:t>
      </w:r>
      <w:r w:rsidR="00C74425" w:rsidRPr="00C10B9C">
        <w:rPr>
          <w:rFonts w:cs="Calibri"/>
          <w:sz w:val="24"/>
          <w:szCs w:val="24"/>
          <w:lang w:val="en-US"/>
        </w:rPr>
        <w:t>guidelines on the management of fully virtual meetings and physical meetings with remote participation</w:t>
      </w:r>
      <w:r w:rsidR="00C74425" w:rsidRPr="00C10B9C">
        <w:rPr>
          <w:rFonts w:cs="Calibri"/>
          <w:sz w:val="24"/>
          <w:szCs w:val="24"/>
        </w:rPr>
        <w:t>. The ISCG Chair reiterated that financial implications of providing such services should also be considered. No comments were received from the floor.</w:t>
      </w:r>
    </w:p>
    <w:p w14:paraId="2EC10F5B" w14:textId="7A4BB224" w:rsidR="00B82C78" w:rsidRPr="00C10B9C" w:rsidRDefault="00784820" w:rsidP="000D2039">
      <w:pPr>
        <w:pStyle w:val="Tabletext"/>
        <w:tabs>
          <w:tab w:val="clear" w:pos="284"/>
          <w:tab w:val="clear" w:pos="567"/>
        </w:tabs>
        <w:spacing w:before="480" w:after="120"/>
        <w:ind w:left="851" w:hanging="851"/>
        <w:rPr>
          <w:rFonts w:cs="Calibri"/>
          <w:b/>
          <w:bCs/>
          <w:sz w:val="24"/>
          <w:szCs w:val="24"/>
        </w:rPr>
      </w:pPr>
      <w:r w:rsidRPr="00C10B9C">
        <w:rPr>
          <w:rFonts w:cs="Calibri"/>
          <w:b/>
          <w:bCs/>
          <w:sz w:val="24"/>
          <w:szCs w:val="24"/>
        </w:rPr>
        <w:t>2</w:t>
      </w:r>
      <w:r w:rsidR="00CB34EC" w:rsidRPr="00C10B9C">
        <w:rPr>
          <w:rFonts w:cs="Calibri"/>
          <w:b/>
          <w:bCs/>
          <w:sz w:val="24"/>
          <w:szCs w:val="24"/>
        </w:rPr>
        <w:t>8</w:t>
      </w:r>
      <w:r w:rsidR="00B82C78" w:rsidRPr="00C10B9C">
        <w:rPr>
          <w:rFonts w:cs="Calibri"/>
          <w:b/>
          <w:bCs/>
          <w:sz w:val="24"/>
          <w:szCs w:val="24"/>
        </w:rPr>
        <w:tab/>
        <w:t>Any other business</w:t>
      </w:r>
    </w:p>
    <w:p w14:paraId="46E6D5CB" w14:textId="2B9B5D70" w:rsidR="00A246B8" w:rsidRPr="00C10B9C" w:rsidRDefault="00784820" w:rsidP="00C10B9C">
      <w:pPr>
        <w:tabs>
          <w:tab w:val="clear" w:pos="567"/>
          <w:tab w:val="left" w:pos="851"/>
        </w:tabs>
        <w:spacing w:after="120"/>
        <w:rPr>
          <w:rFonts w:asciiTheme="minorHAnsi" w:hAnsiTheme="minorHAnsi" w:cstheme="minorHAnsi"/>
          <w:szCs w:val="24"/>
        </w:rPr>
      </w:pPr>
      <w:r w:rsidRPr="00C10B9C">
        <w:rPr>
          <w:rFonts w:cs="Calibri"/>
          <w:szCs w:val="24"/>
        </w:rPr>
        <w:t>2</w:t>
      </w:r>
      <w:r w:rsidR="00CB34EC" w:rsidRPr="00C10B9C">
        <w:rPr>
          <w:rFonts w:cs="Calibri"/>
          <w:szCs w:val="24"/>
        </w:rPr>
        <w:t>8</w:t>
      </w:r>
      <w:r w:rsidR="00A246B8" w:rsidRPr="00C10B9C">
        <w:rPr>
          <w:rFonts w:cs="Calibri"/>
          <w:szCs w:val="24"/>
        </w:rPr>
        <w:t>.1</w:t>
      </w:r>
      <w:r w:rsidR="00A246B8" w:rsidRPr="00C10B9C">
        <w:rPr>
          <w:rFonts w:cs="Calibri"/>
          <w:szCs w:val="24"/>
        </w:rPr>
        <w:tab/>
        <w:t>With no further business,</w:t>
      </w:r>
      <w:r w:rsidR="00791671" w:rsidRPr="00C10B9C">
        <w:rPr>
          <w:rFonts w:cs="Calibri"/>
          <w:szCs w:val="24"/>
        </w:rPr>
        <w:t xml:space="preserve"> t</w:t>
      </w:r>
      <w:r w:rsidR="00A246B8" w:rsidRPr="00C10B9C">
        <w:rPr>
          <w:rFonts w:cs="Calibri"/>
          <w:szCs w:val="24"/>
        </w:rPr>
        <w:t>he Secretary-General, Ms Bogdan</w:t>
      </w:r>
      <w:r w:rsidR="001723A1" w:rsidRPr="00C10B9C">
        <w:rPr>
          <w:rFonts w:cs="Calibri"/>
          <w:szCs w:val="24"/>
        </w:rPr>
        <w:t>-Martin</w:t>
      </w:r>
      <w:r w:rsidR="00A246B8" w:rsidRPr="00C10B9C">
        <w:rPr>
          <w:rFonts w:cs="Calibri"/>
          <w:szCs w:val="24"/>
        </w:rPr>
        <w:t xml:space="preserve"> closed the</w:t>
      </w:r>
      <w:r w:rsidR="00A246B8" w:rsidRPr="00C10B9C">
        <w:rPr>
          <w:rFonts w:asciiTheme="minorHAnsi" w:hAnsiTheme="minorHAnsi" w:cstheme="minorHAnsi"/>
          <w:szCs w:val="24"/>
        </w:rPr>
        <w:t xml:space="preserve"> meeting. The Secretary-General extended her appreciation to the Chair, acknowledging the efficient handling of the agenda items and numerous documents. She also thanked all delegates, both in-person and online, for their active participation, as well as the Staff Council for their valuable contributions.</w:t>
      </w:r>
    </w:p>
    <w:p w14:paraId="651F369D" w14:textId="79D08FE7" w:rsidR="00A246B8" w:rsidRPr="00C10B9C" w:rsidRDefault="00784820" w:rsidP="00C10B9C">
      <w:pPr>
        <w:tabs>
          <w:tab w:val="clear" w:pos="567"/>
          <w:tab w:val="left" w:pos="851"/>
        </w:tabs>
        <w:spacing w:after="120"/>
        <w:rPr>
          <w:rFonts w:asciiTheme="minorHAnsi" w:hAnsiTheme="minorHAnsi" w:cstheme="minorHAnsi"/>
          <w:szCs w:val="24"/>
        </w:rPr>
      </w:pPr>
      <w:r w:rsidRPr="00C10B9C">
        <w:rPr>
          <w:rFonts w:asciiTheme="minorHAnsi" w:hAnsiTheme="minorHAnsi" w:cstheme="minorHAnsi"/>
          <w:szCs w:val="24"/>
        </w:rPr>
        <w:lastRenderedPageBreak/>
        <w:t>2</w:t>
      </w:r>
      <w:r w:rsidR="00CB34EC" w:rsidRPr="00C10B9C">
        <w:rPr>
          <w:rFonts w:asciiTheme="minorHAnsi" w:hAnsiTheme="minorHAnsi" w:cstheme="minorHAnsi"/>
          <w:szCs w:val="24"/>
        </w:rPr>
        <w:t>8</w:t>
      </w:r>
      <w:r w:rsidR="00A246B8" w:rsidRPr="00C10B9C">
        <w:rPr>
          <w:rFonts w:asciiTheme="minorHAnsi" w:hAnsiTheme="minorHAnsi" w:cstheme="minorHAnsi"/>
          <w:szCs w:val="24"/>
        </w:rPr>
        <w:t>.2</w:t>
      </w:r>
      <w:r w:rsidR="00A246B8" w:rsidRPr="00C10B9C">
        <w:rPr>
          <w:rFonts w:asciiTheme="minorHAnsi" w:hAnsiTheme="minorHAnsi" w:cstheme="minorHAnsi"/>
          <w:szCs w:val="24"/>
        </w:rPr>
        <w:tab/>
        <w:t>She emphasized the role of the Council Working Group in strengthening accountability, transparency, and efficiency while advancing ITU’s transformation journey. Recognizing the complexities of change, she highlighted the progress made, including efficiency gains, financial planning, and ITU’s ongoing digital transformation efforts. She reaffirmed ITU’s commitment to balancing business continuity with long-term investments in innovation, particularly in areas such as the Geneva campus project, IT systems, and financial management.</w:t>
      </w:r>
    </w:p>
    <w:p w14:paraId="1B96BFEC" w14:textId="5C78802F" w:rsidR="00A246B8" w:rsidRPr="00C10B9C" w:rsidRDefault="00784820" w:rsidP="00C10B9C">
      <w:pPr>
        <w:tabs>
          <w:tab w:val="clear" w:pos="567"/>
          <w:tab w:val="left" w:pos="851"/>
        </w:tabs>
        <w:spacing w:after="120"/>
        <w:rPr>
          <w:rFonts w:asciiTheme="minorHAnsi" w:hAnsiTheme="minorHAnsi" w:cstheme="minorHAnsi"/>
          <w:szCs w:val="24"/>
        </w:rPr>
      </w:pPr>
      <w:r w:rsidRPr="00C10B9C">
        <w:rPr>
          <w:rFonts w:asciiTheme="minorHAnsi" w:hAnsiTheme="minorHAnsi" w:cstheme="minorHAnsi"/>
          <w:szCs w:val="24"/>
        </w:rPr>
        <w:t>2</w:t>
      </w:r>
      <w:r w:rsidR="00CB34EC" w:rsidRPr="00C10B9C">
        <w:rPr>
          <w:rFonts w:asciiTheme="minorHAnsi" w:hAnsiTheme="minorHAnsi" w:cstheme="minorHAnsi"/>
          <w:szCs w:val="24"/>
        </w:rPr>
        <w:t>8</w:t>
      </w:r>
      <w:r w:rsidR="00A246B8" w:rsidRPr="00C10B9C">
        <w:rPr>
          <w:rFonts w:asciiTheme="minorHAnsi" w:hAnsiTheme="minorHAnsi" w:cstheme="minorHAnsi"/>
          <w:szCs w:val="24"/>
        </w:rPr>
        <w:t>.3</w:t>
      </w:r>
      <w:r w:rsidR="00A246B8" w:rsidRPr="00C10B9C">
        <w:rPr>
          <w:rFonts w:asciiTheme="minorHAnsi" w:hAnsiTheme="minorHAnsi" w:cstheme="minorHAnsi"/>
          <w:szCs w:val="24"/>
        </w:rPr>
        <w:tab/>
        <w:t xml:space="preserve">Looking ahead, she underscored the </w:t>
      </w:r>
      <w:r w:rsidR="005B014D" w:rsidRPr="00C10B9C">
        <w:rPr>
          <w:rFonts w:asciiTheme="minorHAnsi" w:hAnsiTheme="minorHAnsi" w:cstheme="minorHAnsi"/>
          <w:szCs w:val="24"/>
        </w:rPr>
        <w:t>s</w:t>
      </w:r>
      <w:r w:rsidR="00A246B8" w:rsidRPr="00C10B9C">
        <w:rPr>
          <w:rFonts w:asciiTheme="minorHAnsi" w:hAnsiTheme="minorHAnsi" w:cstheme="minorHAnsi"/>
          <w:szCs w:val="24"/>
        </w:rPr>
        <w:t xml:space="preserve">ecretariat’s commitment to finalizing a balanced budget for 2026–2027, continuing preparations for the 2028–2031 financial plan, and ensuring timely audit reports. She also reiterated ITU’s dedication to regional presence reviews, financial impact assessments, and broader organizational reforms in alignment with </w:t>
      </w:r>
      <w:r w:rsidR="005B014D" w:rsidRPr="00C10B9C">
        <w:rPr>
          <w:rFonts w:asciiTheme="minorHAnsi" w:hAnsiTheme="minorHAnsi" w:cstheme="minorHAnsi"/>
          <w:szCs w:val="24"/>
        </w:rPr>
        <w:t>M</w:t>
      </w:r>
      <w:r w:rsidR="00A246B8" w:rsidRPr="00C10B9C">
        <w:rPr>
          <w:rFonts w:asciiTheme="minorHAnsi" w:hAnsiTheme="minorHAnsi" w:cstheme="minorHAnsi"/>
          <w:szCs w:val="24"/>
        </w:rPr>
        <w:t xml:space="preserve">ember </w:t>
      </w:r>
      <w:r w:rsidR="005B014D" w:rsidRPr="00C10B9C">
        <w:rPr>
          <w:rFonts w:asciiTheme="minorHAnsi" w:hAnsiTheme="minorHAnsi" w:cstheme="minorHAnsi"/>
          <w:szCs w:val="24"/>
        </w:rPr>
        <w:t>S</w:t>
      </w:r>
      <w:r w:rsidR="00A246B8" w:rsidRPr="00C10B9C">
        <w:rPr>
          <w:rFonts w:asciiTheme="minorHAnsi" w:hAnsiTheme="minorHAnsi" w:cstheme="minorHAnsi"/>
          <w:szCs w:val="24"/>
        </w:rPr>
        <w:t>tates’ expectations.</w:t>
      </w:r>
    </w:p>
    <w:p w14:paraId="78A4CFAE" w14:textId="2CB5E150" w:rsidR="004A45DF" w:rsidRPr="00C10B9C" w:rsidRDefault="00784820" w:rsidP="00C10B9C">
      <w:pPr>
        <w:tabs>
          <w:tab w:val="clear" w:pos="567"/>
          <w:tab w:val="clear" w:pos="1134"/>
          <w:tab w:val="left" w:pos="851"/>
        </w:tabs>
        <w:spacing w:after="120"/>
        <w:rPr>
          <w:rFonts w:asciiTheme="minorHAnsi" w:hAnsiTheme="minorHAnsi" w:cstheme="minorHAnsi"/>
          <w:szCs w:val="24"/>
        </w:rPr>
      </w:pPr>
      <w:r w:rsidRPr="00C10B9C">
        <w:rPr>
          <w:rFonts w:asciiTheme="minorHAnsi" w:hAnsiTheme="minorHAnsi" w:cstheme="minorHAnsi"/>
          <w:szCs w:val="24"/>
        </w:rPr>
        <w:t>2</w:t>
      </w:r>
      <w:r w:rsidR="00CB34EC" w:rsidRPr="00C10B9C">
        <w:rPr>
          <w:rFonts w:asciiTheme="minorHAnsi" w:hAnsiTheme="minorHAnsi" w:cstheme="minorHAnsi"/>
          <w:szCs w:val="24"/>
        </w:rPr>
        <w:t>8</w:t>
      </w:r>
      <w:r w:rsidR="00A246B8" w:rsidRPr="00C10B9C">
        <w:rPr>
          <w:rFonts w:asciiTheme="minorHAnsi" w:hAnsiTheme="minorHAnsi" w:cstheme="minorHAnsi"/>
          <w:szCs w:val="24"/>
        </w:rPr>
        <w:t>.4</w:t>
      </w:r>
      <w:r w:rsidR="00A246B8" w:rsidRPr="00C10B9C">
        <w:rPr>
          <w:rFonts w:asciiTheme="minorHAnsi" w:hAnsiTheme="minorHAnsi" w:cstheme="minorHAnsi"/>
          <w:szCs w:val="24"/>
        </w:rPr>
        <w:tab/>
        <w:t>In closing, she expressed gratitude to all delegates for their trust, emphasizing the importance of global collaboration in navigating technological advancements. With that, she returned the floor to the Chair</w:t>
      </w:r>
      <w:r w:rsidR="00687A9A" w:rsidRPr="00C10B9C">
        <w:rPr>
          <w:rFonts w:asciiTheme="minorHAnsi" w:hAnsiTheme="minorHAnsi" w:cstheme="minorHAnsi"/>
          <w:szCs w:val="24"/>
        </w:rPr>
        <w:t xml:space="preserve"> who thanked Ms Vernita Harris and the delegates </w:t>
      </w:r>
      <w:r w:rsidR="00FB01C9" w:rsidRPr="00C10B9C">
        <w:rPr>
          <w:rFonts w:asciiTheme="minorHAnsi" w:hAnsiTheme="minorHAnsi" w:cstheme="minorHAnsi"/>
          <w:szCs w:val="24"/>
        </w:rPr>
        <w:t xml:space="preserve">for having </w:t>
      </w:r>
      <w:r w:rsidR="00687A9A" w:rsidRPr="00C10B9C">
        <w:rPr>
          <w:rFonts w:asciiTheme="minorHAnsi" w:hAnsiTheme="minorHAnsi" w:cstheme="minorHAnsi"/>
          <w:szCs w:val="24"/>
        </w:rPr>
        <w:t xml:space="preserve">entrusted him with such a task. He also thanked the ITU staff and the </w:t>
      </w:r>
      <w:r w:rsidR="00FB01C9" w:rsidRPr="00C10B9C">
        <w:rPr>
          <w:rFonts w:asciiTheme="minorHAnsi" w:hAnsiTheme="minorHAnsi" w:cstheme="minorHAnsi"/>
          <w:szCs w:val="24"/>
        </w:rPr>
        <w:t xml:space="preserve">interpreters for their work. </w:t>
      </w:r>
      <w:r w:rsidR="00305359" w:rsidRPr="00C10B9C">
        <w:rPr>
          <w:rFonts w:asciiTheme="minorHAnsi" w:hAnsiTheme="minorHAnsi" w:cstheme="minorHAnsi"/>
          <w:szCs w:val="24"/>
        </w:rPr>
        <w:t>T</w:t>
      </w:r>
      <w:r w:rsidR="00687A9A" w:rsidRPr="00C10B9C">
        <w:rPr>
          <w:rFonts w:asciiTheme="minorHAnsi" w:hAnsiTheme="minorHAnsi" w:cstheme="minorHAnsi"/>
          <w:szCs w:val="24"/>
        </w:rPr>
        <w:t xml:space="preserve">he session was </w:t>
      </w:r>
      <w:r w:rsidR="00305359" w:rsidRPr="00C10B9C">
        <w:rPr>
          <w:rFonts w:asciiTheme="minorHAnsi" w:hAnsiTheme="minorHAnsi" w:cstheme="minorHAnsi"/>
          <w:szCs w:val="24"/>
        </w:rPr>
        <w:t xml:space="preserve">thereafter </w:t>
      </w:r>
      <w:r w:rsidR="00687A9A" w:rsidRPr="00C10B9C">
        <w:rPr>
          <w:rFonts w:asciiTheme="minorHAnsi" w:hAnsiTheme="minorHAnsi" w:cstheme="minorHAnsi"/>
          <w:szCs w:val="24"/>
        </w:rPr>
        <w:t>officially concluded.</w:t>
      </w:r>
    </w:p>
    <w:p w14:paraId="7E86CCBC" w14:textId="4B8534BF" w:rsidR="002B02ED" w:rsidRDefault="002B02ED" w:rsidP="002B02ED">
      <w:pPr>
        <w:tabs>
          <w:tab w:val="clear" w:pos="567"/>
          <w:tab w:val="clear" w:pos="1134"/>
          <w:tab w:val="left" w:pos="851"/>
        </w:tabs>
        <w:spacing w:before="1440"/>
        <w:rPr>
          <w:rFonts w:cs="Calibri"/>
          <w:b/>
          <w:i/>
          <w:iCs/>
          <w:szCs w:val="24"/>
        </w:rPr>
      </w:pPr>
      <w:r w:rsidRPr="002B02ED">
        <w:rPr>
          <w:rFonts w:cs="Calibri"/>
          <w:b/>
          <w:i/>
          <w:iCs/>
          <w:szCs w:val="24"/>
        </w:rPr>
        <w:t>Annex: 1</w:t>
      </w:r>
    </w:p>
    <w:p w14:paraId="5045683D" w14:textId="77777777" w:rsidR="002B02ED" w:rsidRDefault="002B02ED">
      <w:pPr>
        <w:tabs>
          <w:tab w:val="clear" w:pos="567"/>
          <w:tab w:val="clear" w:pos="1134"/>
          <w:tab w:val="clear" w:pos="1701"/>
          <w:tab w:val="clear" w:pos="2268"/>
          <w:tab w:val="clear" w:pos="2835"/>
        </w:tabs>
        <w:overflowPunct/>
        <w:autoSpaceDE/>
        <w:autoSpaceDN/>
        <w:adjustRightInd/>
        <w:spacing w:before="0"/>
        <w:textAlignment w:val="auto"/>
        <w:rPr>
          <w:rFonts w:cs="Calibri"/>
          <w:b/>
          <w:i/>
          <w:iCs/>
          <w:szCs w:val="24"/>
        </w:rPr>
      </w:pPr>
      <w:r>
        <w:rPr>
          <w:rFonts w:cs="Calibri"/>
          <w:b/>
          <w:i/>
          <w:iCs/>
          <w:szCs w:val="24"/>
        </w:rPr>
        <w:br w:type="page"/>
      </w:r>
    </w:p>
    <w:p w14:paraId="05CB5C18" w14:textId="77777777" w:rsidR="002B02ED" w:rsidRDefault="002B02ED" w:rsidP="002B02ED">
      <w:pPr>
        <w:pStyle w:val="AnnexNo"/>
      </w:pPr>
    </w:p>
    <w:p w14:paraId="4FD55C40" w14:textId="74DAB7D5" w:rsidR="002B02ED" w:rsidRDefault="002B02ED" w:rsidP="002B02ED">
      <w:pPr>
        <w:pStyle w:val="AnnexNo"/>
        <w:spacing w:before="480"/>
      </w:pPr>
      <w:bookmarkStart w:id="14" w:name="AnnexA"/>
      <w:r w:rsidRPr="00F312BD">
        <w:t>ANNEX A</w:t>
      </w:r>
      <w:bookmarkEnd w:id="14"/>
    </w:p>
    <w:p w14:paraId="201AD9C3" w14:textId="77777777" w:rsidR="002B02ED" w:rsidRPr="008C3879" w:rsidRDefault="002B02ED" w:rsidP="002B02ED">
      <w:pPr>
        <w:pStyle w:val="Annextitle"/>
      </w:pPr>
      <w:r w:rsidRPr="008C3879">
        <w:t>Terms of Reference for the review of ITU Regional Presence</w:t>
      </w:r>
    </w:p>
    <w:p w14:paraId="4120C0A4" w14:textId="77777777" w:rsidR="002B02ED" w:rsidRPr="008C3879" w:rsidRDefault="002B02ED" w:rsidP="002B02ED">
      <w:pPr>
        <w:pStyle w:val="Headingb"/>
      </w:pPr>
      <w:r w:rsidRPr="008C3879">
        <w:t>Purpose</w:t>
      </w:r>
    </w:p>
    <w:p w14:paraId="208B3344" w14:textId="77777777" w:rsidR="002B02ED" w:rsidRPr="008C3879" w:rsidRDefault="002B02ED" w:rsidP="002B02ED">
      <w:pPr>
        <w:jc w:val="both"/>
      </w:pPr>
      <w:r w:rsidRPr="008C3879">
        <w:t>This Terms of Reference (</w:t>
      </w:r>
      <w:proofErr w:type="spellStart"/>
      <w:r w:rsidRPr="008C3879">
        <w:t>ToR</w:t>
      </w:r>
      <w:proofErr w:type="spellEnd"/>
      <w:r w:rsidRPr="008C3879">
        <w:t xml:space="preserve">) outlines the framework for the comprehensive review of the </w:t>
      </w:r>
      <w:r w:rsidRPr="008C3879">
        <w:rPr>
          <w:spacing w:val="-2"/>
        </w:rPr>
        <w:t>International Telecommunication Union (ITU) regional presence, as mandated by Resolution 25</w:t>
      </w:r>
      <w:r w:rsidRPr="008C3879">
        <w:t xml:space="preserve"> (Rev. Bucharest, 2022). The review aims to achieve the following key objectives:</w:t>
      </w:r>
    </w:p>
    <w:p w14:paraId="173A6975" w14:textId="77777777" w:rsidR="002B02ED" w:rsidRPr="008C3879" w:rsidRDefault="002B02ED" w:rsidP="002B02ED">
      <w:pPr>
        <w:pStyle w:val="enumlev1"/>
        <w:jc w:val="both"/>
      </w:pPr>
      <w:r w:rsidRPr="008C3879">
        <w:rPr>
          <w:sz w:val="20"/>
        </w:rPr>
        <w:t>1</w:t>
      </w:r>
      <w:r w:rsidRPr="008C3879">
        <w:rPr>
          <w:sz w:val="20"/>
        </w:rPr>
        <w:tab/>
      </w:r>
      <w:r w:rsidRPr="008C3879">
        <w:rPr>
          <w:b/>
          <w:bCs/>
        </w:rPr>
        <w:t>Evaluate</w:t>
      </w:r>
      <w:r w:rsidRPr="008C3879">
        <w:t xml:space="preserve"> the effectiveness and efficiency of the regional presence in delivering value to the membership and reflecting the concept of ‘One ITU’.</w:t>
      </w:r>
    </w:p>
    <w:p w14:paraId="36EC785C" w14:textId="77777777" w:rsidR="002B02ED" w:rsidRPr="008C3879" w:rsidRDefault="002B02ED" w:rsidP="002B02ED">
      <w:pPr>
        <w:pStyle w:val="enumlev1"/>
        <w:jc w:val="both"/>
        <w:rPr>
          <w:rFonts w:asciiTheme="minorHAnsi" w:hAnsiTheme="minorHAnsi" w:cstheme="minorHAnsi"/>
          <w:szCs w:val="24"/>
        </w:rPr>
      </w:pPr>
      <w:r w:rsidRPr="008C3879">
        <w:rPr>
          <w:rFonts w:asciiTheme="minorHAnsi" w:hAnsiTheme="minorHAnsi" w:cstheme="minorHAnsi"/>
          <w:sz w:val="20"/>
          <w:szCs w:val="24"/>
        </w:rPr>
        <w:t>2</w:t>
      </w:r>
      <w:r w:rsidRPr="008C3879">
        <w:rPr>
          <w:rFonts w:asciiTheme="minorHAnsi" w:hAnsiTheme="minorHAnsi" w:cstheme="minorHAnsi"/>
          <w:sz w:val="20"/>
          <w:szCs w:val="24"/>
        </w:rPr>
        <w:tab/>
      </w:r>
      <w:r w:rsidRPr="008C3879">
        <w:rPr>
          <w:rFonts w:asciiTheme="minorHAnsi" w:hAnsiTheme="minorHAnsi" w:cstheme="minorHAnsi"/>
          <w:b/>
          <w:bCs/>
          <w:szCs w:val="24"/>
        </w:rPr>
        <w:t>Assess</w:t>
      </w:r>
      <w:r w:rsidRPr="008C3879">
        <w:rPr>
          <w:rFonts w:asciiTheme="minorHAnsi" w:hAnsiTheme="minorHAnsi" w:cstheme="minorHAnsi"/>
          <w:szCs w:val="24"/>
        </w:rPr>
        <w:t xml:space="preserve"> the implementation of relevant </w:t>
      </w:r>
      <w:r w:rsidRPr="008C3879">
        <w:t>recommendations</w:t>
      </w:r>
      <w:r w:rsidRPr="008C3879">
        <w:rPr>
          <w:rFonts w:asciiTheme="minorHAnsi" w:hAnsiTheme="minorHAnsi" w:cstheme="minorHAnsi"/>
          <w:szCs w:val="24"/>
        </w:rPr>
        <w:t xml:space="preserve"> of the Internal Auditor, the External Auditor and the ITU Independent Management Advisory Committee (IMAC).</w:t>
      </w:r>
    </w:p>
    <w:p w14:paraId="28D22682" w14:textId="77777777" w:rsidR="002B02ED" w:rsidRPr="008C3879" w:rsidRDefault="002B02ED" w:rsidP="002B02ED">
      <w:pPr>
        <w:pStyle w:val="enumlev1"/>
        <w:jc w:val="both"/>
        <w:rPr>
          <w:rFonts w:asciiTheme="minorHAnsi" w:hAnsiTheme="minorHAnsi" w:cstheme="minorHAnsi"/>
          <w:szCs w:val="24"/>
        </w:rPr>
      </w:pPr>
      <w:r w:rsidRPr="008C3879">
        <w:rPr>
          <w:rFonts w:asciiTheme="minorHAnsi" w:hAnsiTheme="minorHAnsi" w:cstheme="minorHAnsi"/>
          <w:sz w:val="20"/>
          <w:szCs w:val="24"/>
        </w:rPr>
        <w:t>3</w:t>
      </w:r>
      <w:r w:rsidRPr="008C3879">
        <w:rPr>
          <w:rFonts w:asciiTheme="minorHAnsi" w:hAnsiTheme="minorHAnsi" w:cstheme="minorHAnsi"/>
          <w:sz w:val="20"/>
          <w:szCs w:val="24"/>
        </w:rPr>
        <w:tab/>
      </w:r>
      <w:r w:rsidRPr="008C3879">
        <w:rPr>
          <w:rFonts w:asciiTheme="minorHAnsi" w:hAnsiTheme="minorHAnsi" w:cstheme="minorHAnsi"/>
          <w:b/>
          <w:bCs/>
          <w:szCs w:val="24"/>
        </w:rPr>
        <w:t>Identify</w:t>
      </w:r>
      <w:r w:rsidRPr="008C3879">
        <w:rPr>
          <w:rFonts w:asciiTheme="minorHAnsi" w:hAnsiTheme="minorHAnsi" w:cstheme="minorHAnsi"/>
          <w:szCs w:val="24"/>
        </w:rPr>
        <w:t xml:space="preserve"> opportunities for improvement and </w:t>
      </w:r>
      <w:r w:rsidRPr="008C3879">
        <w:t>recommend</w:t>
      </w:r>
      <w:r w:rsidRPr="008C3879">
        <w:rPr>
          <w:rFonts w:asciiTheme="minorHAnsi" w:hAnsiTheme="minorHAnsi" w:cstheme="minorHAnsi"/>
          <w:szCs w:val="24"/>
        </w:rPr>
        <w:t xml:space="preserve"> actionable measures to optimize the ITU’s regional operations.</w:t>
      </w:r>
    </w:p>
    <w:p w14:paraId="211C0ED6" w14:textId="77777777" w:rsidR="002B02ED" w:rsidRPr="008C3879" w:rsidRDefault="002B02ED" w:rsidP="002B02ED">
      <w:pPr>
        <w:pStyle w:val="enumlev1"/>
        <w:jc w:val="both"/>
        <w:rPr>
          <w:rFonts w:asciiTheme="minorHAnsi" w:hAnsiTheme="minorHAnsi" w:cstheme="minorHAnsi"/>
          <w:szCs w:val="24"/>
        </w:rPr>
      </w:pPr>
      <w:r w:rsidRPr="008C3879">
        <w:rPr>
          <w:rFonts w:asciiTheme="minorHAnsi" w:hAnsiTheme="minorHAnsi" w:cstheme="minorHAnsi"/>
          <w:sz w:val="20"/>
          <w:szCs w:val="24"/>
        </w:rPr>
        <w:t>4</w:t>
      </w:r>
      <w:r w:rsidRPr="008C3879">
        <w:rPr>
          <w:rFonts w:asciiTheme="minorHAnsi" w:hAnsiTheme="minorHAnsi" w:cstheme="minorHAnsi"/>
          <w:sz w:val="20"/>
          <w:szCs w:val="24"/>
        </w:rPr>
        <w:tab/>
      </w:r>
      <w:r w:rsidRPr="008C3879">
        <w:rPr>
          <w:rFonts w:asciiTheme="minorHAnsi" w:hAnsiTheme="minorHAnsi" w:cstheme="minorHAnsi"/>
          <w:b/>
          <w:bCs/>
          <w:szCs w:val="24"/>
        </w:rPr>
        <w:t>Align</w:t>
      </w:r>
      <w:r w:rsidRPr="008C3879">
        <w:rPr>
          <w:rFonts w:asciiTheme="minorHAnsi" w:hAnsiTheme="minorHAnsi" w:cstheme="minorHAnsi"/>
          <w:szCs w:val="24"/>
        </w:rPr>
        <w:t xml:space="preserve"> regional presence with </w:t>
      </w:r>
      <w:r w:rsidRPr="008C3879">
        <w:t>ITU’s</w:t>
      </w:r>
      <w:r w:rsidRPr="008C3879">
        <w:rPr>
          <w:rFonts w:asciiTheme="minorHAnsi" w:hAnsiTheme="minorHAnsi" w:cstheme="minorHAnsi"/>
          <w:szCs w:val="24"/>
        </w:rPr>
        <w:t xml:space="preserve"> strategic vision and operational goals, ensuring sustainable and impactful service delivery.</w:t>
      </w:r>
    </w:p>
    <w:p w14:paraId="4C71F7C4" w14:textId="77777777" w:rsidR="002B02ED" w:rsidRPr="008C3879" w:rsidRDefault="002B02ED" w:rsidP="002B02ED">
      <w:pPr>
        <w:jc w:val="both"/>
        <w:rPr>
          <w:rFonts w:asciiTheme="minorHAnsi" w:hAnsiTheme="minorHAnsi" w:cstheme="minorHAnsi"/>
          <w:szCs w:val="24"/>
        </w:rPr>
      </w:pPr>
      <w:r w:rsidRPr="008C3879">
        <w:rPr>
          <w:rFonts w:asciiTheme="minorHAnsi" w:hAnsiTheme="minorHAnsi" w:cstheme="minorHAnsi"/>
          <w:szCs w:val="24"/>
        </w:rPr>
        <w:t xml:space="preserve">The </w:t>
      </w:r>
      <w:r w:rsidRPr="008C3879">
        <w:t>review</w:t>
      </w:r>
      <w:r w:rsidRPr="008C3879">
        <w:rPr>
          <w:rFonts w:asciiTheme="minorHAnsi" w:hAnsiTheme="minorHAnsi" w:cstheme="minorHAnsi"/>
          <w:szCs w:val="24"/>
        </w:rPr>
        <w:t xml:space="preserve"> shall: </w:t>
      </w:r>
    </w:p>
    <w:p w14:paraId="4B3AF3BE" w14:textId="77777777" w:rsidR="002B02ED" w:rsidRPr="008C3879" w:rsidRDefault="002B02ED" w:rsidP="002B02ED">
      <w:pPr>
        <w:pStyle w:val="enumlev1"/>
        <w:jc w:val="both"/>
        <w:rPr>
          <w:rFonts w:cstheme="minorHAnsi"/>
          <w:szCs w:val="24"/>
        </w:rPr>
      </w:pPr>
      <w:r w:rsidRPr="008C3879">
        <w:rPr>
          <w:rFonts w:asciiTheme="minorHAnsi" w:hAnsiTheme="minorHAnsi" w:cstheme="minorHAnsi"/>
          <w:sz w:val="20"/>
          <w:szCs w:val="24"/>
        </w:rPr>
        <w:t>1</w:t>
      </w:r>
      <w:r w:rsidRPr="008C3879">
        <w:rPr>
          <w:rFonts w:asciiTheme="minorHAnsi" w:hAnsiTheme="minorHAnsi" w:cstheme="minorHAnsi"/>
          <w:sz w:val="20"/>
          <w:szCs w:val="24"/>
        </w:rPr>
        <w:tab/>
      </w:r>
      <w:r w:rsidRPr="008C3879">
        <w:rPr>
          <w:rFonts w:cstheme="minorHAnsi"/>
          <w:szCs w:val="24"/>
        </w:rPr>
        <w:t xml:space="preserve">Provide tools to </w:t>
      </w:r>
      <w:r w:rsidRPr="008C3879">
        <w:t>establish</w:t>
      </w:r>
      <w:r w:rsidRPr="008C3879">
        <w:rPr>
          <w:rFonts w:cstheme="minorHAnsi"/>
          <w:szCs w:val="24"/>
        </w:rPr>
        <w:t>, assess and improve the performance of its Regional and Area Offices, ensuring they deliver measurable and impactful results.</w:t>
      </w:r>
    </w:p>
    <w:p w14:paraId="2FA59C30" w14:textId="77777777" w:rsidR="002B02ED" w:rsidRPr="008C3879" w:rsidRDefault="002B02ED" w:rsidP="002B02ED">
      <w:pPr>
        <w:pStyle w:val="enumlev1"/>
        <w:jc w:val="both"/>
        <w:rPr>
          <w:rFonts w:cstheme="minorHAnsi"/>
          <w:szCs w:val="24"/>
        </w:rPr>
      </w:pPr>
      <w:r w:rsidRPr="008C3879">
        <w:rPr>
          <w:rFonts w:asciiTheme="minorHAnsi" w:hAnsiTheme="minorHAnsi" w:cstheme="minorHAnsi"/>
          <w:sz w:val="20"/>
          <w:szCs w:val="24"/>
        </w:rPr>
        <w:t>2</w:t>
      </w:r>
      <w:r w:rsidRPr="008C3879">
        <w:rPr>
          <w:rFonts w:asciiTheme="minorHAnsi" w:hAnsiTheme="minorHAnsi" w:cstheme="minorHAnsi"/>
          <w:sz w:val="20"/>
          <w:szCs w:val="24"/>
        </w:rPr>
        <w:tab/>
      </w:r>
      <w:r w:rsidRPr="008C3879">
        <w:rPr>
          <w:rFonts w:cstheme="minorHAnsi"/>
          <w:szCs w:val="24"/>
        </w:rPr>
        <w:t xml:space="preserve">Enable the refinement of the role, structure, and objectives of its regional presence to maximize alignment </w:t>
      </w:r>
      <w:r w:rsidRPr="008C3879">
        <w:t>with</w:t>
      </w:r>
      <w:r w:rsidRPr="008C3879">
        <w:rPr>
          <w:rFonts w:cstheme="minorHAnsi"/>
          <w:szCs w:val="24"/>
        </w:rPr>
        <w:t xml:space="preserve"> organizational goals.</w:t>
      </w:r>
    </w:p>
    <w:p w14:paraId="7F65A0F2" w14:textId="77777777" w:rsidR="002B02ED" w:rsidRPr="008C3879" w:rsidRDefault="002B02ED" w:rsidP="002B02ED">
      <w:pPr>
        <w:pStyle w:val="enumlev1"/>
        <w:jc w:val="both"/>
        <w:rPr>
          <w:rFonts w:cstheme="minorHAnsi"/>
          <w:szCs w:val="24"/>
        </w:rPr>
      </w:pPr>
      <w:r w:rsidRPr="008C3879">
        <w:rPr>
          <w:rFonts w:asciiTheme="minorHAnsi" w:hAnsiTheme="minorHAnsi" w:cstheme="minorHAnsi"/>
          <w:sz w:val="20"/>
          <w:szCs w:val="24"/>
        </w:rPr>
        <w:t>3</w:t>
      </w:r>
      <w:r w:rsidRPr="008C3879">
        <w:rPr>
          <w:rFonts w:asciiTheme="minorHAnsi" w:hAnsiTheme="minorHAnsi" w:cstheme="minorHAnsi"/>
          <w:sz w:val="20"/>
          <w:szCs w:val="24"/>
        </w:rPr>
        <w:tab/>
      </w:r>
      <w:r w:rsidRPr="008C3879">
        <w:rPr>
          <w:rFonts w:cstheme="minorHAnsi"/>
          <w:szCs w:val="24"/>
        </w:rPr>
        <w:t>Ensure that ITU’s regional presence plays a pivotal role in executing the ITU Strategic Plan and applicable Plans of Action effectively and efficiently.</w:t>
      </w:r>
    </w:p>
    <w:p w14:paraId="78DC5700" w14:textId="77777777" w:rsidR="002B02ED" w:rsidRPr="008C3879" w:rsidRDefault="002B02ED" w:rsidP="002B02ED">
      <w:pPr>
        <w:pStyle w:val="enumlev1"/>
        <w:jc w:val="both"/>
        <w:rPr>
          <w:rFonts w:cstheme="minorHAnsi"/>
          <w:szCs w:val="24"/>
        </w:rPr>
      </w:pPr>
      <w:r w:rsidRPr="008C3879">
        <w:rPr>
          <w:rFonts w:asciiTheme="minorHAnsi" w:hAnsiTheme="minorHAnsi" w:cstheme="minorHAnsi"/>
          <w:sz w:val="20"/>
          <w:szCs w:val="24"/>
        </w:rPr>
        <w:t>4</w:t>
      </w:r>
      <w:r w:rsidRPr="008C3879">
        <w:rPr>
          <w:rFonts w:asciiTheme="minorHAnsi" w:hAnsiTheme="minorHAnsi" w:cstheme="minorHAnsi"/>
          <w:sz w:val="20"/>
          <w:szCs w:val="24"/>
        </w:rPr>
        <w:tab/>
      </w:r>
      <w:r w:rsidRPr="008C3879">
        <w:rPr>
          <w:rFonts w:cstheme="minorHAnsi"/>
          <w:szCs w:val="24"/>
        </w:rPr>
        <w:t xml:space="preserve">Guarantee that ITU’s Regional and Area Offices are deeply integrated into the UN development system </w:t>
      </w:r>
      <w:r w:rsidRPr="008C3879">
        <w:t>and</w:t>
      </w:r>
      <w:r w:rsidRPr="008C3879">
        <w:rPr>
          <w:rFonts w:cstheme="minorHAnsi"/>
          <w:szCs w:val="24"/>
        </w:rPr>
        <w:t xml:space="preserve"> the broader industry ecosystem at both national and regional levels, driving meaningful partnerships and synergies.</w:t>
      </w:r>
    </w:p>
    <w:p w14:paraId="38029B34" w14:textId="77777777" w:rsidR="002B02ED" w:rsidRPr="008C3879" w:rsidRDefault="002B02ED" w:rsidP="002B02ED">
      <w:pPr>
        <w:pStyle w:val="enumlev1"/>
        <w:jc w:val="both"/>
        <w:rPr>
          <w:rFonts w:cstheme="minorHAnsi"/>
          <w:szCs w:val="24"/>
        </w:rPr>
      </w:pPr>
      <w:r w:rsidRPr="008C3879">
        <w:rPr>
          <w:rFonts w:asciiTheme="minorHAnsi" w:hAnsiTheme="minorHAnsi" w:cstheme="minorHAnsi"/>
          <w:sz w:val="20"/>
          <w:szCs w:val="24"/>
        </w:rPr>
        <w:t>5</w:t>
      </w:r>
      <w:r w:rsidRPr="008C3879">
        <w:rPr>
          <w:rFonts w:asciiTheme="minorHAnsi" w:hAnsiTheme="minorHAnsi" w:cstheme="minorHAnsi"/>
          <w:sz w:val="20"/>
          <w:szCs w:val="24"/>
        </w:rPr>
        <w:tab/>
      </w:r>
      <w:r w:rsidRPr="008C3879">
        <w:rPr>
          <w:rFonts w:cstheme="minorHAnsi"/>
          <w:szCs w:val="24"/>
        </w:rPr>
        <w:t xml:space="preserve">Identify measures to bolster internal controls within Regional and Area Offices, promoting sound </w:t>
      </w:r>
      <w:r w:rsidRPr="008C3879">
        <w:t>management</w:t>
      </w:r>
      <w:r w:rsidRPr="008C3879">
        <w:rPr>
          <w:rFonts w:cstheme="minorHAnsi"/>
          <w:szCs w:val="24"/>
        </w:rPr>
        <w:t xml:space="preserve"> practices.</w:t>
      </w:r>
    </w:p>
    <w:p w14:paraId="5708EBA3" w14:textId="77777777" w:rsidR="002B02ED" w:rsidRPr="008C3879" w:rsidRDefault="002B02ED" w:rsidP="002B02ED">
      <w:pPr>
        <w:pStyle w:val="Headingb"/>
      </w:pPr>
      <w:r w:rsidRPr="008C3879">
        <w:t>Methodology</w:t>
      </w:r>
    </w:p>
    <w:p w14:paraId="0C44AC93" w14:textId="77777777" w:rsidR="002B02ED" w:rsidRPr="008C3879" w:rsidRDefault="002B02ED" w:rsidP="002B02ED">
      <w:pPr>
        <w:jc w:val="both"/>
        <w:rPr>
          <w:rFonts w:asciiTheme="minorHAnsi" w:hAnsiTheme="minorHAnsi" w:cstheme="minorHAnsi"/>
          <w:szCs w:val="24"/>
        </w:rPr>
      </w:pPr>
      <w:r w:rsidRPr="008C3879">
        <w:rPr>
          <w:rFonts w:asciiTheme="minorHAnsi" w:hAnsiTheme="minorHAnsi" w:cstheme="minorHAnsi"/>
          <w:szCs w:val="24"/>
        </w:rPr>
        <w:t xml:space="preserve">To ensure a thorough and </w:t>
      </w:r>
      <w:r w:rsidRPr="008C3879">
        <w:t>objective</w:t>
      </w:r>
      <w:r w:rsidRPr="008C3879">
        <w:rPr>
          <w:rFonts w:asciiTheme="minorHAnsi" w:hAnsiTheme="minorHAnsi" w:cstheme="minorHAnsi"/>
          <w:szCs w:val="24"/>
        </w:rPr>
        <w:t xml:space="preserve"> review, the following methodologies will be employed by the Secretariat:</w:t>
      </w:r>
    </w:p>
    <w:p w14:paraId="419D4D82" w14:textId="77777777" w:rsidR="002B02ED" w:rsidRPr="008C3879" w:rsidRDefault="002B02ED" w:rsidP="002B02ED">
      <w:pPr>
        <w:pStyle w:val="enumlev1"/>
        <w:jc w:val="both"/>
        <w:rPr>
          <w:rFonts w:asciiTheme="minorHAnsi" w:hAnsiTheme="minorHAnsi" w:cstheme="minorHAnsi"/>
          <w:szCs w:val="24"/>
        </w:rPr>
      </w:pPr>
      <w:r w:rsidRPr="00BB0748">
        <w:rPr>
          <w:rFonts w:asciiTheme="minorHAnsi" w:hAnsiTheme="minorHAnsi" w:cstheme="minorHAnsi"/>
          <w:i/>
          <w:iCs/>
          <w:szCs w:val="24"/>
        </w:rPr>
        <w:t>a)</w:t>
      </w:r>
      <w:r w:rsidRPr="008C3879">
        <w:rPr>
          <w:rFonts w:asciiTheme="minorHAnsi" w:hAnsiTheme="minorHAnsi" w:cstheme="minorHAnsi"/>
          <w:szCs w:val="24"/>
        </w:rPr>
        <w:tab/>
      </w:r>
      <w:r w:rsidRPr="008C3879">
        <w:rPr>
          <w:rFonts w:asciiTheme="minorHAnsi" w:hAnsiTheme="minorHAnsi" w:cstheme="minorHAnsi"/>
          <w:b/>
          <w:bCs/>
          <w:szCs w:val="24"/>
        </w:rPr>
        <w:t>Document analysis</w:t>
      </w:r>
      <w:r w:rsidRPr="008C3879">
        <w:rPr>
          <w:rFonts w:asciiTheme="minorHAnsi" w:hAnsiTheme="minorHAnsi" w:cstheme="minorHAnsi"/>
          <w:szCs w:val="24"/>
        </w:rPr>
        <w:t xml:space="preserve">: Conduct a desk review of foundational documents, including Resolution 25, ITU’s strategic plans, and operational, performance and audit reports. </w:t>
      </w:r>
    </w:p>
    <w:p w14:paraId="4AB3405A" w14:textId="77777777" w:rsidR="002B02ED" w:rsidRPr="008C3879" w:rsidRDefault="002B02ED" w:rsidP="002B02ED">
      <w:pPr>
        <w:pStyle w:val="enumlev1"/>
        <w:jc w:val="both"/>
        <w:rPr>
          <w:rFonts w:asciiTheme="minorHAnsi" w:hAnsiTheme="minorHAnsi" w:cstheme="minorHAnsi"/>
          <w:szCs w:val="24"/>
        </w:rPr>
      </w:pPr>
      <w:r w:rsidRPr="00BB0748">
        <w:rPr>
          <w:rFonts w:asciiTheme="minorHAnsi" w:hAnsiTheme="minorHAnsi" w:cstheme="minorHAnsi"/>
          <w:i/>
          <w:iCs/>
          <w:szCs w:val="24"/>
        </w:rPr>
        <w:t>b)</w:t>
      </w:r>
      <w:r w:rsidRPr="00BB0748">
        <w:rPr>
          <w:rFonts w:asciiTheme="minorHAnsi" w:hAnsiTheme="minorHAnsi" w:cstheme="minorHAnsi"/>
          <w:i/>
          <w:iCs/>
          <w:szCs w:val="24"/>
        </w:rPr>
        <w:tab/>
      </w:r>
      <w:r w:rsidRPr="008C3879">
        <w:rPr>
          <w:rFonts w:asciiTheme="minorHAnsi" w:hAnsiTheme="minorHAnsi" w:cstheme="minorHAnsi"/>
          <w:b/>
          <w:bCs/>
          <w:szCs w:val="24"/>
        </w:rPr>
        <w:t xml:space="preserve">Data analysis: </w:t>
      </w:r>
      <w:r w:rsidRPr="008C3879">
        <w:rPr>
          <w:rFonts w:asciiTheme="minorHAnsi" w:hAnsiTheme="minorHAnsi" w:cstheme="minorHAnsi"/>
          <w:szCs w:val="24"/>
        </w:rPr>
        <w:t xml:space="preserve">Analyse key data </w:t>
      </w:r>
      <w:r w:rsidRPr="008C3879">
        <w:rPr>
          <w:szCs w:val="24"/>
        </w:rPr>
        <w:t>points</w:t>
      </w:r>
      <w:r>
        <w:rPr>
          <w:szCs w:val="24"/>
        </w:rPr>
        <w:t>,</w:t>
      </w:r>
      <w:r w:rsidRPr="008C3879">
        <w:rPr>
          <w:rFonts w:asciiTheme="minorHAnsi" w:hAnsiTheme="minorHAnsi" w:cstheme="minorHAnsi"/>
          <w:szCs w:val="24"/>
        </w:rPr>
        <w:t xml:space="preserve"> including staffing structures, budget allocations, and project outcomes</w:t>
      </w:r>
      <w:r>
        <w:rPr>
          <w:rFonts w:asciiTheme="minorHAnsi" w:hAnsiTheme="minorHAnsi" w:cstheme="minorHAnsi"/>
          <w:szCs w:val="24"/>
        </w:rPr>
        <w:t>,</w:t>
      </w:r>
      <w:r w:rsidRPr="008C3879">
        <w:rPr>
          <w:rFonts w:asciiTheme="minorHAnsi" w:hAnsiTheme="minorHAnsi" w:cstheme="minorHAnsi"/>
          <w:szCs w:val="24"/>
        </w:rPr>
        <w:t xml:space="preserve"> to uncover trends, gaps, and opportunities for enhancement.</w:t>
      </w:r>
    </w:p>
    <w:p w14:paraId="59B8AB83" w14:textId="77777777" w:rsidR="002B02ED" w:rsidRPr="008C3879" w:rsidRDefault="002B02ED" w:rsidP="002B02ED">
      <w:pPr>
        <w:pStyle w:val="enumlev1"/>
        <w:jc w:val="both"/>
        <w:rPr>
          <w:rFonts w:asciiTheme="minorHAnsi" w:hAnsiTheme="minorHAnsi" w:cstheme="minorHAnsi"/>
          <w:szCs w:val="24"/>
        </w:rPr>
      </w:pPr>
      <w:r w:rsidRPr="00BB0748">
        <w:rPr>
          <w:rFonts w:asciiTheme="minorHAnsi" w:hAnsiTheme="minorHAnsi" w:cstheme="minorHAnsi"/>
          <w:i/>
          <w:iCs/>
          <w:szCs w:val="24"/>
        </w:rPr>
        <w:t>c)</w:t>
      </w:r>
      <w:r w:rsidRPr="008C3879">
        <w:rPr>
          <w:rFonts w:asciiTheme="minorHAnsi" w:hAnsiTheme="minorHAnsi" w:cstheme="minorHAnsi"/>
          <w:szCs w:val="24"/>
        </w:rPr>
        <w:tab/>
      </w:r>
      <w:r w:rsidRPr="008C3879">
        <w:rPr>
          <w:rFonts w:asciiTheme="minorHAnsi" w:hAnsiTheme="minorHAnsi" w:cstheme="minorHAnsi"/>
          <w:b/>
          <w:bCs/>
          <w:szCs w:val="24"/>
        </w:rPr>
        <w:t>Stakeholder consultations</w:t>
      </w:r>
      <w:r w:rsidRPr="008C3879">
        <w:rPr>
          <w:rFonts w:asciiTheme="minorHAnsi" w:hAnsiTheme="minorHAnsi" w:cstheme="minorHAnsi"/>
          <w:szCs w:val="24"/>
        </w:rPr>
        <w:t xml:space="preserve">: Engage internally with key stakeholders and consult with ITU advisory groups to gain insights and strategic </w:t>
      </w:r>
      <w:r w:rsidRPr="008C3879">
        <w:rPr>
          <w:szCs w:val="24"/>
        </w:rPr>
        <w:t>guidance</w:t>
      </w:r>
      <w:r w:rsidRPr="008C3879">
        <w:rPr>
          <w:rFonts w:asciiTheme="minorHAnsi" w:hAnsiTheme="minorHAnsi" w:cstheme="minorHAnsi"/>
          <w:szCs w:val="24"/>
        </w:rPr>
        <w:t xml:space="preserve"> on shaping the future direction of ITU’s regional presence.</w:t>
      </w:r>
    </w:p>
    <w:p w14:paraId="1C98B33C" w14:textId="77777777" w:rsidR="002B02ED" w:rsidRPr="008C3879" w:rsidRDefault="002B02ED" w:rsidP="002B02ED">
      <w:pPr>
        <w:pStyle w:val="enumlev1"/>
        <w:jc w:val="both"/>
        <w:rPr>
          <w:rFonts w:asciiTheme="minorHAnsi" w:hAnsiTheme="minorHAnsi" w:cstheme="minorHAnsi"/>
          <w:szCs w:val="24"/>
        </w:rPr>
      </w:pPr>
      <w:r w:rsidRPr="008C3879">
        <w:rPr>
          <w:rFonts w:asciiTheme="minorHAnsi" w:hAnsiTheme="minorHAnsi" w:cstheme="minorHAnsi"/>
          <w:szCs w:val="24"/>
        </w:rPr>
        <w:tab/>
      </w:r>
      <w:r w:rsidRPr="008C3879">
        <w:rPr>
          <w:rFonts w:asciiTheme="minorHAnsi" w:hAnsiTheme="minorHAnsi" w:cstheme="minorHAnsi"/>
          <w:b/>
          <w:bCs/>
          <w:szCs w:val="24"/>
        </w:rPr>
        <w:t>Stakeholder surveys</w:t>
      </w:r>
      <w:r w:rsidRPr="008C3879">
        <w:rPr>
          <w:rFonts w:asciiTheme="minorHAnsi" w:hAnsiTheme="minorHAnsi" w:cstheme="minorHAnsi"/>
          <w:szCs w:val="24"/>
        </w:rPr>
        <w:t xml:space="preserve">: Administer and collect feedback on satisfaction levels from membership and Regional Telecommunication Organizations (RTOs) to gauge the impact </w:t>
      </w:r>
      <w:r w:rsidRPr="008C3879">
        <w:rPr>
          <w:rFonts w:asciiTheme="minorHAnsi" w:hAnsiTheme="minorHAnsi" w:cstheme="minorHAnsi"/>
          <w:szCs w:val="24"/>
        </w:rPr>
        <w:lastRenderedPageBreak/>
        <w:t>of regional presence with the priority assessment of the overall satisfaction with the activities of the Regional and Area Offices by their Membership.</w:t>
      </w:r>
    </w:p>
    <w:p w14:paraId="2920B4D4" w14:textId="77777777" w:rsidR="002B02ED" w:rsidRPr="008C3879" w:rsidRDefault="002B02ED" w:rsidP="002B02ED">
      <w:pPr>
        <w:pStyle w:val="enumlev1"/>
        <w:keepNext/>
        <w:jc w:val="both"/>
        <w:rPr>
          <w:rFonts w:asciiTheme="minorHAnsi" w:hAnsiTheme="minorHAnsi" w:cstheme="minorHAnsi"/>
          <w:b/>
          <w:bCs/>
          <w:szCs w:val="24"/>
        </w:rPr>
      </w:pPr>
      <w:r w:rsidRPr="00BB0748">
        <w:rPr>
          <w:rFonts w:asciiTheme="minorHAnsi" w:hAnsiTheme="minorHAnsi" w:cstheme="minorHAnsi"/>
          <w:i/>
          <w:iCs/>
          <w:szCs w:val="24"/>
        </w:rPr>
        <w:t>d)</w:t>
      </w:r>
      <w:r w:rsidRPr="008C3879">
        <w:rPr>
          <w:rFonts w:asciiTheme="minorHAnsi" w:hAnsiTheme="minorHAnsi" w:cstheme="minorHAnsi"/>
          <w:szCs w:val="24"/>
        </w:rPr>
        <w:tab/>
      </w:r>
      <w:r w:rsidRPr="008C3879">
        <w:rPr>
          <w:rFonts w:asciiTheme="minorHAnsi" w:hAnsiTheme="minorHAnsi" w:cstheme="minorHAnsi"/>
          <w:b/>
          <w:bCs/>
          <w:szCs w:val="24"/>
        </w:rPr>
        <w:t>Scope of work</w:t>
      </w:r>
    </w:p>
    <w:p w14:paraId="66C5ED0C" w14:textId="77777777" w:rsidR="002B02ED" w:rsidRPr="008C3879" w:rsidRDefault="002B02ED" w:rsidP="002B02ED">
      <w:pPr>
        <w:pStyle w:val="enumlev1"/>
        <w:jc w:val="both"/>
        <w:rPr>
          <w:rFonts w:asciiTheme="minorHAnsi" w:hAnsiTheme="minorHAnsi" w:cstheme="minorHAnsi"/>
          <w:szCs w:val="24"/>
        </w:rPr>
      </w:pPr>
      <w:r w:rsidRPr="008C3879">
        <w:rPr>
          <w:rFonts w:asciiTheme="minorHAnsi" w:hAnsiTheme="minorHAnsi" w:cstheme="minorHAnsi"/>
          <w:szCs w:val="24"/>
        </w:rPr>
        <w:tab/>
        <w:t xml:space="preserve">The scope of the </w:t>
      </w:r>
      <w:r w:rsidRPr="008C3879">
        <w:t>review</w:t>
      </w:r>
      <w:r w:rsidRPr="008C3879">
        <w:rPr>
          <w:rFonts w:asciiTheme="minorHAnsi" w:hAnsiTheme="minorHAnsi" w:cstheme="minorHAnsi"/>
          <w:szCs w:val="24"/>
        </w:rPr>
        <w:t xml:space="preserve"> is designed to address the following dimensions of ITU’s operations:</w:t>
      </w:r>
    </w:p>
    <w:p w14:paraId="5223E2DD" w14:textId="77777777" w:rsidR="002B02ED" w:rsidRPr="008C3879" w:rsidRDefault="002B02ED" w:rsidP="002B02ED">
      <w:pPr>
        <w:pStyle w:val="enumlev1"/>
        <w:jc w:val="both"/>
      </w:pPr>
      <w:r w:rsidRPr="008C3879">
        <w:rPr>
          <w:rFonts w:asciiTheme="minorHAnsi" w:hAnsiTheme="minorHAnsi"/>
        </w:rPr>
        <w:tab/>
        <w:t>1</w:t>
      </w:r>
      <w:r w:rsidRPr="008C3879">
        <w:rPr>
          <w:rFonts w:asciiTheme="minorHAnsi" w:hAnsiTheme="minorHAnsi"/>
        </w:rPr>
        <w:tab/>
      </w:r>
      <w:r w:rsidRPr="008C3879">
        <w:t xml:space="preserve">Assess whether appropriate and sufficient financial, human and material resources are being allocated to Regional and Area Offices, considering each regions characteristics, to effectively meet their activities, planned objectives, to represent ITU as a whole and have impact. </w:t>
      </w:r>
    </w:p>
    <w:p w14:paraId="45C31BA4" w14:textId="0C38771F" w:rsidR="002B02ED" w:rsidRPr="008C3879" w:rsidRDefault="002B02ED" w:rsidP="002B02ED">
      <w:pPr>
        <w:pStyle w:val="enumlev1"/>
        <w:jc w:val="both"/>
      </w:pPr>
      <w:r w:rsidRPr="008C3879">
        <w:rPr>
          <w:rFonts w:asciiTheme="minorHAnsi" w:eastAsiaTheme="minorEastAsia" w:hAnsiTheme="minorHAnsi"/>
        </w:rPr>
        <w:tab/>
        <w:t>2</w:t>
      </w:r>
      <w:r w:rsidRPr="008C3879">
        <w:rPr>
          <w:rFonts w:asciiTheme="minorHAnsi" w:eastAsiaTheme="minorEastAsia" w:hAnsiTheme="minorHAnsi"/>
        </w:rPr>
        <w:tab/>
      </w:r>
      <w:r w:rsidRPr="008C3879">
        <w:t xml:space="preserve">Review and assess the effectiveness of the resource mobilization function, as well as processes of consultants, special service agreement engagements and recruitments at regional offices and area offices taking into consideration the Key Performance Indicators (KPIs) detailed in </w:t>
      </w:r>
      <w:hyperlink w:anchor="Annex_1" w:history="1">
        <w:r w:rsidRPr="0047089E">
          <w:rPr>
            <w:rStyle w:val="Hyperlink"/>
          </w:rPr>
          <w:t>Annex 1</w:t>
        </w:r>
      </w:hyperlink>
      <w:r w:rsidRPr="008C3879">
        <w:t xml:space="preserve">. </w:t>
      </w:r>
    </w:p>
    <w:p w14:paraId="690836DF" w14:textId="77777777" w:rsidR="002B02ED" w:rsidRPr="008C3879" w:rsidRDefault="002B02ED" w:rsidP="002B02ED">
      <w:pPr>
        <w:pStyle w:val="enumlev1"/>
        <w:jc w:val="both"/>
      </w:pPr>
      <w:r w:rsidRPr="008C3879">
        <w:rPr>
          <w:rFonts w:asciiTheme="minorHAnsi" w:hAnsiTheme="minorHAnsi"/>
        </w:rPr>
        <w:tab/>
        <w:t>3</w:t>
      </w:r>
      <w:r w:rsidRPr="008C3879">
        <w:rPr>
          <w:rFonts w:asciiTheme="minorHAnsi" w:hAnsiTheme="minorHAnsi"/>
        </w:rPr>
        <w:tab/>
      </w:r>
      <w:r w:rsidRPr="008C3879">
        <w:t xml:space="preserve">Review the effectiveness of the multiple funding mechanisms, including extrabudgetary funding (FIT, etc.), resource mobilization function and reporting and evaluation functions for projects execution in the regional presence. </w:t>
      </w:r>
    </w:p>
    <w:p w14:paraId="7B2DF01C" w14:textId="77777777" w:rsidR="002B02ED" w:rsidRPr="008C3879" w:rsidRDefault="002B02ED" w:rsidP="002B02ED">
      <w:pPr>
        <w:pStyle w:val="enumlev1"/>
        <w:jc w:val="both"/>
      </w:pPr>
      <w:r w:rsidRPr="008C3879">
        <w:rPr>
          <w:rFonts w:asciiTheme="minorHAnsi" w:hAnsiTheme="minorHAnsi"/>
        </w:rPr>
        <w:tab/>
        <w:t>4</w:t>
      </w:r>
      <w:r w:rsidRPr="008C3879">
        <w:rPr>
          <w:rFonts w:asciiTheme="minorHAnsi" w:hAnsiTheme="minorHAnsi"/>
        </w:rPr>
        <w:tab/>
      </w:r>
      <w:r w:rsidRPr="008C3879">
        <w:t>Assess the adequacy and effectiveness of internal approval processes.</w:t>
      </w:r>
    </w:p>
    <w:p w14:paraId="2C615FFA" w14:textId="77777777" w:rsidR="002B02ED" w:rsidRPr="008C3879" w:rsidRDefault="002B02ED" w:rsidP="002B02ED">
      <w:pPr>
        <w:pStyle w:val="enumlev1"/>
        <w:jc w:val="both"/>
      </w:pPr>
      <w:r w:rsidRPr="008C3879">
        <w:rPr>
          <w:rFonts w:asciiTheme="minorHAnsi" w:eastAsiaTheme="minorEastAsia" w:hAnsiTheme="minorHAnsi"/>
        </w:rPr>
        <w:tab/>
        <w:t>5</w:t>
      </w:r>
      <w:r w:rsidRPr="008C3879">
        <w:rPr>
          <w:rFonts w:asciiTheme="minorHAnsi" w:eastAsiaTheme="minorEastAsia" w:hAnsiTheme="minorHAnsi"/>
        </w:rPr>
        <w:tab/>
      </w:r>
      <w:r w:rsidRPr="008C3879">
        <w:t xml:space="preserve">Assess the implementation of delegation of authority and the related internal service orders and policy documents in addition to assessing whether clear roles and responsibilities including of process owners and second-line type functions are in place. </w:t>
      </w:r>
    </w:p>
    <w:p w14:paraId="2EABD2C3" w14:textId="77777777" w:rsidR="002B02ED" w:rsidRPr="008C3879" w:rsidRDefault="002B02ED" w:rsidP="002B02ED">
      <w:pPr>
        <w:pStyle w:val="enumlev1"/>
        <w:jc w:val="both"/>
      </w:pPr>
      <w:r w:rsidRPr="008C3879">
        <w:rPr>
          <w:rFonts w:asciiTheme="minorHAnsi" w:eastAsiaTheme="minorEastAsia" w:hAnsiTheme="minorHAnsi"/>
        </w:rPr>
        <w:tab/>
        <w:t>6</w:t>
      </w:r>
      <w:r w:rsidRPr="008C3879">
        <w:rPr>
          <w:rFonts w:asciiTheme="minorHAnsi" w:eastAsiaTheme="minorEastAsia" w:hAnsiTheme="minorHAnsi"/>
        </w:rPr>
        <w:tab/>
      </w:r>
      <w:r w:rsidRPr="008C3879">
        <w:t>Analyse how regional presence is integrated into the Human Resources strategic plan, with a focus on training and career development including identifying and addressing gaps in organizational culture and skills, as well as specifying the number and types of staff training conducted at each regional or area office.</w:t>
      </w:r>
    </w:p>
    <w:p w14:paraId="10C14D9F" w14:textId="77777777" w:rsidR="002B02ED" w:rsidRPr="008C3879" w:rsidRDefault="002B02ED" w:rsidP="002B02ED">
      <w:pPr>
        <w:pStyle w:val="enumlev1"/>
        <w:jc w:val="both"/>
      </w:pPr>
      <w:r w:rsidRPr="008C3879">
        <w:rPr>
          <w:rFonts w:asciiTheme="minorHAnsi" w:eastAsiaTheme="minorEastAsia" w:hAnsiTheme="minorHAnsi"/>
        </w:rPr>
        <w:tab/>
        <w:t>7</w:t>
      </w:r>
      <w:r w:rsidRPr="008C3879">
        <w:rPr>
          <w:rFonts w:asciiTheme="minorHAnsi" w:eastAsiaTheme="minorEastAsia" w:hAnsiTheme="minorHAnsi"/>
        </w:rPr>
        <w:tab/>
      </w:r>
      <w:r w:rsidRPr="008C3879">
        <w:t xml:space="preserve">Compare all the regional and area offices' capacity-building and development activities against the framework of ITU Academy training centres. </w:t>
      </w:r>
    </w:p>
    <w:p w14:paraId="62CB8AE0" w14:textId="77777777" w:rsidR="002B02ED" w:rsidRPr="008C3879" w:rsidRDefault="002B02ED" w:rsidP="002B02ED">
      <w:pPr>
        <w:pStyle w:val="enumlev1"/>
        <w:jc w:val="both"/>
      </w:pPr>
      <w:r w:rsidRPr="008C3879">
        <w:rPr>
          <w:rFonts w:asciiTheme="minorHAnsi" w:eastAsiaTheme="minorEastAsia" w:hAnsiTheme="minorHAnsi"/>
        </w:rPr>
        <w:tab/>
        <w:t>8</w:t>
      </w:r>
      <w:r w:rsidRPr="008C3879">
        <w:rPr>
          <w:rFonts w:asciiTheme="minorHAnsi" w:eastAsiaTheme="minorEastAsia" w:hAnsiTheme="minorHAnsi"/>
        </w:rPr>
        <w:tab/>
      </w:r>
      <w:r w:rsidRPr="008C3879">
        <w:t xml:space="preserve">Identify barriers, challenges faced by staff to participate at events, including associated costs, or expected outcomes </w:t>
      </w:r>
      <w:proofErr w:type="gramStart"/>
      <w:r w:rsidRPr="008C3879">
        <w:t>as a way to</w:t>
      </w:r>
      <w:proofErr w:type="gramEnd"/>
      <w:r w:rsidRPr="008C3879">
        <w:t xml:space="preserve"> improve participation in ITU events as appropriate, and additionally provide recommendations on how to improve Regional and Area Office participation.</w:t>
      </w:r>
    </w:p>
    <w:p w14:paraId="359BA378" w14:textId="77FC7087" w:rsidR="002B02ED" w:rsidRPr="008C3879" w:rsidRDefault="002B02ED" w:rsidP="002B02ED">
      <w:pPr>
        <w:pStyle w:val="enumlev1"/>
        <w:jc w:val="both"/>
      </w:pPr>
      <w:r w:rsidRPr="008C3879">
        <w:rPr>
          <w:rFonts w:asciiTheme="minorHAnsi" w:eastAsiaTheme="minorEastAsia" w:hAnsiTheme="minorHAnsi"/>
        </w:rPr>
        <w:tab/>
        <w:t>9</w:t>
      </w:r>
      <w:r w:rsidRPr="008C3879">
        <w:rPr>
          <w:rFonts w:asciiTheme="minorHAnsi" w:eastAsiaTheme="minorEastAsia" w:hAnsiTheme="minorHAnsi"/>
        </w:rPr>
        <w:tab/>
      </w:r>
      <w:r w:rsidRPr="008C3879">
        <w:t xml:space="preserve">Assess whether the reporting to the ITU Council and Bureaux on regional presence provides adequate information regarding its activities to meet ITU's strategic plan, Kigali Action Plan, regional initiatives, annual four-year rolling operational plans of the General Secretariat and the three Sectors, and addressing Member States' requests for assistance considering the KPIs detailed in </w:t>
      </w:r>
      <w:hyperlink w:anchor="Annex_1" w:history="1">
        <w:r w:rsidRPr="0047089E">
          <w:rPr>
            <w:rStyle w:val="Hyperlink"/>
          </w:rPr>
          <w:t>Annex 1</w:t>
        </w:r>
      </w:hyperlink>
      <w:r w:rsidRPr="0008270D">
        <w:t>.</w:t>
      </w:r>
    </w:p>
    <w:p w14:paraId="2EDB023E" w14:textId="77777777" w:rsidR="002B02ED" w:rsidRPr="008C3879" w:rsidRDefault="002B02ED" w:rsidP="002B02ED">
      <w:pPr>
        <w:pStyle w:val="enumlev1"/>
        <w:jc w:val="both"/>
      </w:pPr>
      <w:r w:rsidRPr="008C3879">
        <w:rPr>
          <w:rFonts w:asciiTheme="minorHAnsi" w:eastAsiaTheme="minorEastAsia" w:hAnsiTheme="minorHAnsi"/>
        </w:rPr>
        <w:tab/>
        <w:t>10</w:t>
      </w:r>
      <w:r w:rsidRPr="008C3879">
        <w:rPr>
          <w:rFonts w:asciiTheme="minorHAnsi" w:eastAsiaTheme="minorEastAsia" w:hAnsiTheme="minorHAnsi"/>
        </w:rPr>
        <w:tab/>
      </w:r>
      <w:r w:rsidRPr="008C3879">
        <w:t xml:space="preserve">Evaluate the mechanisms, using set objectives, including communication mechanisms, and impact of coordination, planning, and implementation between the Regional Offices and Area Offices and General Secretariat, the three Bureaux, and regional organisations for ITU regional events, meetings, and conferences and identify improvements and actions that would enhance synergies in the coordination and communication of activities, projects and initiatives between regional offices/area offices and ITU headquarters. </w:t>
      </w:r>
    </w:p>
    <w:p w14:paraId="22F1E196" w14:textId="77777777" w:rsidR="002B02ED" w:rsidRPr="008C3879" w:rsidRDefault="002B02ED" w:rsidP="002B02ED">
      <w:pPr>
        <w:pStyle w:val="enumlev1"/>
        <w:jc w:val="both"/>
      </w:pPr>
      <w:r w:rsidRPr="008C3879">
        <w:rPr>
          <w:rFonts w:asciiTheme="minorHAnsi" w:eastAsiaTheme="minorEastAsia" w:hAnsiTheme="minorHAnsi"/>
        </w:rPr>
        <w:tab/>
        <w:t>11</w:t>
      </w:r>
      <w:r w:rsidRPr="008C3879">
        <w:rPr>
          <w:rFonts w:asciiTheme="minorHAnsi" w:eastAsiaTheme="minorEastAsia" w:hAnsiTheme="minorHAnsi"/>
        </w:rPr>
        <w:tab/>
      </w:r>
      <w:r w:rsidRPr="008C3879">
        <w:t>Assess membership engagement mechanisms and their effectiveness as well as engagement with other international, regional and sub-regional organisations and UN organisations.</w:t>
      </w:r>
    </w:p>
    <w:p w14:paraId="346801E6" w14:textId="77777777" w:rsidR="002B02ED" w:rsidRPr="008C3879" w:rsidRDefault="002B02ED" w:rsidP="002B02ED">
      <w:pPr>
        <w:pStyle w:val="enumlev1"/>
        <w:jc w:val="both"/>
      </w:pPr>
      <w:r w:rsidRPr="008C3879">
        <w:rPr>
          <w:rFonts w:asciiTheme="minorHAnsi" w:eastAsiaTheme="minorEastAsia" w:hAnsiTheme="minorHAnsi"/>
        </w:rPr>
        <w:lastRenderedPageBreak/>
        <w:tab/>
        <w:t>12</w:t>
      </w:r>
      <w:r w:rsidRPr="008C3879">
        <w:rPr>
          <w:rFonts w:asciiTheme="minorHAnsi" w:eastAsiaTheme="minorEastAsia" w:hAnsiTheme="minorHAnsi"/>
        </w:rPr>
        <w:tab/>
      </w:r>
      <w:r w:rsidRPr="008C3879">
        <w:t>Propose approaches for the Regional and Area Offices to strengthen the coordination of the work of countries who do not belong to a specific Regional Telecommunication Organisation (RTO), and the respective RTO in the regional preparatory processes for world assemblies and conferences of the Union.</w:t>
      </w:r>
    </w:p>
    <w:p w14:paraId="151D9632" w14:textId="77777777" w:rsidR="002B02ED" w:rsidRPr="008C3879" w:rsidRDefault="002B02ED" w:rsidP="002B02ED">
      <w:pPr>
        <w:pStyle w:val="Headingb"/>
      </w:pPr>
      <w:r w:rsidRPr="008C3879">
        <w:t>Deliverables</w:t>
      </w:r>
    </w:p>
    <w:p w14:paraId="2B17B423" w14:textId="77777777" w:rsidR="002B02ED" w:rsidRPr="008C3879" w:rsidRDefault="002B02ED" w:rsidP="002B02ED">
      <w:pPr>
        <w:jc w:val="both"/>
      </w:pPr>
      <w:r w:rsidRPr="008C3879">
        <w:t>The ITU Secretariat, through the review process</w:t>
      </w:r>
      <w:r>
        <w:t>,</w:t>
      </w:r>
      <w:r w:rsidRPr="008C3879">
        <w:t xml:space="preserve"> will produce the following deliverables: </w:t>
      </w:r>
    </w:p>
    <w:p w14:paraId="4766707E" w14:textId="77777777" w:rsidR="002B02ED" w:rsidRPr="008C3879" w:rsidRDefault="002B02ED" w:rsidP="002B02ED">
      <w:pPr>
        <w:pStyle w:val="enumlev1"/>
        <w:jc w:val="both"/>
      </w:pPr>
      <w:r w:rsidRPr="008C3879">
        <w:t>–</w:t>
      </w:r>
      <w:r w:rsidRPr="008C3879">
        <w:tab/>
        <w:t>An inception report outlining the detailed work plan, methodology and financial implications</w:t>
      </w:r>
      <w:r>
        <w:t>,</w:t>
      </w:r>
      <w:r w:rsidRPr="008C3879">
        <w:t xml:space="preserve"> if any. </w:t>
      </w:r>
    </w:p>
    <w:p w14:paraId="3FF65A14" w14:textId="77777777" w:rsidR="002B02ED" w:rsidRPr="008C3879" w:rsidRDefault="002B02ED" w:rsidP="002B02ED">
      <w:pPr>
        <w:pStyle w:val="enumlev1"/>
        <w:jc w:val="both"/>
      </w:pPr>
      <w:r w:rsidRPr="008C3879">
        <w:t>–</w:t>
      </w:r>
      <w:r w:rsidRPr="008C3879">
        <w:tab/>
        <w:t>An interim report with preliminary findings and recommendations.</w:t>
      </w:r>
    </w:p>
    <w:p w14:paraId="68EA95F8" w14:textId="77777777" w:rsidR="002B02ED" w:rsidRPr="008C3879" w:rsidRDefault="002B02ED" w:rsidP="002B02ED">
      <w:pPr>
        <w:pStyle w:val="enumlev1"/>
        <w:jc w:val="both"/>
      </w:pPr>
      <w:r w:rsidRPr="008C3879">
        <w:t>–</w:t>
      </w:r>
      <w:r w:rsidRPr="008C3879">
        <w:rPr>
          <w:rFonts w:ascii="Symbol" w:hAnsi="Symbol"/>
          <w:sz w:val="20"/>
        </w:rPr>
        <w:tab/>
      </w:r>
      <w:r w:rsidRPr="008C3879">
        <w:t>A final report with comprehensive analysis, conclusions, and actionable recommendations.</w:t>
      </w:r>
    </w:p>
    <w:p w14:paraId="0A8829BB" w14:textId="77777777" w:rsidR="002B02ED" w:rsidRPr="008C3879" w:rsidRDefault="002B02ED" w:rsidP="002B02ED">
      <w:pPr>
        <w:pStyle w:val="enumlev1"/>
        <w:jc w:val="both"/>
      </w:pPr>
      <w:r w:rsidRPr="008C3879">
        <w:t>–</w:t>
      </w:r>
      <w:r w:rsidRPr="008C3879">
        <w:tab/>
        <w:t>The presentation of a final report and key findings to the ITU Council.</w:t>
      </w:r>
    </w:p>
    <w:p w14:paraId="24B5AE39" w14:textId="77777777" w:rsidR="002B02ED" w:rsidRPr="008C3879" w:rsidRDefault="002B02ED" w:rsidP="002B02ED">
      <w:pPr>
        <w:pStyle w:val="Headingb"/>
      </w:pPr>
      <w:r w:rsidRPr="008C3879">
        <w:t>Timeline</w:t>
      </w:r>
    </w:p>
    <w:p w14:paraId="68E97887" w14:textId="77777777" w:rsidR="002B02ED" w:rsidRPr="008C3879" w:rsidRDefault="002B02ED" w:rsidP="002B02ED">
      <w:pPr>
        <w:pStyle w:val="enumlev1"/>
      </w:pPr>
      <w:r w:rsidRPr="008C3879">
        <w:t>–</w:t>
      </w:r>
      <w:r w:rsidRPr="008C3879">
        <w:tab/>
        <w:t>Inception Report: June 2025, Council</w:t>
      </w:r>
    </w:p>
    <w:p w14:paraId="5FC1B93E" w14:textId="77777777" w:rsidR="002B02ED" w:rsidRPr="008C3879" w:rsidRDefault="002B02ED" w:rsidP="002B02ED">
      <w:pPr>
        <w:pStyle w:val="enumlev1"/>
      </w:pPr>
      <w:r w:rsidRPr="008C3879">
        <w:t>–</w:t>
      </w:r>
      <w:r w:rsidRPr="008C3879">
        <w:tab/>
        <w:t xml:space="preserve">Interim Reports: September/October 2025 and Jan/Feb 2026, CWG-FHR meetings </w:t>
      </w:r>
    </w:p>
    <w:p w14:paraId="25EC7670" w14:textId="77777777" w:rsidR="002B02ED" w:rsidRPr="008C3879" w:rsidRDefault="002B02ED" w:rsidP="002B02ED">
      <w:pPr>
        <w:pStyle w:val="enumlev1"/>
      </w:pPr>
      <w:r w:rsidRPr="008C3879">
        <w:t>–</w:t>
      </w:r>
      <w:r w:rsidRPr="008C3879">
        <w:tab/>
        <w:t>Final Report: Presentation to the ITU Council, April 2026.</w:t>
      </w:r>
    </w:p>
    <w:p w14:paraId="7B886446" w14:textId="77777777" w:rsidR="002B02ED" w:rsidRPr="008C3879" w:rsidRDefault="002B02ED" w:rsidP="002B02ED">
      <w:pPr>
        <w:rPr>
          <w:rFonts w:asciiTheme="minorHAnsi" w:hAnsiTheme="minorHAnsi" w:cstheme="minorHAnsi"/>
          <w:szCs w:val="24"/>
        </w:rPr>
      </w:pPr>
      <w:r w:rsidRPr="008C3879">
        <w:rPr>
          <w:rFonts w:asciiTheme="minorHAnsi" w:hAnsiTheme="minorHAnsi" w:cstheme="minorHAnsi"/>
          <w:szCs w:val="24"/>
        </w:rPr>
        <w:br w:type="page"/>
      </w:r>
    </w:p>
    <w:p w14:paraId="3A7BDD79" w14:textId="77777777" w:rsidR="002B02ED" w:rsidRPr="008C3879" w:rsidRDefault="002B02ED" w:rsidP="002B02ED">
      <w:pPr>
        <w:pStyle w:val="AnnexNo"/>
      </w:pPr>
      <w:bookmarkStart w:id="15" w:name="Annex_1"/>
      <w:r w:rsidRPr="008C3879">
        <w:lastRenderedPageBreak/>
        <w:t>Annex 1</w:t>
      </w:r>
      <w:bookmarkEnd w:id="15"/>
    </w:p>
    <w:p w14:paraId="3CEC312A" w14:textId="77777777" w:rsidR="002B02ED" w:rsidRPr="008C3879" w:rsidRDefault="002B02ED" w:rsidP="002B02ED">
      <w:pPr>
        <w:pStyle w:val="Annextitle"/>
      </w:pPr>
      <w:r w:rsidRPr="008C3879">
        <w:t>Key performance indicators and evaluation criteria to be considered in undertaking the review of the ITU’s Regional Presence</w:t>
      </w:r>
    </w:p>
    <w:p w14:paraId="4C26F9AA" w14:textId="77777777" w:rsidR="002B02ED" w:rsidRDefault="002B02ED" w:rsidP="002B02ED">
      <w:pPr>
        <w:pStyle w:val="Normalaftertitle"/>
        <w:rPr>
          <w:rFonts w:cs="Calibri"/>
          <w:szCs w:val="24"/>
        </w:rPr>
      </w:pPr>
      <w:r w:rsidRPr="008C3879">
        <w:rPr>
          <w:rFonts w:cs="Calibri"/>
          <w:szCs w:val="24"/>
        </w:rPr>
        <w:t xml:space="preserve">To ensure a comprehensive and impactful evaluation of the ITU’s Regional Presence, the review will be guided by the following KPIs and evaluation criteria: </w:t>
      </w:r>
    </w:p>
    <w:p w14:paraId="0E44CDB2" w14:textId="77777777" w:rsidR="002B02ED" w:rsidRPr="008C3879" w:rsidRDefault="002B02ED" w:rsidP="002B02ED">
      <w:pPr>
        <w:pStyle w:val="enumlev1"/>
        <w:jc w:val="both"/>
      </w:pPr>
      <w:r w:rsidRPr="008C3879">
        <w:t>1</w:t>
      </w:r>
      <w:r w:rsidRPr="008C3879">
        <w:tab/>
        <w:t>The percentage of strategic and action plan objectives being met.</w:t>
      </w:r>
    </w:p>
    <w:p w14:paraId="0093DE77" w14:textId="77777777" w:rsidR="002B02ED" w:rsidRPr="008C3879" w:rsidRDefault="002B02ED" w:rsidP="002B02ED">
      <w:pPr>
        <w:pStyle w:val="enumlev1"/>
        <w:jc w:val="both"/>
      </w:pPr>
      <w:r w:rsidRPr="008C3879">
        <w:t>2</w:t>
      </w:r>
      <w:r w:rsidRPr="008C3879">
        <w:tab/>
        <w:t xml:space="preserve">The percentage of staff work/performance plans explicitly aligned with the strategic plan and Kigali Action Plan. </w:t>
      </w:r>
    </w:p>
    <w:p w14:paraId="43CA2291" w14:textId="77777777" w:rsidR="002B02ED" w:rsidRPr="008C3879" w:rsidRDefault="002B02ED" w:rsidP="002B02ED">
      <w:pPr>
        <w:pStyle w:val="enumlev1"/>
        <w:jc w:val="both"/>
      </w:pPr>
      <w:r w:rsidRPr="008C3879">
        <w:t>3</w:t>
      </w:r>
      <w:r w:rsidRPr="008C3879">
        <w:tab/>
        <w:t>The average time taken for Regional and Area Office staff to address/complete Member State requests for assistance.</w:t>
      </w:r>
    </w:p>
    <w:p w14:paraId="3C9CFC61" w14:textId="77777777" w:rsidR="002B02ED" w:rsidRPr="008C3879" w:rsidRDefault="002B02ED" w:rsidP="002B02ED">
      <w:pPr>
        <w:pStyle w:val="enumlev1"/>
        <w:jc w:val="both"/>
      </w:pPr>
      <w:r w:rsidRPr="008C3879">
        <w:t>4</w:t>
      </w:r>
      <w:r w:rsidRPr="008C3879">
        <w:tab/>
        <w:t>Feedback scores on</w:t>
      </w:r>
      <w:r w:rsidRPr="0008270D">
        <w:rPr>
          <w:rFonts w:asciiTheme="minorHAnsi" w:hAnsiTheme="minorHAnsi" w:cstheme="minorHAnsi"/>
        </w:rPr>
        <w:t xml:space="preserve"> </w:t>
      </w:r>
      <w:r w:rsidRPr="0008270D">
        <w:t>the overall satisfaction with the activities of the Regional and Area Offices by their Membership.</w:t>
      </w:r>
    </w:p>
    <w:p w14:paraId="6D8AE329" w14:textId="77777777" w:rsidR="002B02ED" w:rsidRPr="008C3879" w:rsidRDefault="002B02ED" w:rsidP="002B02ED">
      <w:pPr>
        <w:pStyle w:val="enumlev1"/>
        <w:jc w:val="both"/>
      </w:pPr>
      <w:r w:rsidRPr="008C3879">
        <w:t>5</w:t>
      </w:r>
      <w:r w:rsidRPr="008C3879">
        <w:tab/>
        <w:t>Feedback scores from Regional and Area Offices and Member States regarding resource adequacy.</w:t>
      </w:r>
    </w:p>
    <w:p w14:paraId="04399881" w14:textId="77777777" w:rsidR="002B02ED" w:rsidRPr="008C3879" w:rsidRDefault="002B02ED" w:rsidP="002B02ED">
      <w:pPr>
        <w:pStyle w:val="enumlev1"/>
        <w:jc w:val="both"/>
      </w:pPr>
      <w:r w:rsidRPr="008C3879">
        <w:t>6</w:t>
      </w:r>
      <w:r w:rsidRPr="008C3879">
        <w:tab/>
        <w:t>The number of regional initiatives successfully implemented with allocated resources.</w:t>
      </w:r>
    </w:p>
    <w:p w14:paraId="309C430A" w14:textId="77777777" w:rsidR="002B02ED" w:rsidRPr="008C3879" w:rsidRDefault="002B02ED" w:rsidP="002B02ED">
      <w:pPr>
        <w:pStyle w:val="enumlev1"/>
        <w:jc w:val="both"/>
      </w:pPr>
      <w:r w:rsidRPr="008C3879">
        <w:t>7</w:t>
      </w:r>
      <w:r w:rsidRPr="008C3879">
        <w:tab/>
        <w:t xml:space="preserve">Recommendations on how to address any challenges in collecting data or demonstrating progress on KPIs with the reporting.  </w:t>
      </w:r>
    </w:p>
    <w:p w14:paraId="75C4969E" w14:textId="77777777" w:rsidR="002B02ED" w:rsidRPr="008C3879" w:rsidRDefault="002B02ED" w:rsidP="002B02ED">
      <w:pPr>
        <w:pStyle w:val="enumlev1"/>
        <w:jc w:val="both"/>
      </w:pPr>
      <w:r w:rsidRPr="008C3879">
        <w:t>8</w:t>
      </w:r>
      <w:r w:rsidRPr="008C3879">
        <w:tab/>
        <w:t xml:space="preserve">Evaluate if the information/KPIs to report the actions and effectiveness by the Regional and Area Offices to align their work, activities, and outcomes with the ITU Strategic Plan 2023-2026 and Kigali Action Plan, including its thematic priorities and outcomes, outputs and regional initiatives, in line with the Strategic Plan, is effective. </w:t>
      </w:r>
    </w:p>
    <w:p w14:paraId="11D33040" w14:textId="77777777" w:rsidR="002B02ED" w:rsidRPr="008C3879" w:rsidRDefault="002B02ED" w:rsidP="002B02ED">
      <w:pPr>
        <w:pStyle w:val="enumlev1"/>
        <w:jc w:val="both"/>
      </w:pPr>
      <w:r w:rsidRPr="008C3879">
        <w:rPr>
          <w:rFonts w:eastAsiaTheme="minorEastAsia"/>
        </w:rPr>
        <w:t>9</w:t>
      </w:r>
      <w:r w:rsidRPr="008C3879">
        <w:rPr>
          <w:rFonts w:eastAsiaTheme="minorEastAsia"/>
        </w:rPr>
        <w:tab/>
      </w:r>
      <w:r w:rsidRPr="008C3879">
        <w:t xml:space="preserve">Assess staff engagement and specific steps taken in the development of the Telecommunication Development Advisory Group (TDAG) KPIs. </w:t>
      </w:r>
    </w:p>
    <w:p w14:paraId="6DEEBCAC" w14:textId="77777777" w:rsidR="002B02ED" w:rsidRPr="008C3879" w:rsidRDefault="002B02ED" w:rsidP="002B02ED">
      <w:pPr>
        <w:pStyle w:val="enumlev1"/>
        <w:jc w:val="both"/>
      </w:pPr>
      <w:r w:rsidRPr="008C3879">
        <w:rPr>
          <w:rFonts w:eastAsiaTheme="minorEastAsia"/>
        </w:rPr>
        <w:t>10</w:t>
      </w:r>
      <w:r w:rsidRPr="008C3879">
        <w:rPr>
          <w:rFonts w:eastAsiaTheme="minorEastAsia"/>
        </w:rPr>
        <w:tab/>
      </w:r>
      <w:r w:rsidRPr="008C3879">
        <w:t xml:space="preserve">Document challenges staff faced to participate at events, such as logistical, barriers to engagement or associated costs for </w:t>
      </w:r>
      <w:bookmarkStart w:id="16" w:name="_Hlk187312610"/>
      <w:r w:rsidRPr="008C3879">
        <w:t xml:space="preserve">Regional and Area Office </w:t>
      </w:r>
      <w:bookmarkEnd w:id="16"/>
      <w:r w:rsidRPr="008C3879">
        <w:t>staff participation</w:t>
      </w:r>
    </w:p>
    <w:p w14:paraId="7AC8FFE0" w14:textId="77777777" w:rsidR="002B02ED" w:rsidRPr="008C3879" w:rsidRDefault="002B02ED" w:rsidP="002B02ED">
      <w:pPr>
        <w:pStyle w:val="enumlev1"/>
        <w:jc w:val="both"/>
      </w:pPr>
      <w:r w:rsidRPr="008C3879">
        <w:rPr>
          <w:rFonts w:eastAsiaTheme="minorEastAsia"/>
        </w:rPr>
        <w:t>11</w:t>
      </w:r>
      <w:r w:rsidRPr="008C3879">
        <w:rPr>
          <w:rFonts w:eastAsiaTheme="minorEastAsia"/>
        </w:rPr>
        <w:tab/>
      </w:r>
      <w:r w:rsidRPr="008C3879">
        <w:t xml:space="preserve">Provide recommendations from Regional and Area Office staff on how to best maximise engagements with regional stakeholders during global events.  </w:t>
      </w:r>
    </w:p>
    <w:p w14:paraId="0C0D3C13" w14:textId="77777777" w:rsidR="002B02ED" w:rsidRPr="008C3879" w:rsidRDefault="002B02ED" w:rsidP="002B02ED">
      <w:pPr>
        <w:pStyle w:val="enumlev1"/>
        <w:jc w:val="both"/>
      </w:pPr>
      <w:r w:rsidRPr="008C3879">
        <w:t>12</w:t>
      </w:r>
      <w:r w:rsidRPr="008C3879">
        <w:tab/>
        <w:t xml:space="preserve">Based on recommendations, assess whether an action plan to enhance Regional and Area Office staff participation in events would increase the value-add of their participation. </w:t>
      </w:r>
    </w:p>
    <w:p w14:paraId="72C65694" w14:textId="77777777" w:rsidR="002B02ED" w:rsidRPr="008C3879" w:rsidRDefault="002B02ED" w:rsidP="002B02ED">
      <w:pPr>
        <w:pStyle w:val="enumlev1"/>
        <w:jc w:val="both"/>
      </w:pPr>
      <w:r w:rsidRPr="008C3879">
        <w:rPr>
          <w:rFonts w:eastAsiaTheme="minorEastAsia"/>
        </w:rPr>
        <w:t>13</w:t>
      </w:r>
      <w:r w:rsidRPr="008C3879">
        <w:rPr>
          <w:rFonts w:eastAsiaTheme="minorEastAsia"/>
        </w:rPr>
        <w:tab/>
      </w:r>
      <w:r w:rsidRPr="008C3879">
        <w:t>The amount of human and financial resources at the Regional and Area offices including:</w:t>
      </w:r>
    </w:p>
    <w:p w14:paraId="3DF45604" w14:textId="77777777" w:rsidR="002B02ED" w:rsidRPr="008C3879" w:rsidRDefault="002B02ED" w:rsidP="002B02ED">
      <w:pPr>
        <w:pStyle w:val="enumlev2"/>
        <w:jc w:val="both"/>
      </w:pPr>
      <w:r w:rsidRPr="008C3879">
        <w:rPr>
          <w:rFonts w:eastAsiaTheme="minorEastAsia"/>
          <w:i/>
          <w:iCs/>
        </w:rPr>
        <w:t>a</w:t>
      </w:r>
      <w:r>
        <w:rPr>
          <w:rFonts w:eastAsiaTheme="minorEastAsia"/>
          <w:i/>
          <w:iCs/>
        </w:rPr>
        <w:t>)</w:t>
      </w:r>
      <w:r w:rsidRPr="008C3879">
        <w:rPr>
          <w:rFonts w:eastAsiaTheme="minorEastAsia"/>
          <w:i/>
          <w:iCs/>
        </w:rPr>
        <w:tab/>
      </w:r>
      <w:r w:rsidRPr="008C3879">
        <w:t xml:space="preserve">number of staff at each Regional and Area </w:t>
      </w:r>
      <w:proofErr w:type="gramStart"/>
      <w:r w:rsidRPr="008C3879">
        <w:t>Office;</w:t>
      </w:r>
      <w:proofErr w:type="gramEnd"/>
    </w:p>
    <w:p w14:paraId="6194A0CE" w14:textId="77777777" w:rsidR="002B02ED" w:rsidRPr="008C3879" w:rsidRDefault="002B02ED" w:rsidP="002B02ED">
      <w:pPr>
        <w:pStyle w:val="enumlev2"/>
        <w:jc w:val="both"/>
      </w:pPr>
      <w:r w:rsidRPr="008C3879">
        <w:rPr>
          <w:rFonts w:eastAsiaTheme="minorEastAsia"/>
          <w:i/>
          <w:iCs/>
        </w:rPr>
        <w:t>b</w:t>
      </w:r>
      <w:r>
        <w:rPr>
          <w:rFonts w:eastAsiaTheme="minorEastAsia"/>
          <w:i/>
          <w:iCs/>
        </w:rPr>
        <w:t>)</w:t>
      </w:r>
      <w:r w:rsidRPr="008C3879">
        <w:rPr>
          <w:rFonts w:eastAsiaTheme="minorEastAsia"/>
          <w:i/>
          <w:iCs/>
        </w:rPr>
        <w:tab/>
      </w:r>
      <w:r w:rsidRPr="008C3879">
        <w:t xml:space="preserve">number of countries served by each Regional and Area </w:t>
      </w:r>
      <w:proofErr w:type="gramStart"/>
      <w:r w:rsidRPr="008C3879">
        <w:t>Office;</w:t>
      </w:r>
      <w:proofErr w:type="gramEnd"/>
    </w:p>
    <w:p w14:paraId="1DE9F85F" w14:textId="77777777" w:rsidR="002B02ED" w:rsidRPr="008C3879" w:rsidRDefault="002B02ED" w:rsidP="002B02ED">
      <w:pPr>
        <w:pStyle w:val="enumlev2"/>
        <w:jc w:val="both"/>
      </w:pPr>
      <w:r w:rsidRPr="008C3879">
        <w:rPr>
          <w:rFonts w:eastAsiaTheme="minorEastAsia"/>
          <w:i/>
          <w:iCs/>
        </w:rPr>
        <w:t>c</w:t>
      </w:r>
      <w:r>
        <w:rPr>
          <w:rFonts w:eastAsiaTheme="minorEastAsia"/>
          <w:i/>
          <w:iCs/>
        </w:rPr>
        <w:t>)</w:t>
      </w:r>
      <w:r w:rsidRPr="008C3879">
        <w:rPr>
          <w:rFonts w:eastAsiaTheme="minorEastAsia"/>
          <w:i/>
          <w:iCs/>
        </w:rPr>
        <w:tab/>
      </w:r>
      <w:r w:rsidRPr="008C3879">
        <w:t>number of projects/initiatives engaged, events organized (regional and ITU-wide) (per year in review</w:t>
      </w:r>
      <w:proofErr w:type="gramStart"/>
      <w:r w:rsidRPr="008C3879">
        <w:t>)</w:t>
      </w:r>
      <w:r>
        <w:t>;</w:t>
      </w:r>
      <w:proofErr w:type="gramEnd"/>
    </w:p>
    <w:p w14:paraId="33EA1FD1" w14:textId="77777777" w:rsidR="002B02ED" w:rsidRPr="008C3879" w:rsidRDefault="002B02ED" w:rsidP="002B02ED">
      <w:pPr>
        <w:pStyle w:val="enumlev2"/>
        <w:jc w:val="both"/>
      </w:pPr>
      <w:r w:rsidRPr="008C3879">
        <w:rPr>
          <w:rFonts w:eastAsiaTheme="minorEastAsia"/>
          <w:i/>
          <w:iCs/>
        </w:rPr>
        <w:t>d</w:t>
      </w:r>
      <w:r>
        <w:rPr>
          <w:rFonts w:eastAsiaTheme="minorEastAsia"/>
          <w:i/>
          <w:iCs/>
        </w:rPr>
        <w:t>)</w:t>
      </w:r>
      <w:r w:rsidRPr="008C3879">
        <w:rPr>
          <w:rFonts w:eastAsiaTheme="minorEastAsia"/>
          <w:i/>
          <w:iCs/>
        </w:rPr>
        <w:tab/>
      </w:r>
      <w:r w:rsidRPr="008C3879">
        <w:t>resources allocated by the financial plan for each Regional and Area Office (per year in review detailing resources allocated for staff, operations of the Office, and implementation of projects/initiatives/events</w:t>
      </w:r>
      <w:proofErr w:type="gramStart"/>
      <w:r w:rsidRPr="008C3879">
        <w:t>)</w:t>
      </w:r>
      <w:r>
        <w:t>;</w:t>
      </w:r>
      <w:proofErr w:type="gramEnd"/>
    </w:p>
    <w:p w14:paraId="37D35D75" w14:textId="77777777" w:rsidR="002B02ED" w:rsidRPr="008C3879" w:rsidRDefault="002B02ED" w:rsidP="002B02ED">
      <w:pPr>
        <w:pStyle w:val="enumlev2"/>
        <w:jc w:val="both"/>
      </w:pPr>
      <w:r w:rsidRPr="008C3879">
        <w:rPr>
          <w:rFonts w:eastAsiaTheme="minorEastAsia"/>
          <w:i/>
          <w:iCs/>
        </w:rPr>
        <w:t>e</w:t>
      </w:r>
      <w:r>
        <w:rPr>
          <w:rFonts w:eastAsiaTheme="minorEastAsia"/>
          <w:i/>
          <w:iCs/>
        </w:rPr>
        <w:t>)</w:t>
      </w:r>
      <w:r w:rsidRPr="008C3879">
        <w:rPr>
          <w:rFonts w:eastAsiaTheme="minorEastAsia"/>
          <w:i/>
          <w:iCs/>
        </w:rPr>
        <w:tab/>
      </w:r>
      <w:r w:rsidRPr="008C3879">
        <w:t>technological platforms used by Regional and Area Offices (for fully virtual/hybrid meetings, for electronic working methods, various existing electronic tools to disseminate relevant information to their respective Member States</w:t>
      </w:r>
      <w:proofErr w:type="gramStart"/>
      <w:r w:rsidRPr="008C3879">
        <w:t>)</w:t>
      </w:r>
      <w:r>
        <w:t>;</w:t>
      </w:r>
      <w:proofErr w:type="gramEnd"/>
    </w:p>
    <w:p w14:paraId="42B524C0" w14:textId="77777777" w:rsidR="002B02ED" w:rsidRPr="008C3879" w:rsidRDefault="002B02ED" w:rsidP="002B02ED">
      <w:pPr>
        <w:pStyle w:val="enumlev2"/>
        <w:jc w:val="both"/>
      </w:pPr>
      <w:r w:rsidRPr="008C3879">
        <w:rPr>
          <w:rFonts w:eastAsiaTheme="minorEastAsia"/>
          <w:i/>
          <w:iCs/>
        </w:rPr>
        <w:t>f</w:t>
      </w:r>
      <w:r>
        <w:rPr>
          <w:rFonts w:eastAsiaTheme="minorEastAsia"/>
          <w:i/>
          <w:iCs/>
        </w:rPr>
        <w:t>)</w:t>
      </w:r>
      <w:r w:rsidRPr="008C3879">
        <w:rPr>
          <w:rFonts w:eastAsiaTheme="minorEastAsia"/>
          <w:i/>
          <w:iCs/>
        </w:rPr>
        <w:tab/>
      </w:r>
      <w:r w:rsidRPr="008C3879">
        <w:t xml:space="preserve">use of the ITU’s financial management tools by Regional and Area </w:t>
      </w:r>
      <w:proofErr w:type="gramStart"/>
      <w:r w:rsidRPr="008C3879">
        <w:t>Offices</w:t>
      </w:r>
      <w:r>
        <w:t>;</w:t>
      </w:r>
      <w:proofErr w:type="gramEnd"/>
    </w:p>
    <w:p w14:paraId="3A4FAC06" w14:textId="77777777" w:rsidR="002B02ED" w:rsidRPr="008C3879" w:rsidRDefault="002B02ED" w:rsidP="002B02ED">
      <w:pPr>
        <w:pStyle w:val="enumlev2"/>
        <w:jc w:val="both"/>
      </w:pPr>
      <w:r w:rsidRPr="008C3879">
        <w:rPr>
          <w:rFonts w:eastAsiaTheme="minorEastAsia"/>
          <w:i/>
          <w:iCs/>
        </w:rPr>
        <w:lastRenderedPageBreak/>
        <w:t>g</w:t>
      </w:r>
      <w:r>
        <w:rPr>
          <w:rFonts w:eastAsiaTheme="minorEastAsia"/>
          <w:i/>
          <w:iCs/>
        </w:rPr>
        <w:t>)</w:t>
      </w:r>
      <w:r w:rsidRPr="008C3879">
        <w:rPr>
          <w:rFonts w:eastAsiaTheme="minorEastAsia"/>
          <w:i/>
          <w:iCs/>
        </w:rPr>
        <w:tab/>
      </w:r>
      <w:r w:rsidRPr="008C3879">
        <w:t xml:space="preserve">the efforts/actions undertaken to increase human and financial resources in Regional and Area Offices for the implementation of regional </w:t>
      </w:r>
      <w:proofErr w:type="gramStart"/>
      <w:r w:rsidRPr="008C3879">
        <w:t>initiatives</w:t>
      </w:r>
      <w:r>
        <w:t>;</w:t>
      </w:r>
      <w:proofErr w:type="gramEnd"/>
    </w:p>
    <w:p w14:paraId="1D872697" w14:textId="77777777" w:rsidR="002B02ED" w:rsidRPr="008C3879" w:rsidRDefault="002B02ED" w:rsidP="002B02ED">
      <w:pPr>
        <w:pStyle w:val="enumlev2"/>
        <w:jc w:val="both"/>
      </w:pPr>
      <w:r w:rsidRPr="008C3879">
        <w:rPr>
          <w:rFonts w:eastAsiaTheme="minorEastAsia"/>
          <w:i/>
          <w:iCs/>
        </w:rPr>
        <w:t>h</w:t>
      </w:r>
      <w:r>
        <w:rPr>
          <w:rFonts w:eastAsiaTheme="minorEastAsia"/>
          <w:i/>
          <w:iCs/>
        </w:rPr>
        <w:t>)</w:t>
      </w:r>
      <w:r w:rsidRPr="008C3879">
        <w:rPr>
          <w:rFonts w:eastAsiaTheme="minorEastAsia"/>
          <w:i/>
          <w:iCs/>
        </w:rPr>
        <w:tab/>
      </w:r>
      <w:r w:rsidRPr="008C3879">
        <w:t>the financial and administrative conditions provided by the host countries to the Regional and Area offices.</w:t>
      </w:r>
    </w:p>
    <w:p w14:paraId="64E04279" w14:textId="77777777" w:rsidR="002B02ED" w:rsidRPr="008C3879" w:rsidRDefault="002B02ED" w:rsidP="002B02ED">
      <w:pPr>
        <w:pStyle w:val="enumlev1"/>
        <w:jc w:val="both"/>
      </w:pPr>
      <w:r w:rsidRPr="008C3879">
        <w:rPr>
          <w:rFonts w:eastAsiaTheme="minorEastAsia"/>
        </w:rPr>
        <w:t>14</w:t>
      </w:r>
      <w:r w:rsidRPr="008C3879">
        <w:rPr>
          <w:rFonts w:eastAsiaTheme="minorEastAsia"/>
        </w:rPr>
        <w:tab/>
      </w:r>
      <w:r w:rsidRPr="008C3879">
        <w:t>The recruitment strategy including:</w:t>
      </w:r>
    </w:p>
    <w:p w14:paraId="0A631113" w14:textId="77777777" w:rsidR="002B02ED" w:rsidRPr="008C3879" w:rsidRDefault="002B02ED" w:rsidP="002B02ED">
      <w:pPr>
        <w:pStyle w:val="enumlev2"/>
        <w:jc w:val="both"/>
      </w:pPr>
      <w:r w:rsidRPr="00C357CB">
        <w:rPr>
          <w:rFonts w:eastAsiaTheme="minorEastAsia"/>
          <w:i/>
          <w:iCs/>
        </w:rPr>
        <w:t>a</w:t>
      </w:r>
      <w:r>
        <w:rPr>
          <w:rFonts w:eastAsiaTheme="minorEastAsia"/>
          <w:i/>
          <w:iCs/>
        </w:rPr>
        <w:t>)</w:t>
      </w:r>
      <w:r w:rsidRPr="008C3879">
        <w:rPr>
          <w:rFonts w:eastAsiaTheme="minorEastAsia"/>
          <w:i/>
          <w:iCs/>
        </w:rPr>
        <w:tab/>
      </w:r>
      <w:r w:rsidRPr="008C3879">
        <w:t>number and type of vacant positions per Regional and Area Office (per year in review</w:t>
      </w:r>
      <w:proofErr w:type="gramStart"/>
      <w:r w:rsidRPr="008C3879">
        <w:t>)</w:t>
      </w:r>
      <w:r>
        <w:t>;</w:t>
      </w:r>
      <w:proofErr w:type="gramEnd"/>
    </w:p>
    <w:p w14:paraId="1592B5B6" w14:textId="77777777" w:rsidR="002B02ED" w:rsidRPr="008C3879" w:rsidRDefault="002B02ED" w:rsidP="002B02ED">
      <w:pPr>
        <w:pStyle w:val="enumlev2"/>
        <w:jc w:val="both"/>
      </w:pPr>
      <w:r w:rsidRPr="00C357CB">
        <w:rPr>
          <w:rFonts w:eastAsiaTheme="minorEastAsia"/>
          <w:i/>
          <w:iCs/>
        </w:rPr>
        <w:t>b)</w:t>
      </w:r>
      <w:r w:rsidRPr="008C3879">
        <w:rPr>
          <w:rFonts w:eastAsiaTheme="minorEastAsia"/>
          <w:i/>
          <w:iCs/>
        </w:rPr>
        <w:tab/>
      </w:r>
      <w:r w:rsidRPr="008C3879">
        <w:t>average time of recruitment of new staff in Regional and Area Office (from identification of vacant/needed position to the contract signature</w:t>
      </w:r>
      <w:proofErr w:type="gramStart"/>
      <w:r w:rsidRPr="008C3879">
        <w:t>)</w:t>
      </w:r>
      <w:r>
        <w:t>;</w:t>
      </w:r>
      <w:proofErr w:type="gramEnd"/>
    </w:p>
    <w:p w14:paraId="3851B63F" w14:textId="77777777" w:rsidR="002B02ED" w:rsidRPr="008C3879" w:rsidRDefault="002B02ED" w:rsidP="002B02ED">
      <w:pPr>
        <w:pStyle w:val="enumlev2"/>
        <w:jc w:val="both"/>
      </w:pPr>
      <w:r w:rsidRPr="00C357CB">
        <w:rPr>
          <w:rFonts w:eastAsiaTheme="minorEastAsia"/>
          <w:i/>
          <w:iCs/>
        </w:rPr>
        <w:t>c)</w:t>
      </w:r>
      <w:r w:rsidRPr="008C3879">
        <w:rPr>
          <w:rFonts w:eastAsiaTheme="minorEastAsia"/>
          <w:i/>
          <w:iCs/>
        </w:rPr>
        <w:tab/>
      </w:r>
      <w:r w:rsidRPr="008C3879">
        <w:t xml:space="preserve">implementation of improvements to recruitment processes and tools in Regional and Area Office to enable the identification and recruitment of talent with relevant project management </w:t>
      </w:r>
      <w:proofErr w:type="gramStart"/>
      <w:r w:rsidRPr="008C3879">
        <w:t>expertise</w:t>
      </w:r>
      <w:r>
        <w:t>;</w:t>
      </w:r>
      <w:proofErr w:type="gramEnd"/>
    </w:p>
    <w:p w14:paraId="31C97265" w14:textId="77777777" w:rsidR="002B02ED" w:rsidRPr="008C3879" w:rsidRDefault="002B02ED" w:rsidP="002B02ED">
      <w:pPr>
        <w:pStyle w:val="enumlev2"/>
        <w:jc w:val="both"/>
      </w:pPr>
      <w:r w:rsidRPr="00C357CB">
        <w:rPr>
          <w:rFonts w:eastAsiaTheme="minorEastAsia"/>
          <w:i/>
          <w:iCs/>
        </w:rPr>
        <w:t>d)</w:t>
      </w:r>
      <w:r w:rsidRPr="008C3879">
        <w:rPr>
          <w:rFonts w:eastAsiaTheme="minorEastAsia"/>
          <w:i/>
          <w:iCs/>
        </w:rPr>
        <w:tab/>
      </w:r>
      <w:r w:rsidRPr="008C3879">
        <w:t xml:space="preserve">implementation of staff mobility policy (per Regional and Area Office, per year in review). </w:t>
      </w:r>
    </w:p>
    <w:p w14:paraId="18364890" w14:textId="77777777" w:rsidR="002B02ED" w:rsidRPr="008C3879" w:rsidRDefault="002B02ED" w:rsidP="002B02ED">
      <w:pPr>
        <w:pStyle w:val="enumlev1"/>
        <w:jc w:val="both"/>
      </w:pPr>
      <w:r w:rsidRPr="008C3879">
        <w:rPr>
          <w:rFonts w:eastAsiaTheme="minorEastAsia"/>
        </w:rPr>
        <w:t>15</w:t>
      </w:r>
      <w:r w:rsidRPr="008C3879">
        <w:rPr>
          <w:rFonts w:eastAsiaTheme="minorEastAsia"/>
        </w:rPr>
        <w:tab/>
      </w:r>
      <w:r w:rsidRPr="008C3879">
        <w:t>Specific activities (projects, regional initiatives, events/meetings/conferences, regional preparatory meetings, sectoral activities, etc.),</w:t>
      </w:r>
      <w:r w:rsidRPr="0008270D">
        <w:t xml:space="preserve"> with additional criteria assessing the administrative, financial, technical and logistical support, as well as victuals and other special conditions provided for participants of the ITU events held by Regional and Area Offices in the regions.</w:t>
      </w:r>
    </w:p>
    <w:p w14:paraId="758A74CE" w14:textId="77777777" w:rsidR="002B02ED" w:rsidRPr="008C3879" w:rsidRDefault="002B02ED" w:rsidP="002B02ED">
      <w:pPr>
        <w:pStyle w:val="enumlev1"/>
        <w:jc w:val="both"/>
      </w:pPr>
      <w:r w:rsidRPr="008C3879">
        <w:rPr>
          <w:rFonts w:eastAsiaTheme="minorEastAsia"/>
        </w:rPr>
        <w:t>16</w:t>
      </w:r>
      <w:r w:rsidRPr="008C3879">
        <w:rPr>
          <w:rFonts w:eastAsiaTheme="minorEastAsia"/>
        </w:rPr>
        <w:tab/>
      </w:r>
      <w:r w:rsidRPr="008C3879">
        <w:t>Participation of members in regional activities, global ITU-D/ITU-T/ITU-R events and the working activities of the three Sectors (e.g. study groups, expert groups, sector advisory groups, etc.).</w:t>
      </w:r>
    </w:p>
    <w:p w14:paraId="5BB00163" w14:textId="77777777" w:rsidR="002B02ED" w:rsidRPr="008C3879" w:rsidRDefault="002B02ED" w:rsidP="002B02ED">
      <w:pPr>
        <w:pStyle w:val="enumlev1"/>
        <w:jc w:val="both"/>
      </w:pPr>
      <w:r w:rsidRPr="008C3879">
        <w:rPr>
          <w:rFonts w:eastAsiaTheme="minorEastAsia"/>
        </w:rPr>
        <w:t>17</w:t>
      </w:r>
      <w:r w:rsidRPr="008C3879">
        <w:rPr>
          <w:rFonts w:eastAsiaTheme="minorEastAsia"/>
        </w:rPr>
        <w:tab/>
      </w:r>
      <w:r w:rsidRPr="008C3879">
        <w:t xml:space="preserve">Outcomes of activities demonstrating linkages between outputs/outcomes and the achievement of strategic goals, objectives and progress on KPI targets by region/sub-regional area. </w:t>
      </w:r>
    </w:p>
    <w:p w14:paraId="0A322B3A" w14:textId="77777777" w:rsidR="002B02ED" w:rsidRPr="008C3879" w:rsidRDefault="002B02ED" w:rsidP="002B02ED">
      <w:pPr>
        <w:pStyle w:val="enumlev1"/>
        <w:jc w:val="both"/>
      </w:pPr>
      <w:r w:rsidRPr="008C3879">
        <w:rPr>
          <w:rFonts w:eastAsiaTheme="minorEastAsia"/>
        </w:rPr>
        <w:t>18</w:t>
      </w:r>
      <w:r w:rsidRPr="008C3879">
        <w:rPr>
          <w:rFonts w:eastAsiaTheme="minorEastAsia"/>
        </w:rPr>
        <w:tab/>
      </w:r>
      <w:r w:rsidRPr="008C3879">
        <w:t>An evaluation of progress on relevant KPIs.</w:t>
      </w:r>
    </w:p>
    <w:p w14:paraId="41B11800" w14:textId="77777777" w:rsidR="002B02ED" w:rsidRPr="008C3879" w:rsidRDefault="002B02ED" w:rsidP="002B02ED">
      <w:pPr>
        <w:pStyle w:val="enumlev1"/>
        <w:jc w:val="both"/>
      </w:pPr>
      <w:r w:rsidRPr="008C3879">
        <w:rPr>
          <w:rFonts w:eastAsiaTheme="minorEastAsia"/>
        </w:rPr>
        <w:t>19</w:t>
      </w:r>
      <w:r w:rsidRPr="008C3879">
        <w:rPr>
          <w:rFonts w:eastAsiaTheme="minorEastAsia"/>
        </w:rPr>
        <w:tab/>
      </w:r>
      <w:r w:rsidRPr="008C3879">
        <w:t>An indication of internal and external issues and challenges associated with implementation that impact the ability/feasibility of the regional presence achieving strategic objectives and KPI targets.</w:t>
      </w:r>
    </w:p>
    <w:p w14:paraId="41F2A03A" w14:textId="77777777" w:rsidR="002B02ED" w:rsidRPr="008C3879" w:rsidRDefault="002B02ED" w:rsidP="002B02ED">
      <w:pPr>
        <w:pStyle w:val="enumlev1"/>
        <w:jc w:val="both"/>
      </w:pPr>
      <w:r w:rsidRPr="008C3879">
        <w:rPr>
          <w:rFonts w:eastAsiaTheme="minorEastAsia"/>
        </w:rPr>
        <w:t>20</w:t>
      </w:r>
      <w:r w:rsidRPr="008C3879">
        <w:rPr>
          <w:rFonts w:eastAsiaTheme="minorEastAsia"/>
        </w:rPr>
        <w:tab/>
      </w:r>
      <w:r w:rsidRPr="008C3879">
        <w:t>If relevant, recommendations on new KPIs that should be used to measure progress with achieving strategic goals and objectives.</w:t>
      </w:r>
    </w:p>
    <w:p w14:paraId="13F99DF3" w14:textId="77777777" w:rsidR="002B02ED" w:rsidRPr="008C3879" w:rsidRDefault="002B02ED" w:rsidP="002B02ED">
      <w:pPr>
        <w:pStyle w:val="enumlev1"/>
        <w:jc w:val="both"/>
      </w:pPr>
      <w:r w:rsidRPr="008C3879">
        <w:rPr>
          <w:rFonts w:eastAsiaTheme="minorEastAsia"/>
        </w:rPr>
        <w:t>21</w:t>
      </w:r>
      <w:r w:rsidRPr="008C3879">
        <w:rPr>
          <w:rFonts w:eastAsiaTheme="minorEastAsia"/>
        </w:rPr>
        <w:tab/>
      </w:r>
      <w:r w:rsidRPr="008C3879">
        <w:t xml:space="preserve">Based on the special case of LDCs, recommendations on whether per-country assessments and action plans in terms of telecommunication/ICT development would strengthen the ability of regional offices to provide member support, and the budget requirements for such assessments. </w:t>
      </w:r>
    </w:p>
    <w:p w14:paraId="6A2D34B0" w14:textId="77777777" w:rsidR="002B02ED" w:rsidRPr="008C3879" w:rsidRDefault="002B02ED" w:rsidP="002B02ED">
      <w:pPr>
        <w:pStyle w:val="enumlev1"/>
        <w:jc w:val="both"/>
      </w:pPr>
      <w:r w:rsidRPr="008C3879">
        <w:rPr>
          <w:rFonts w:eastAsiaTheme="minorEastAsia"/>
        </w:rPr>
        <w:t>22</w:t>
      </w:r>
      <w:r w:rsidRPr="008C3879">
        <w:rPr>
          <w:rFonts w:eastAsiaTheme="minorEastAsia"/>
        </w:rPr>
        <w:tab/>
      </w:r>
      <w:r w:rsidRPr="008C3879">
        <w:t xml:space="preserve">Details on fellowships awarded that demonstrate the extent to which fellowships are awarded in a fair and transparent manner (equitable geographical distribution, gender balance and the inclusion of delegates with disabilities). </w:t>
      </w:r>
    </w:p>
    <w:p w14:paraId="634B33BB" w14:textId="77777777" w:rsidR="002B02ED" w:rsidRPr="008C3879" w:rsidRDefault="002B02ED" w:rsidP="002B02ED">
      <w:pPr>
        <w:pStyle w:val="enumlev1"/>
        <w:jc w:val="both"/>
      </w:pPr>
      <w:r w:rsidRPr="008C3879">
        <w:rPr>
          <w:rFonts w:eastAsiaTheme="minorEastAsia"/>
        </w:rPr>
        <w:t>23</w:t>
      </w:r>
      <w:r w:rsidRPr="008C3879">
        <w:rPr>
          <w:rFonts w:eastAsiaTheme="minorEastAsia"/>
        </w:rPr>
        <w:tab/>
      </w:r>
      <w:r w:rsidRPr="008C3879">
        <w:t xml:space="preserve">Analysis of the fellowship application process, based on feedback </w:t>
      </w:r>
      <w:r>
        <w:t>from</w:t>
      </w:r>
      <w:r w:rsidRPr="008C3879">
        <w:t xml:space="preserve"> Member States, that recommends possible process and format improvements to address gaps.</w:t>
      </w:r>
    </w:p>
    <w:p w14:paraId="570C6712" w14:textId="77777777" w:rsidR="002B02ED" w:rsidRPr="008C3879" w:rsidRDefault="002B02ED" w:rsidP="002B02ED">
      <w:pPr>
        <w:pStyle w:val="enumlev1"/>
        <w:jc w:val="both"/>
      </w:pPr>
      <w:r w:rsidRPr="008C3879">
        <w:rPr>
          <w:rFonts w:eastAsiaTheme="minorEastAsia"/>
        </w:rPr>
        <w:t>24</w:t>
      </w:r>
      <w:r w:rsidRPr="008C3879">
        <w:rPr>
          <w:rFonts w:eastAsiaTheme="minorEastAsia"/>
        </w:rPr>
        <w:tab/>
      </w:r>
      <w:r w:rsidRPr="008C3879">
        <w:t>Representation of all three Sectors in Regional and Area Offices when implementing the One-ITU approach:</w:t>
      </w:r>
    </w:p>
    <w:p w14:paraId="11DB0B16" w14:textId="77777777" w:rsidR="002B02ED" w:rsidRPr="008C3879" w:rsidRDefault="002B02ED" w:rsidP="002B02ED">
      <w:pPr>
        <w:pStyle w:val="enumlev2"/>
        <w:jc w:val="both"/>
      </w:pPr>
      <w:r w:rsidRPr="008C3879">
        <w:rPr>
          <w:rFonts w:eastAsiaTheme="minorEastAsia"/>
          <w:i/>
          <w:iCs/>
        </w:rPr>
        <w:t>a</w:t>
      </w:r>
      <w:r>
        <w:rPr>
          <w:rFonts w:eastAsiaTheme="minorEastAsia"/>
          <w:i/>
          <w:iCs/>
        </w:rPr>
        <w:t>)</w:t>
      </w:r>
      <w:r w:rsidRPr="008C3879">
        <w:rPr>
          <w:rFonts w:eastAsiaTheme="minorEastAsia"/>
          <w:i/>
          <w:iCs/>
        </w:rPr>
        <w:tab/>
      </w:r>
      <w:r w:rsidRPr="008C3879">
        <w:t>Availability/Number of Focal Points for T and R Sectors in all ROs/AOs.</w:t>
      </w:r>
    </w:p>
    <w:p w14:paraId="1B4513E6" w14:textId="77777777" w:rsidR="002B02ED" w:rsidRPr="008C3879" w:rsidRDefault="002B02ED" w:rsidP="002B02ED">
      <w:pPr>
        <w:pStyle w:val="enumlev2"/>
        <w:jc w:val="both"/>
        <w:rPr>
          <w:rFonts w:cs="Calibri"/>
          <w:szCs w:val="24"/>
        </w:rPr>
      </w:pPr>
      <w:r w:rsidRPr="008C3879">
        <w:rPr>
          <w:rFonts w:eastAsiaTheme="minorEastAsia" w:cs="Calibri"/>
          <w:i/>
          <w:iCs/>
          <w:szCs w:val="24"/>
        </w:rPr>
        <w:lastRenderedPageBreak/>
        <w:t>b</w:t>
      </w:r>
      <w:r>
        <w:rPr>
          <w:rFonts w:eastAsiaTheme="minorEastAsia" w:cs="Calibri"/>
          <w:i/>
          <w:iCs/>
          <w:szCs w:val="24"/>
        </w:rPr>
        <w:t>)</w:t>
      </w:r>
      <w:r w:rsidRPr="008C3879">
        <w:rPr>
          <w:rFonts w:eastAsiaTheme="minorEastAsia" w:cs="Calibri"/>
          <w:i/>
          <w:iCs/>
          <w:szCs w:val="24"/>
        </w:rPr>
        <w:tab/>
      </w:r>
      <w:r w:rsidRPr="008C3879">
        <w:rPr>
          <w:rFonts w:cs="Calibri"/>
          <w:szCs w:val="24"/>
        </w:rPr>
        <w:t xml:space="preserve">Means of provision with technical staff with knowledge and experience of the three Sectors of the Union to the Ros/AOs, particularly dedicated staff from the Standardization and </w:t>
      </w:r>
      <w:r w:rsidRPr="00C357CB">
        <w:t>Radiocommunication</w:t>
      </w:r>
      <w:r w:rsidRPr="008C3879">
        <w:rPr>
          <w:rFonts w:cs="Calibri"/>
          <w:szCs w:val="24"/>
        </w:rPr>
        <w:t xml:space="preserve"> Sectors, </w:t>
      </w:r>
      <w:proofErr w:type="gramStart"/>
      <w:r w:rsidRPr="008C3879">
        <w:rPr>
          <w:rFonts w:cs="Calibri"/>
          <w:szCs w:val="24"/>
        </w:rPr>
        <w:t>in order to</w:t>
      </w:r>
      <w:proofErr w:type="gramEnd"/>
      <w:r w:rsidRPr="008C3879">
        <w:rPr>
          <w:rFonts w:cs="Calibri"/>
          <w:szCs w:val="24"/>
        </w:rPr>
        <w:t xml:space="preserve"> strengthen and assist Member States.</w:t>
      </w:r>
    </w:p>
    <w:p w14:paraId="44192E47" w14:textId="77777777" w:rsidR="002B02ED" w:rsidRPr="008C3879" w:rsidRDefault="002B02ED" w:rsidP="002B02ED">
      <w:pPr>
        <w:pStyle w:val="enumlev2"/>
        <w:jc w:val="both"/>
        <w:rPr>
          <w:rFonts w:cs="Calibri"/>
          <w:szCs w:val="24"/>
        </w:rPr>
      </w:pPr>
      <w:r w:rsidRPr="008C3879">
        <w:rPr>
          <w:rFonts w:eastAsiaTheme="minorEastAsia" w:cs="Calibri"/>
          <w:i/>
          <w:iCs/>
          <w:szCs w:val="24"/>
        </w:rPr>
        <w:t>c</w:t>
      </w:r>
      <w:r>
        <w:rPr>
          <w:rFonts w:eastAsiaTheme="minorEastAsia" w:cs="Calibri"/>
          <w:i/>
          <w:iCs/>
          <w:szCs w:val="24"/>
        </w:rPr>
        <w:t>)</w:t>
      </w:r>
      <w:r w:rsidRPr="008C3879">
        <w:rPr>
          <w:rFonts w:eastAsiaTheme="minorEastAsia" w:cs="Calibri"/>
          <w:i/>
          <w:iCs/>
          <w:szCs w:val="24"/>
        </w:rPr>
        <w:tab/>
      </w:r>
      <w:r w:rsidRPr="008C3879">
        <w:rPr>
          <w:rFonts w:cs="Calibri"/>
          <w:szCs w:val="24"/>
        </w:rPr>
        <w:t xml:space="preserve">Participation of Regional </w:t>
      </w:r>
      <w:r w:rsidRPr="00C357CB">
        <w:t>and</w:t>
      </w:r>
      <w:r w:rsidRPr="008C3879">
        <w:rPr>
          <w:rFonts w:cs="Calibri"/>
          <w:szCs w:val="24"/>
        </w:rPr>
        <w:t xml:space="preserve"> Area Offices in the activities of all three Sectors (</w:t>
      </w:r>
      <w:r>
        <w:rPr>
          <w:rFonts w:cs="Calibri"/>
          <w:szCs w:val="24"/>
        </w:rPr>
        <w:t>ITU</w:t>
      </w:r>
      <w:r w:rsidRPr="00D356D4">
        <w:rPr>
          <w:rFonts w:cs="Calibri"/>
          <w:szCs w:val="24"/>
        </w:rPr>
        <w:noBreakHyphen/>
      </w:r>
      <w:r w:rsidRPr="008C3879">
        <w:rPr>
          <w:rFonts w:cs="Calibri"/>
          <w:szCs w:val="24"/>
        </w:rPr>
        <w:t xml:space="preserve">T and </w:t>
      </w:r>
      <w:r>
        <w:rPr>
          <w:rFonts w:cs="Calibri"/>
          <w:szCs w:val="24"/>
        </w:rPr>
        <w:t>ITU-</w:t>
      </w:r>
      <w:r w:rsidRPr="008C3879">
        <w:rPr>
          <w:rFonts w:cs="Calibri"/>
          <w:szCs w:val="24"/>
        </w:rPr>
        <w:t>R in particular).</w:t>
      </w:r>
    </w:p>
    <w:p w14:paraId="15113DD3" w14:textId="77777777" w:rsidR="002B02ED" w:rsidRPr="008C3879" w:rsidRDefault="002B02ED" w:rsidP="002B02ED">
      <w:pPr>
        <w:pStyle w:val="enumlev1"/>
        <w:jc w:val="both"/>
      </w:pPr>
      <w:r w:rsidRPr="008C3879">
        <w:rPr>
          <w:rFonts w:eastAsiaTheme="minorEastAsia"/>
        </w:rPr>
        <w:t>25</w:t>
      </w:r>
      <w:r w:rsidRPr="008C3879">
        <w:rPr>
          <w:rFonts w:eastAsiaTheme="minorEastAsia"/>
        </w:rPr>
        <w:tab/>
      </w:r>
      <w:r w:rsidRPr="008C3879">
        <w:t>Assess whether the regional presence provides adequate information in respect of the following, in annual/periodic reporting regarding the regional presence (each of the regional/area offices) to the Directors of the three Bureaus, Advisory Bodies and Council, as appropriate:</w:t>
      </w:r>
    </w:p>
    <w:p w14:paraId="517D8DEF" w14:textId="77777777" w:rsidR="002B02ED" w:rsidRPr="008C3879" w:rsidRDefault="002B02ED" w:rsidP="002B02ED">
      <w:pPr>
        <w:pStyle w:val="enumlev2"/>
        <w:jc w:val="both"/>
        <w:rPr>
          <w:rFonts w:cs="Calibri"/>
          <w:szCs w:val="24"/>
        </w:rPr>
      </w:pPr>
      <w:r w:rsidRPr="008C3879">
        <w:rPr>
          <w:rFonts w:eastAsiaTheme="minorEastAsia" w:cs="Calibri"/>
          <w:i/>
          <w:iCs/>
          <w:szCs w:val="24"/>
        </w:rPr>
        <w:t>a</w:t>
      </w:r>
      <w:r>
        <w:rPr>
          <w:rFonts w:eastAsiaTheme="minorEastAsia" w:cs="Calibri"/>
          <w:i/>
          <w:iCs/>
          <w:szCs w:val="24"/>
        </w:rPr>
        <w:t>)</w:t>
      </w:r>
      <w:r w:rsidRPr="008C3879">
        <w:rPr>
          <w:rFonts w:eastAsiaTheme="minorEastAsia" w:cs="Calibri"/>
          <w:i/>
          <w:iCs/>
          <w:szCs w:val="24"/>
        </w:rPr>
        <w:tab/>
      </w:r>
      <w:r w:rsidRPr="008C3879">
        <w:rPr>
          <w:rFonts w:cs="Calibri"/>
          <w:szCs w:val="24"/>
        </w:rPr>
        <w:t>Staffing of regional and area offices, including number of staff members, their category of employment and other factors in accordance with Resolution 48 (Rev. Bucharest, 2022).</w:t>
      </w:r>
    </w:p>
    <w:p w14:paraId="58BAF233" w14:textId="77777777" w:rsidR="002B02ED" w:rsidRPr="008C3879" w:rsidRDefault="002B02ED" w:rsidP="002B02ED">
      <w:pPr>
        <w:pStyle w:val="enumlev2"/>
        <w:jc w:val="both"/>
        <w:rPr>
          <w:rFonts w:cs="Calibri"/>
          <w:szCs w:val="24"/>
        </w:rPr>
      </w:pPr>
      <w:r w:rsidRPr="008C3879">
        <w:rPr>
          <w:rFonts w:eastAsiaTheme="minorEastAsia" w:cs="Calibri"/>
          <w:i/>
          <w:iCs/>
          <w:szCs w:val="24"/>
        </w:rPr>
        <w:t>b</w:t>
      </w:r>
      <w:r>
        <w:rPr>
          <w:rFonts w:eastAsiaTheme="minorEastAsia" w:cs="Calibri"/>
          <w:i/>
          <w:iCs/>
          <w:szCs w:val="24"/>
        </w:rPr>
        <w:t>)</w:t>
      </w:r>
      <w:r w:rsidRPr="008C3879">
        <w:rPr>
          <w:rFonts w:eastAsiaTheme="minorEastAsia" w:cs="Calibri"/>
          <w:i/>
          <w:iCs/>
          <w:szCs w:val="24"/>
        </w:rPr>
        <w:tab/>
      </w:r>
      <w:proofErr w:type="gramStart"/>
      <w:r w:rsidRPr="008C3879">
        <w:rPr>
          <w:rFonts w:cs="Calibri"/>
          <w:szCs w:val="24"/>
        </w:rPr>
        <w:t>Financial</w:t>
      </w:r>
      <w:proofErr w:type="gramEnd"/>
      <w:r w:rsidRPr="008C3879">
        <w:rPr>
          <w:rFonts w:cs="Calibri"/>
          <w:szCs w:val="24"/>
        </w:rPr>
        <w:t xml:space="preserve"> information, including budget allocated to the regional and area offices and expenses per thematic priority and planned output.</w:t>
      </w:r>
    </w:p>
    <w:p w14:paraId="16EA6958" w14:textId="77777777" w:rsidR="002B02ED" w:rsidRPr="008C3879" w:rsidRDefault="002B02ED" w:rsidP="002B02ED">
      <w:pPr>
        <w:pStyle w:val="enumlev2"/>
        <w:jc w:val="both"/>
        <w:rPr>
          <w:rFonts w:cs="Calibri"/>
          <w:szCs w:val="24"/>
        </w:rPr>
      </w:pPr>
      <w:r w:rsidRPr="008C3879">
        <w:rPr>
          <w:rFonts w:eastAsiaTheme="minorEastAsia" w:cs="Calibri"/>
          <w:i/>
          <w:iCs/>
          <w:szCs w:val="24"/>
        </w:rPr>
        <w:t>c</w:t>
      </w:r>
      <w:r>
        <w:rPr>
          <w:rFonts w:eastAsiaTheme="minorEastAsia" w:cs="Calibri"/>
          <w:i/>
          <w:iCs/>
          <w:szCs w:val="24"/>
        </w:rPr>
        <w:t>)</w:t>
      </w:r>
      <w:r w:rsidRPr="008C3879">
        <w:rPr>
          <w:rFonts w:eastAsiaTheme="minorEastAsia" w:cs="Calibri"/>
          <w:i/>
          <w:iCs/>
          <w:szCs w:val="24"/>
        </w:rPr>
        <w:tab/>
      </w:r>
      <w:r w:rsidRPr="008C3879">
        <w:rPr>
          <w:rFonts w:cs="Calibri"/>
          <w:szCs w:val="24"/>
        </w:rPr>
        <w:t>The implementation of activities (including those related to the three Sectors and the General Secretariat).</w:t>
      </w:r>
    </w:p>
    <w:p w14:paraId="39D80E24" w14:textId="77777777" w:rsidR="002B02ED" w:rsidRPr="008C3879" w:rsidRDefault="002B02ED" w:rsidP="002B02ED">
      <w:pPr>
        <w:pStyle w:val="enumlev1"/>
        <w:jc w:val="both"/>
      </w:pPr>
      <w:r w:rsidRPr="008C3879">
        <w:rPr>
          <w:rFonts w:eastAsiaTheme="minorEastAsia"/>
        </w:rPr>
        <w:t>26</w:t>
      </w:r>
      <w:r w:rsidRPr="008C3879">
        <w:rPr>
          <w:rFonts w:eastAsiaTheme="minorEastAsia"/>
        </w:rPr>
        <w:tab/>
      </w:r>
      <w:r w:rsidRPr="008C3879">
        <w:t xml:space="preserve">Assess whether the regional presence, in its reports to the Directors of the three Bureaus, Advisory </w:t>
      </w:r>
      <w:r w:rsidRPr="00D356D4">
        <w:t>Bodies</w:t>
      </w:r>
      <w:r w:rsidRPr="008C3879">
        <w:t xml:space="preserve"> and Council, provides adequate information on:</w:t>
      </w:r>
    </w:p>
    <w:p w14:paraId="30A34542" w14:textId="77777777" w:rsidR="002B02ED" w:rsidRPr="008C3879" w:rsidRDefault="002B02ED" w:rsidP="002B02ED">
      <w:pPr>
        <w:pStyle w:val="enumlev2"/>
        <w:jc w:val="both"/>
        <w:rPr>
          <w:rFonts w:cs="Calibri"/>
          <w:szCs w:val="24"/>
        </w:rPr>
      </w:pPr>
      <w:r w:rsidRPr="008C3879">
        <w:rPr>
          <w:rFonts w:eastAsiaTheme="minorEastAsia" w:cs="Calibri"/>
          <w:i/>
          <w:iCs/>
          <w:szCs w:val="24"/>
        </w:rPr>
        <w:t>a</w:t>
      </w:r>
      <w:r>
        <w:rPr>
          <w:rFonts w:eastAsiaTheme="minorEastAsia" w:cs="Calibri"/>
          <w:i/>
          <w:iCs/>
          <w:szCs w:val="24"/>
        </w:rPr>
        <w:t>)</w:t>
      </w:r>
      <w:r w:rsidRPr="008C3879">
        <w:rPr>
          <w:rFonts w:eastAsiaTheme="minorEastAsia" w:cs="Calibri"/>
          <w:i/>
          <w:iCs/>
          <w:szCs w:val="24"/>
        </w:rPr>
        <w:tab/>
      </w:r>
      <w:r w:rsidRPr="008C3879">
        <w:rPr>
          <w:rFonts w:cs="Calibri"/>
          <w:szCs w:val="24"/>
        </w:rPr>
        <w:t xml:space="preserve">Any challenges faced in collecting the above data/ data requested. </w:t>
      </w:r>
    </w:p>
    <w:p w14:paraId="02A4C813" w14:textId="77777777" w:rsidR="002B02ED" w:rsidRPr="008C3879" w:rsidRDefault="002B02ED" w:rsidP="002B02ED">
      <w:pPr>
        <w:pStyle w:val="enumlev2"/>
        <w:jc w:val="both"/>
        <w:rPr>
          <w:rFonts w:cs="Calibri"/>
          <w:szCs w:val="24"/>
        </w:rPr>
      </w:pPr>
      <w:r w:rsidRPr="008C3879">
        <w:rPr>
          <w:rFonts w:eastAsiaTheme="minorEastAsia" w:cs="Calibri"/>
          <w:i/>
          <w:iCs/>
          <w:szCs w:val="24"/>
        </w:rPr>
        <w:t>b</w:t>
      </w:r>
      <w:r>
        <w:rPr>
          <w:rFonts w:eastAsiaTheme="minorEastAsia" w:cs="Calibri"/>
          <w:i/>
          <w:iCs/>
          <w:szCs w:val="24"/>
        </w:rPr>
        <w:t>)</w:t>
      </w:r>
      <w:r w:rsidRPr="008C3879">
        <w:rPr>
          <w:rFonts w:eastAsiaTheme="minorEastAsia" w:cs="Calibri"/>
          <w:i/>
          <w:iCs/>
          <w:szCs w:val="24"/>
        </w:rPr>
        <w:tab/>
      </w:r>
      <w:r w:rsidRPr="008C3879">
        <w:rPr>
          <w:rFonts w:cs="Calibri"/>
          <w:szCs w:val="24"/>
        </w:rPr>
        <w:t>Any recommendations on how regular reporting may help strengthen the activities of the regional presence.</w:t>
      </w:r>
    </w:p>
    <w:p w14:paraId="069C453E" w14:textId="77777777" w:rsidR="002B02ED" w:rsidRPr="008C3879" w:rsidRDefault="002B02ED" w:rsidP="002B02ED">
      <w:pPr>
        <w:pStyle w:val="enumlev2"/>
        <w:jc w:val="both"/>
        <w:rPr>
          <w:rFonts w:cs="Calibri"/>
          <w:szCs w:val="24"/>
        </w:rPr>
      </w:pPr>
      <w:r w:rsidRPr="008C3879">
        <w:rPr>
          <w:rFonts w:eastAsiaTheme="minorEastAsia" w:cs="Calibri"/>
          <w:i/>
          <w:iCs/>
          <w:szCs w:val="24"/>
        </w:rPr>
        <w:t>c</w:t>
      </w:r>
      <w:r>
        <w:rPr>
          <w:rFonts w:eastAsiaTheme="minorEastAsia" w:cs="Calibri"/>
          <w:i/>
          <w:iCs/>
          <w:szCs w:val="24"/>
        </w:rPr>
        <w:t>)</w:t>
      </w:r>
      <w:r w:rsidRPr="008C3879">
        <w:rPr>
          <w:rFonts w:eastAsiaTheme="minorEastAsia" w:cs="Calibri"/>
          <w:i/>
          <w:iCs/>
          <w:szCs w:val="24"/>
        </w:rPr>
        <w:tab/>
      </w:r>
      <w:r w:rsidRPr="008C3879">
        <w:rPr>
          <w:rFonts w:cs="Calibri"/>
          <w:szCs w:val="24"/>
        </w:rPr>
        <w:t>Any recommendations on how oversight by Advisory Bodies and Council may help strengthen the activities of the regional presence.</w:t>
      </w:r>
    </w:p>
    <w:p w14:paraId="341901D1" w14:textId="77777777" w:rsidR="002B02ED" w:rsidRPr="008C3879" w:rsidRDefault="002B02ED" w:rsidP="002B02ED">
      <w:pPr>
        <w:pStyle w:val="enumlev1"/>
        <w:jc w:val="both"/>
      </w:pPr>
      <w:r w:rsidRPr="008C3879">
        <w:rPr>
          <w:rFonts w:eastAsiaTheme="minorEastAsia"/>
        </w:rPr>
        <w:t>27</w:t>
      </w:r>
      <w:r w:rsidRPr="008C3879">
        <w:rPr>
          <w:rFonts w:eastAsiaTheme="minorEastAsia"/>
        </w:rPr>
        <w:tab/>
      </w:r>
      <w:r w:rsidRPr="008C3879">
        <w:t xml:space="preserve">Indicate the </w:t>
      </w:r>
      <w:r w:rsidRPr="00D356D4">
        <w:t>extent</w:t>
      </w:r>
      <w:r w:rsidRPr="008C3879">
        <w:t xml:space="preserve"> to which:</w:t>
      </w:r>
    </w:p>
    <w:p w14:paraId="3E67726D" w14:textId="77777777" w:rsidR="002B02ED" w:rsidRPr="008C3879" w:rsidRDefault="002B02ED" w:rsidP="002B02ED">
      <w:pPr>
        <w:pStyle w:val="enumlev2"/>
        <w:jc w:val="both"/>
      </w:pPr>
      <w:r w:rsidRPr="00D356D4">
        <w:rPr>
          <w:rFonts w:eastAsiaTheme="minorEastAsia"/>
          <w:i/>
          <w:iCs/>
        </w:rPr>
        <w:t>a)</w:t>
      </w:r>
      <w:r w:rsidRPr="008C3879">
        <w:rPr>
          <w:rFonts w:eastAsiaTheme="minorEastAsia"/>
        </w:rPr>
        <w:tab/>
      </w:r>
      <w:r w:rsidRPr="008C3879">
        <w:t>The relevant internal audit, external audit, Independent Management Advisory Committee and Joint Inspection Unit recommendations have been implemented related to the regional presence.</w:t>
      </w:r>
    </w:p>
    <w:p w14:paraId="219DA371" w14:textId="77777777" w:rsidR="002B02ED" w:rsidRPr="008C3879" w:rsidRDefault="002B02ED" w:rsidP="002B02ED">
      <w:pPr>
        <w:pStyle w:val="enumlev2"/>
        <w:jc w:val="both"/>
      </w:pPr>
      <w:r w:rsidRPr="00D356D4">
        <w:rPr>
          <w:rFonts w:eastAsiaTheme="minorEastAsia"/>
          <w:i/>
          <w:iCs/>
        </w:rPr>
        <w:t>b)</w:t>
      </w:r>
      <w:r w:rsidRPr="008C3879">
        <w:rPr>
          <w:rFonts w:eastAsiaTheme="minorEastAsia"/>
        </w:rPr>
        <w:tab/>
      </w:r>
      <w:r w:rsidRPr="008C3879">
        <w:t>The components of the ITU Accountability Framework have been implemented in the regional offices and area offices. This should include an indication of how RBM, results-based budgeting and the human resources strategic plan are implemented. It should also include an identification of any implementation gaps and progress on activities to address those gaps.</w:t>
      </w:r>
    </w:p>
    <w:p w14:paraId="3793EE22" w14:textId="77777777" w:rsidR="002B02ED" w:rsidRPr="008C3879" w:rsidRDefault="002B02ED" w:rsidP="002B02ED">
      <w:pPr>
        <w:pStyle w:val="enumlev2"/>
        <w:jc w:val="both"/>
      </w:pPr>
      <w:r w:rsidRPr="00D356D4">
        <w:rPr>
          <w:rFonts w:eastAsiaTheme="minorEastAsia"/>
          <w:i/>
          <w:iCs/>
        </w:rPr>
        <w:t>c)</w:t>
      </w:r>
      <w:r w:rsidRPr="008C3879">
        <w:rPr>
          <w:rFonts w:eastAsiaTheme="minorEastAsia"/>
        </w:rPr>
        <w:tab/>
      </w:r>
      <w:r w:rsidRPr="008C3879">
        <w:t>Accountability measures have been undertaken when providing regional/area offices greater autonomy in decision-making on the various activities, initiatives and projects they carry out.</w:t>
      </w:r>
    </w:p>
    <w:p w14:paraId="41235E27" w14:textId="77777777" w:rsidR="002B02ED" w:rsidRPr="0008270D" w:rsidRDefault="002B02ED" w:rsidP="002B02ED">
      <w:pPr>
        <w:pStyle w:val="enumlev2"/>
        <w:jc w:val="both"/>
        <w:rPr>
          <w:rFonts w:asciiTheme="minorHAnsi" w:hAnsiTheme="minorHAnsi" w:cstheme="minorHAnsi"/>
          <w:sz w:val="22"/>
        </w:rPr>
      </w:pPr>
      <w:r w:rsidRPr="00D356D4">
        <w:rPr>
          <w:rFonts w:asciiTheme="minorHAnsi" w:eastAsiaTheme="minorEastAsia" w:hAnsiTheme="minorHAnsi" w:cstheme="minorHAnsi"/>
          <w:i/>
          <w:iCs/>
          <w:sz w:val="22"/>
        </w:rPr>
        <w:t>d)</w:t>
      </w:r>
      <w:r w:rsidRPr="008C3879">
        <w:rPr>
          <w:rFonts w:asciiTheme="minorHAnsi" w:eastAsiaTheme="minorEastAsia" w:hAnsiTheme="minorHAnsi" w:cstheme="minorHAnsi"/>
          <w:sz w:val="22"/>
        </w:rPr>
        <w:tab/>
      </w:r>
      <w:r w:rsidRPr="008C3879">
        <w:t>The efficiency and effectiveness of the ethics, complaints and response mechanisms.</w:t>
      </w:r>
    </w:p>
    <w:p w14:paraId="04DFC2CE" w14:textId="77777777" w:rsidR="002B02ED" w:rsidRPr="0008270D" w:rsidRDefault="002B02ED" w:rsidP="002B02ED">
      <w:pPr>
        <w:jc w:val="both"/>
        <w:rPr>
          <w:rFonts w:cs="Calibri"/>
          <w:szCs w:val="24"/>
        </w:rPr>
      </w:pPr>
      <w:r w:rsidRPr="0008270D">
        <w:rPr>
          <w:rFonts w:cs="Calibri"/>
          <w:szCs w:val="24"/>
        </w:rPr>
        <w:t>With additional criteria, assessing the administrative, financial, technical and logistical support, as well as victuals and other special conditions provided for participants of the ITU events held by Regional and Area Offices.</w:t>
      </w:r>
    </w:p>
    <w:p w14:paraId="17411B00" w14:textId="77777777" w:rsidR="002B02ED" w:rsidRPr="0008270D" w:rsidRDefault="002B02ED" w:rsidP="002B02ED">
      <w:pPr>
        <w:jc w:val="both"/>
        <w:rPr>
          <w:rFonts w:cs="Calibri"/>
          <w:szCs w:val="24"/>
        </w:rPr>
      </w:pPr>
    </w:p>
    <w:p w14:paraId="11823703" w14:textId="50BD65A9" w:rsidR="00442499" w:rsidRPr="002B02ED" w:rsidRDefault="002B02ED" w:rsidP="002B02ED">
      <w:pPr>
        <w:jc w:val="center"/>
        <w:rPr>
          <w:rFonts w:cs="Calibri"/>
          <w:b/>
          <w:i/>
          <w:iCs/>
          <w:szCs w:val="24"/>
        </w:rPr>
      </w:pPr>
      <w:r>
        <w:t>______________</w:t>
      </w:r>
    </w:p>
    <w:sectPr w:rsidR="00442499" w:rsidRPr="002B02ED" w:rsidSect="003B550E">
      <w:footerReference w:type="default" r:id="rId49"/>
      <w:headerReference w:type="first" r:id="rId50"/>
      <w:footerReference w:type="first" r:id="rId51"/>
      <w:pgSz w:w="11907" w:h="16834"/>
      <w:pgMar w:top="1134" w:right="1134" w:bottom="567"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C60D0" w14:textId="77777777" w:rsidR="00823435" w:rsidRDefault="00823435">
      <w:r>
        <w:separator/>
      </w:r>
    </w:p>
  </w:endnote>
  <w:endnote w:type="continuationSeparator" w:id="0">
    <w:p w14:paraId="4C14AB0D" w14:textId="77777777" w:rsidR="00823435" w:rsidRDefault="0082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rsidTr="0042469C">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6700602C"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25570E">
            <w:rPr>
              <w:bCs/>
              <w:lang w:val="fr-CH"/>
            </w:rPr>
            <w:t>2</w:t>
          </w:r>
          <w:r w:rsidR="000F6AB8">
            <w:rPr>
              <w:bCs/>
              <w:lang w:val="fr-CH"/>
            </w:rPr>
            <w:t>0/</w:t>
          </w:r>
          <w:r w:rsidR="00D45595">
            <w:rPr>
              <w:bCs/>
              <w:lang w:val="fr-CH"/>
            </w:rPr>
            <w:t>3</w:t>
          </w:r>
          <w:r w:rsidR="0054000A">
            <w:rPr>
              <w:bCs/>
              <w:lang w:val="fr-CH"/>
            </w:rPr>
            <w:t>2</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E38AFA7"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16E73087" w:rsidR="00EE49E8" w:rsidRPr="00F56F10" w:rsidRDefault="0025570E" w:rsidP="00EE49E8">
          <w:pPr>
            <w:pStyle w:val="Header"/>
            <w:jc w:val="left"/>
            <w:rPr>
              <w:noProof/>
            </w:rPr>
          </w:pPr>
          <w:hyperlink r:id="rId1" w:history="1">
            <w:r w:rsidRPr="00F56F10">
              <w:rPr>
                <w:rStyle w:val="Hyperlink"/>
                <w:u w:val="none"/>
              </w:rPr>
              <w:t>https://council.itu.int/working-groups</w:t>
            </w:r>
          </w:hyperlink>
        </w:p>
      </w:tc>
      <w:tc>
        <w:tcPr>
          <w:tcW w:w="6957" w:type="dxa"/>
        </w:tcPr>
        <w:p w14:paraId="7CFADCBC" w14:textId="36B5F2A2"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25570E" w:rsidRPr="000F6AB8">
            <w:rPr>
              <w:bCs/>
              <w:lang w:val="es-ES"/>
            </w:rPr>
            <w:t>2</w:t>
          </w:r>
          <w:r w:rsidR="000F6AB8">
            <w:rPr>
              <w:bCs/>
              <w:lang w:val="es-ES"/>
            </w:rPr>
            <w:t>0</w:t>
          </w:r>
          <w:r w:rsidRPr="000F6AB8">
            <w:rPr>
              <w:bCs/>
              <w:lang w:val="es-ES"/>
            </w:rPr>
            <w:t>/</w:t>
          </w:r>
          <w:r w:rsidR="00D45595">
            <w:rPr>
              <w:bCs/>
              <w:lang w:val="es-ES"/>
            </w:rPr>
            <w:t>3</w:t>
          </w:r>
          <w:r w:rsidR="00D53890">
            <w:rPr>
              <w:bCs/>
              <w:lang w:val="es-ES"/>
            </w:rPr>
            <w:t>2</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99749" w14:textId="77777777" w:rsidR="00823435" w:rsidRDefault="00823435">
      <w:r>
        <w:t>____________________</w:t>
      </w:r>
    </w:p>
  </w:footnote>
  <w:footnote w:type="continuationSeparator" w:id="0">
    <w:p w14:paraId="792D6CE2" w14:textId="77777777" w:rsidR="00823435" w:rsidRDefault="00823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p w14:paraId="6A22278E" w14:textId="77777777" w:rsidR="00AD3606" w:rsidRPr="009621F8" w:rsidRDefault="00F56F10" w:rsidP="00130599">
          <w:pPr>
            <w:pStyle w:val="Header"/>
            <w:jc w:val="left"/>
            <w:rPr>
              <w:rFonts w:ascii="Arial" w:hAnsi="Arial" w:cs="Arial"/>
              <w:b/>
              <w:bCs/>
              <w:color w:val="009CD6"/>
              <w:sz w:val="36"/>
              <w:szCs w:val="36"/>
            </w:rPr>
          </w:pPr>
          <w:bookmarkStart w:id="17"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8AED90" id="_x0000_t202" coordsize="21600,21600" o:spt="202" path="m,l,21600r21600,l21600,xe">
                    <v:stroke joinstyle="miter"/>
                    <v:path gradientshapeok="t" o:connecttype="rect"/>
                  </v:shapetype>
                  <v:shape id="Text Box 2" o:spid="_x0000_s1026" type="#_x0000_t202" style="position:absolute;margin-left:112.85pt;margin-top:.4pt;width:346.4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7122555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7"/>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7E93C"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D20F91"/>
    <w:multiLevelType w:val="multilevel"/>
    <w:tmpl w:val="9D38F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2141A"/>
    <w:multiLevelType w:val="hybridMultilevel"/>
    <w:tmpl w:val="BD96D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0637BF"/>
    <w:multiLevelType w:val="multilevel"/>
    <w:tmpl w:val="B6BA8BDA"/>
    <w:lvl w:ilvl="0">
      <w:start w:val="4"/>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 w15:restartNumberingAfterBreak="0">
    <w:nsid w:val="53F94431"/>
    <w:multiLevelType w:val="multilevel"/>
    <w:tmpl w:val="AFBC6F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BE5F94"/>
    <w:multiLevelType w:val="multilevel"/>
    <w:tmpl w:val="E49CD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292F0B"/>
    <w:multiLevelType w:val="multilevel"/>
    <w:tmpl w:val="0E10F89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F62EF7"/>
    <w:multiLevelType w:val="multilevel"/>
    <w:tmpl w:val="57AE1E08"/>
    <w:lvl w:ilvl="0">
      <w:start w:val="1"/>
      <w:numFmt w:val="decimal"/>
      <w:lvlText w:val="%1."/>
      <w:lvlJc w:val="left"/>
      <w:pPr>
        <w:ind w:left="360" w:hanging="360"/>
      </w:pPr>
      <w:rPr>
        <w:rFonts w:asciiTheme="minorHAnsi" w:eastAsia="SimSun" w:hAnsiTheme="minorHAnsi" w:cs="Calibri"/>
        <w:b w:val="0"/>
        <w:color w:val="000000"/>
      </w:rPr>
    </w:lvl>
    <w:lvl w:ilvl="1">
      <w:start w:val="1"/>
      <w:numFmt w:val="decimal"/>
      <w:lvlText w:val="%1.%2"/>
      <w:lvlJc w:val="left"/>
      <w:pPr>
        <w:ind w:left="360" w:hanging="360"/>
      </w:pPr>
      <w:rPr>
        <w:rFonts w:cs="Calibri" w:hint="default"/>
        <w:b w:val="0"/>
        <w:color w:val="000000"/>
      </w:rPr>
    </w:lvl>
    <w:lvl w:ilvl="2">
      <w:start w:val="1"/>
      <w:numFmt w:val="decimal"/>
      <w:lvlText w:val="%1.%2.%3"/>
      <w:lvlJc w:val="left"/>
      <w:pPr>
        <w:ind w:left="720" w:hanging="720"/>
      </w:pPr>
      <w:rPr>
        <w:rFonts w:cs="Calibri" w:hint="default"/>
        <w:b w:val="0"/>
        <w:color w:val="000000"/>
      </w:rPr>
    </w:lvl>
    <w:lvl w:ilvl="3">
      <w:start w:val="1"/>
      <w:numFmt w:val="decimal"/>
      <w:lvlText w:val="%1.%2.%3.%4"/>
      <w:lvlJc w:val="left"/>
      <w:pPr>
        <w:ind w:left="720" w:hanging="720"/>
      </w:pPr>
      <w:rPr>
        <w:rFonts w:cs="Calibri" w:hint="default"/>
        <w:b w:val="0"/>
        <w:color w:val="000000"/>
      </w:rPr>
    </w:lvl>
    <w:lvl w:ilvl="4">
      <w:start w:val="1"/>
      <w:numFmt w:val="decimal"/>
      <w:lvlText w:val="%1.%2.%3.%4.%5"/>
      <w:lvlJc w:val="left"/>
      <w:pPr>
        <w:ind w:left="1080" w:hanging="1080"/>
      </w:pPr>
      <w:rPr>
        <w:rFonts w:cs="Calibri" w:hint="default"/>
        <w:b w:val="0"/>
        <w:color w:val="000000"/>
      </w:rPr>
    </w:lvl>
    <w:lvl w:ilvl="5">
      <w:start w:val="1"/>
      <w:numFmt w:val="decimal"/>
      <w:lvlText w:val="%1.%2.%3.%4.%5.%6"/>
      <w:lvlJc w:val="left"/>
      <w:pPr>
        <w:ind w:left="1080" w:hanging="1080"/>
      </w:pPr>
      <w:rPr>
        <w:rFonts w:cs="Calibri" w:hint="default"/>
        <w:b w:val="0"/>
        <w:color w:val="000000"/>
      </w:rPr>
    </w:lvl>
    <w:lvl w:ilvl="6">
      <w:start w:val="1"/>
      <w:numFmt w:val="decimal"/>
      <w:lvlText w:val="%1.%2.%3.%4.%5.%6.%7"/>
      <w:lvlJc w:val="left"/>
      <w:pPr>
        <w:ind w:left="1440" w:hanging="1440"/>
      </w:pPr>
      <w:rPr>
        <w:rFonts w:cs="Calibri" w:hint="default"/>
        <w:b w:val="0"/>
        <w:color w:val="000000"/>
      </w:rPr>
    </w:lvl>
    <w:lvl w:ilvl="7">
      <w:start w:val="1"/>
      <w:numFmt w:val="decimal"/>
      <w:lvlText w:val="%1.%2.%3.%4.%5.%6.%7.%8"/>
      <w:lvlJc w:val="left"/>
      <w:pPr>
        <w:ind w:left="1440" w:hanging="1440"/>
      </w:pPr>
      <w:rPr>
        <w:rFonts w:cs="Calibri" w:hint="default"/>
        <w:b w:val="0"/>
        <w:color w:val="000000"/>
      </w:rPr>
    </w:lvl>
    <w:lvl w:ilvl="8">
      <w:start w:val="1"/>
      <w:numFmt w:val="decimal"/>
      <w:lvlText w:val="%1.%2.%3.%4.%5.%6.%7.%8.%9"/>
      <w:lvlJc w:val="left"/>
      <w:pPr>
        <w:ind w:left="1800" w:hanging="1800"/>
      </w:pPr>
      <w:rPr>
        <w:rFonts w:cs="Calibri" w:hint="default"/>
        <w:b w:val="0"/>
        <w:color w:val="000000"/>
      </w:rPr>
    </w:lvl>
  </w:abstractNum>
  <w:num w:numId="1" w16cid:durableId="1669408984">
    <w:abstractNumId w:val="0"/>
  </w:num>
  <w:num w:numId="2" w16cid:durableId="968166891">
    <w:abstractNumId w:val="1"/>
  </w:num>
  <w:num w:numId="3" w16cid:durableId="1310283933">
    <w:abstractNumId w:val="5"/>
  </w:num>
  <w:num w:numId="4" w16cid:durableId="758059848">
    <w:abstractNumId w:val="3"/>
  </w:num>
  <w:num w:numId="5" w16cid:durableId="306711070">
    <w:abstractNumId w:val="7"/>
  </w:num>
  <w:num w:numId="6" w16cid:durableId="1226990309">
    <w:abstractNumId w:val="2"/>
  </w:num>
  <w:num w:numId="7" w16cid:durableId="2008437405">
    <w:abstractNumId w:val="6"/>
  </w:num>
  <w:num w:numId="8" w16cid:durableId="1293511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120E4"/>
    <w:rsid w:val="00016CBB"/>
    <w:rsid w:val="000210D4"/>
    <w:rsid w:val="000503F4"/>
    <w:rsid w:val="000613D9"/>
    <w:rsid w:val="00061F5D"/>
    <w:rsid w:val="00063016"/>
    <w:rsid w:val="00066795"/>
    <w:rsid w:val="00072625"/>
    <w:rsid w:val="00074BCF"/>
    <w:rsid w:val="00076AF6"/>
    <w:rsid w:val="0008020B"/>
    <w:rsid w:val="00080932"/>
    <w:rsid w:val="00085CF2"/>
    <w:rsid w:val="00086A34"/>
    <w:rsid w:val="00091345"/>
    <w:rsid w:val="000A70D7"/>
    <w:rsid w:val="000B113D"/>
    <w:rsid w:val="000B1705"/>
    <w:rsid w:val="000B1885"/>
    <w:rsid w:val="000C0CA3"/>
    <w:rsid w:val="000D2039"/>
    <w:rsid w:val="000D75B2"/>
    <w:rsid w:val="000F6AB8"/>
    <w:rsid w:val="001049DA"/>
    <w:rsid w:val="00107E89"/>
    <w:rsid w:val="001121F5"/>
    <w:rsid w:val="00116951"/>
    <w:rsid w:val="00124300"/>
    <w:rsid w:val="00124B99"/>
    <w:rsid w:val="00127D43"/>
    <w:rsid w:val="00130599"/>
    <w:rsid w:val="00130AC0"/>
    <w:rsid w:val="00135DAF"/>
    <w:rsid w:val="001400DC"/>
    <w:rsid w:val="00140CE1"/>
    <w:rsid w:val="00147C54"/>
    <w:rsid w:val="00153DBF"/>
    <w:rsid w:val="001618F3"/>
    <w:rsid w:val="001723A1"/>
    <w:rsid w:val="0017539C"/>
    <w:rsid w:val="00175AC2"/>
    <w:rsid w:val="0017609F"/>
    <w:rsid w:val="001A4C9F"/>
    <w:rsid w:val="001A7D1D"/>
    <w:rsid w:val="001B51DD"/>
    <w:rsid w:val="001C628E"/>
    <w:rsid w:val="001D2E6C"/>
    <w:rsid w:val="001D3CCA"/>
    <w:rsid w:val="001E0F7B"/>
    <w:rsid w:val="001E0FBE"/>
    <w:rsid w:val="001E5FE7"/>
    <w:rsid w:val="001F5D67"/>
    <w:rsid w:val="00200666"/>
    <w:rsid w:val="00201707"/>
    <w:rsid w:val="002119FD"/>
    <w:rsid w:val="002130E0"/>
    <w:rsid w:val="00225415"/>
    <w:rsid w:val="002272D0"/>
    <w:rsid w:val="00244F7F"/>
    <w:rsid w:val="002456E9"/>
    <w:rsid w:val="0025570E"/>
    <w:rsid w:val="002574BE"/>
    <w:rsid w:val="0026436E"/>
    <w:rsid w:val="00264425"/>
    <w:rsid w:val="00265875"/>
    <w:rsid w:val="002669B5"/>
    <w:rsid w:val="0027303B"/>
    <w:rsid w:val="0028109B"/>
    <w:rsid w:val="00285A8E"/>
    <w:rsid w:val="00290779"/>
    <w:rsid w:val="0029434C"/>
    <w:rsid w:val="00295FC1"/>
    <w:rsid w:val="002A2188"/>
    <w:rsid w:val="002B02ED"/>
    <w:rsid w:val="002B1F58"/>
    <w:rsid w:val="002B7203"/>
    <w:rsid w:val="002C1C7A"/>
    <w:rsid w:val="002C54E2"/>
    <w:rsid w:val="002E0AC3"/>
    <w:rsid w:val="002F01DC"/>
    <w:rsid w:val="002F4916"/>
    <w:rsid w:val="0030160F"/>
    <w:rsid w:val="00301AEE"/>
    <w:rsid w:val="0030373D"/>
    <w:rsid w:val="00305359"/>
    <w:rsid w:val="003145DF"/>
    <w:rsid w:val="00320223"/>
    <w:rsid w:val="00322D0D"/>
    <w:rsid w:val="00354EAD"/>
    <w:rsid w:val="00361465"/>
    <w:rsid w:val="0038021D"/>
    <w:rsid w:val="003877F5"/>
    <w:rsid w:val="003942D4"/>
    <w:rsid w:val="0039514F"/>
    <w:rsid w:val="003958A8"/>
    <w:rsid w:val="003B29C2"/>
    <w:rsid w:val="003B550E"/>
    <w:rsid w:val="003C20CA"/>
    <w:rsid w:val="003C2533"/>
    <w:rsid w:val="003C69E3"/>
    <w:rsid w:val="003D4EF5"/>
    <w:rsid w:val="003D5A7F"/>
    <w:rsid w:val="003D635C"/>
    <w:rsid w:val="003E5068"/>
    <w:rsid w:val="003E52D0"/>
    <w:rsid w:val="004016E2"/>
    <w:rsid w:val="00402305"/>
    <w:rsid w:val="0040435A"/>
    <w:rsid w:val="00416A24"/>
    <w:rsid w:val="0042059E"/>
    <w:rsid w:val="00424AB0"/>
    <w:rsid w:val="00431D9E"/>
    <w:rsid w:val="00433CE8"/>
    <w:rsid w:val="00434A5C"/>
    <w:rsid w:val="00442499"/>
    <w:rsid w:val="00443EFD"/>
    <w:rsid w:val="00453670"/>
    <w:rsid w:val="004544D9"/>
    <w:rsid w:val="0046373E"/>
    <w:rsid w:val="0046452C"/>
    <w:rsid w:val="0047089E"/>
    <w:rsid w:val="00470EA2"/>
    <w:rsid w:val="00472BAD"/>
    <w:rsid w:val="00474DFE"/>
    <w:rsid w:val="00484009"/>
    <w:rsid w:val="004877F4"/>
    <w:rsid w:val="00490E72"/>
    <w:rsid w:val="00491157"/>
    <w:rsid w:val="004921C8"/>
    <w:rsid w:val="00495B0B"/>
    <w:rsid w:val="004A0CA4"/>
    <w:rsid w:val="004A1B8B"/>
    <w:rsid w:val="004A45DF"/>
    <w:rsid w:val="004A6879"/>
    <w:rsid w:val="004D1851"/>
    <w:rsid w:val="004D3B0A"/>
    <w:rsid w:val="004D599D"/>
    <w:rsid w:val="004E2EA5"/>
    <w:rsid w:val="004E3AEB"/>
    <w:rsid w:val="0050223C"/>
    <w:rsid w:val="005039C5"/>
    <w:rsid w:val="00512A19"/>
    <w:rsid w:val="00516E8D"/>
    <w:rsid w:val="005243FF"/>
    <w:rsid w:val="005311D6"/>
    <w:rsid w:val="00532A15"/>
    <w:rsid w:val="00536422"/>
    <w:rsid w:val="0054000A"/>
    <w:rsid w:val="005454E2"/>
    <w:rsid w:val="00551586"/>
    <w:rsid w:val="0056452D"/>
    <w:rsid w:val="00564FBC"/>
    <w:rsid w:val="005800BC"/>
    <w:rsid w:val="00582442"/>
    <w:rsid w:val="00584CE7"/>
    <w:rsid w:val="005A335D"/>
    <w:rsid w:val="005B014D"/>
    <w:rsid w:val="005B701C"/>
    <w:rsid w:val="005C13D4"/>
    <w:rsid w:val="005C6F1C"/>
    <w:rsid w:val="005D31DC"/>
    <w:rsid w:val="005E2BD5"/>
    <w:rsid w:val="005F3269"/>
    <w:rsid w:val="005F4B0A"/>
    <w:rsid w:val="005F6915"/>
    <w:rsid w:val="00602972"/>
    <w:rsid w:val="006031E9"/>
    <w:rsid w:val="00615961"/>
    <w:rsid w:val="00623AE3"/>
    <w:rsid w:val="006261F4"/>
    <w:rsid w:val="0064737F"/>
    <w:rsid w:val="006535F1"/>
    <w:rsid w:val="00654DCB"/>
    <w:rsid w:val="0065557D"/>
    <w:rsid w:val="00660D50"/>
    <w:rsid w:val="006616E9"/>
    <w:rsid w:val="00662984"/>
    <w:rsid w:val="006670E0"/>
    <w:rsid w:val="00667710"/>
    <w:rsid w:val="006716BB"/>
    <w:rsid w:val="00685215"/>
    <w:rsid w:val="00687A9A"/>
    <w:rsid w:val="0069774E"/>
    <w:rsid w:val="006B1859"/>
    <w:rsid w:val="006B5627"/>
    <w:rsid w:val="006B6680"/>
    <w:rsid w:val="006B6DCC"/>
    <w:rsid w:val="006F7ABD"/>
    <w:rsid w:val="00701C70"/>
    <w:rsid w:val="00702DEF"/>
    <w:rsid w:val="00706861"/>
    <w:rsid w:val="00715B9A"/>
    <w:rsid w:val="00726B8C"/>
    <w:rsid w:val="007353C0"/>
    <w:rsid w:val="00742C8D"/>
    <w:rsid w:val="007440F9"/>
    <w:rsid w:val="0075051B"/>
    <w:rsid w:val="00753A2D"/>
    <w:rsid w:val="00766172"/>
    <w:rsid w:val="00775655"/>
    <w:rsid w:val="007800AE"/>
    <w:rsid w:val="00784820"/>
    <w:rsid w:val="007873C7"/>
    <w:rsid w:val="00790E56"/>
    <w:rsid w:val="00791671"/>
    <w:rsid w:val="00793188"/>
    <w:rsid w:val="00794D34"/>
    <w:rsid w:val="007A4D31"/>
    <w:rsid w:val="008064A4"/>
    <w:rsid w:val="008064B1"/>
    <w:rsid w:val="00806E3C"/>
    <w:rsid w:val="00813E5E"/>
    <w:rsid w:val="00816C2C"/>
    <w:rsid w:val="00820175"/>
    <w:rsid w:val="00823435"/>
    <w:rsid w:val="0082642A"/>
    <w:rsid w:val="00831614"/>
    <w:rsid w:val="0083581B"/>
    <w:rsid w:val="00836F9A"/>
    <w:rsid w:val="00843D5A"/>
    <w:rsid w:val="0084524D"/>
    <w:rsid w:val="008552E8"/>
    <w:rsid w:val="00860EED"/>
    <w:rsid w:val="00863874"/>
    <w:rsid w:val="00864AFF"/>
    <w:rsid w:val="00865925"/>
    <w:rsid w:val="00877376"/>
    <w:rsid w:val="0088366D"/>
    <w:rsid w:val="00891503"/>
    <w:rsid w:val="008A20A3"/>
    <w:rsid w:val="008A6F51"/>
    <w:rsid w:val="008B4A6A"/>
    <w:rsid w:val="008C7E27"/>
    <w:rsid w:val="008E719A"/>
    <w:rsid w:val="008F22F7"/>
    <w:rsid w:val="008F3822"/>
    <w:rsid w:val="008F3AFE"/>
    <w:rsid w:val="008F7448"/>
    <w:rsid w:val="0090147A"/>
    <w:rsid w:val="00902D03"/>
    <w:rsid w:val="0090389B"/>
    <w:rsid w:val="00905C36"/>
    <w:rsid w:val="009173EF"/>
    <w:rsid w:val="00923683"/>
    <w:rsid w:val="00932906"/>
    <w:rsid w:val="0094154A"/>
    <w:rsid w:val="00961860"/>
    <w:rsid w:val="00961B0B"/>
    <w:rsid w:val="00962D33"/>
    <w:rsid w:val="00971B6E"/>
    <w:rsid w:val="00973735"/>
    <w:rsid w:val="00981727"/>
    <w:rsid w:val="00991448"/>
    <w:rsid w:val="0099394D"/>
    <w:rsid w:val="00994ECB"/>
    <w:rsid w:val="009A4EB5"/>
    <w:rsid w:val="009B38C3"/>
    <w:rsid w:val="009D38A3"/>
    <w:rsid w:val="009D7FE2"/>
    <w:rsid w:val="009E17BD"/>
    <w:rsid w:val="009E1F79"/>
    <w:rsid w:val="009E485A"/>
    <w:rsid w:val="00A039EC"/>
    <w:rsid w:val="00A04CEC"/>
    <w:rsid w:val="00A06A70"/>
    <w:rsid w:val="00A20C57"/>
    <w:rsid w:val="00A23F47"/>
    <w:rsid w:val="00A2434E"/>
    <w:rsid w:val="00A246B8"/>
    <w:rsid w:val="00A27F92"/>
    <w:rsid w:val="00A32257"/>
    <w:rsid w:val="00A36D20"/>
    <w:rsid w:val="00A438DF"/>
    <w:rsid w:val="00A43C03"/>
    <w:rsid w:val="00A46CD0"/>
    <w:rsid w:val="00A514A4"/>
    <w:rsid w:val="00A52C84"/>
    <w:rsid w:val="00A55622"/>
    <w:rsid w:val="00A65ED9"/>
    <w:rsid w:val="00A70F63"/>
    <w:rsid w:val="00A8184B"/>
    <w:rsid w:val="00A83502"/>
    <w:rsid w:val="00AA015F"/>
    <w:rsid w:val="00AA148E"/>
    <w:rsid w:val="00AB01C6"/>
    <w:rsid w:val="00AB21D8"/>
    <w:rsid w:val="00AB4433"/>
    <w:rsid w:val="00AB5A82"/>
    <w:rsid w:val="00AB6C44"/>
    <w:rsid w:val="00AC016E"/>
    <w:rsid w:val="00AC11A8"/>
    <w:rsid w:val="00AC3DFE"/>
    <w:rsid w:val="00AD15B3"/>
    <w:rsid w:val="00AD3606"/>
    <w:rsid w:val="00AD4A3D"/>
    <w:rsid w:val="00AD732D"/>
    <w:rsid w:val="00AE5969"/>
    <w:rsid w:val="00AF6E49"/>
    <w:rsid w:val="00B04A67"/>
    <w:rsid w:val="00B0583C"/>
    <w:rsid w:val="00B05B4E"/>
    <w:rsid w:val="00B2057F"/>
    <w:rsid w:val="00B21B73"/>
    <w:rsid w:val="00B248BC"/>
    <w:rsid w:val="00B32494"/>
    <w:rsid w:val="00B358B2"/>
    <w:rsid w:val="00B40A81"/>
    <w:rsid w:val="00B44910"/>
    <w:rsid w:val="00B44E8D"/>
    <w:rsid w:val="00B476C3"/>
    <w:rsid w:val="00B573E1"/>
    <w:rsid w:val="00B651C7"/>
    <w:rsid w:val="00B72267"/>
    <w:rsid w:val="00B73876"/>
    <w:rsid w:val="00B73DD1"/>
    <w:rsid w:val="00B76EB6"/>
    <w:rsid w:val="00B7737B"/>
    <w:rsid w:val="00B82265"/>
    <w:rsid w:val="00B824C8"/>
    <w:rsid w:val="00B82C78"/>
    <w:rsid w:val="00B849D3"/>
    <w:rsid w:val="00B84B9D"/>
    <w:rsid w:val="00B85BEF"/>
    <w:rsid w:val="00B922DC"/>
    <w:rsid w:val="00B975F9"/>
    <w:rsid w:val="00BA3A51"/>
    <w:rsid w:val="00BB3C61"/>
    <w:rsid w:val="00BC251A"/>
    <w:rsid w:val="00BC43B9"/>
    <w:rsid w:val="00BD032B"/>
    <w:rsid w:val="00BD0614"/>
    <w:rsid w:val="00BD094B"/>
    <w:rsid w:val="00BD5050"/>
    <w:rsid w:val="00BE12E8"/>
    <w:rsid w:val="00BE2640"/>
    <w:rsid w:val="00BE48E9"/>
    <w:rsid w:val="00BE5652"/>
    <w:rsid w:val="00BE7980"/>
    <w:rsid w:val="00BE7A54"/>
    <w:rsid w:val="00C01189"/>
    <w:rsid w:val="00C0246E"/>
    <w:rsid w:val="00C0614E"/>
    <w:rsid w:val="00C10B9C"/>
    <w:rsid w:val="00C22302"/>
    <w:rsid w:val="00C374DE"/>
    <w:rsid w:val="00C3796A"/>
    <w:rsid w:val="00C435B3"/>
    <w:rsid w:val="00C47AD4"/>
    <w:rsid w:val="00C52D81"/>
    <w:rsid w:val="00C548B7"/>
    <w:rsid w:val="00C55198"/>
    <w:rsid w:val="00C725C6"/>
    <w:rsid w:val="00C74425"/>
    <w:rsid w:val="00C857B3"/>
    <w:rsid w:val="00C86F5F"/>
    <w:rsid w:val="00C922C7"/>
    <w:rsid w:val="00CA6393"/>
    <w:rsid w:val="00CA66D2"/>
    <w:rsid w:val="00CA79E9"/>
    <w:rsid w:val="00CB18FF"/>
    <w:rsid w:val="00CB24AA"/>
    <w:rsid w:val="00CB34EC"/>
    <w:rsid w:val="00CB7F4D"/>
    <w:rsid w:val="00CC7C45"/>
    <w:rsid w:val="00CD0C08"/>
    <w:rsid w:val="00CD3C91"/>
    <w:rsid w:val="00CD49C6"/>
    <w:rsid w:val="00CE03FB"/>
    <w:rsid w:val="00CE05B0"/>
    <w:rsid w:val="00CE38C1"/>
    <w:rsid w:val="00CE433C"/>
    <w:rsid w:val="00CF0161"/>
    <w:rsid w:val="00CF33F3"/>
    <w:rsid w:val="00D012F5"/>
    <w:rsid w:val="00D06183"/>
    <w:rsid w:val="00D22C42"/>
    <w:rsid w:val="00D26A54"/>
    <w:rsid w:val="00D2771D"/>
    <w:rsid w:val="00D31B9D"/>
    <w:rsid w:val="00D45595"/>
    <w:rsid w:val="00D45669"/>
    <w:rsid w:val="00D464CC"/>
    <w:rsid w:val="00D46B27"/>
    <w:rsid w:val="00D522F6"/>
    <w:rsid w:val="00D53890"/>
    <w:rsid w:val="00D65041"/>
    <w:rsid w:val="00D80F63"/>
    <w:rsid w:val="00D83AE2"/>
    <w:rsid w:val="00D868FB"/>
    <w:rsid w:val="00D956E3"/>
    <w:rsid w:val="00DA4181"/>
    <w:rsid w:val="00DB00D5"/>
    <w:rsid w:val="00DB1936"/>
    <w:rsid w:val="00DB1E5A"/>
    <w:rsid w:val="00DB2D87"/>
    <w:rsid w:val="00DB384B"/>
    <w:rsid w:val="00DE5AA7"/>
    <w:rsid w:val="00DF0189"/>
    <w:rsid w:val="00DF2877"/>
    <w:rsid w:val="00E06FD5"/>
    <w:rsid w:val="00E07DC4"/>
    <w:rsid w:val="00E1043D"/>
    <w:rsid w:val="00E10E80"/>
    <w:rsid w:val="00E124F0"/>
    <w:rsid w:val="00E227F3"/>
    <w:rsid w:val="00E33626"/>
    <w:rsid w:val="00E369AD"/>
    <w:rsid w:val="00E4728B"/>
    <w:rsid w:val="00E545C6"/>
    <w:rsid w:val="00E546C0"/>
    <w:rsid w:val="00E55F1C"/>
    <w:rsid w:val="00E60F04"/>
    <w:rsid w:val="00E65B24"/>
    <w:rsid w:val="00E850C9"/>
    <w:rsid w:val="00E854E4"/>
    <w:rsid w:val="00E85AA3"/>
    <w:rsid w:val="00E85E62"/>
    <w:rsid w:val="00E86DBF"/>
    <w:rsid w:val="00E915BA"/>
    <w:rsid w:val="00E93626"/>
    <w:rsid w:val="00EA43FD"/>
    <w:rsid w:val="00EB0D6F"/>
    <w:rsid w:val="00EB2232"/>
    <w:rsid w:val="00EB5078"/>
    <w:rsid w:val="00EB6F77"/>
    <w:rsid w:val="00EC0093"/>
    <w:rsid w:val="00EC02F9"/>
    <w:rsid w:val="00EC5337"/>
    <w:rsid w:val="00ED3EAF"/>
    <w:rsid w:val="00ED660F"/>
    <w:rsid w:val="00ED7B47"/>
    <w:rsid w:val="00EE49E8"/>
    <w:rsid w:val="00EF6162"/>
    <w:rsid w:val="00F002FD"/>
    <w:rsid w:val="00F10B59"/>
    <w:rsid w:val="00F16BAB"/>
    <w:rsid w:val="00F2150A"/>
    <w:rsid w:val="00F231D8"/>
    <w:rsid w:val="00F23CF7"/>
    <w:rsid w:val="00F44C00"/>
    <w:rsid w:val="00F45D2C"/>
    <w:rsid w:val="00F46C5F"/>
    <w:rsid w:val="00F56F10"/>
    <w:rsid w:val="00F61D55"/>
    <w:rsid w:val="00F632C0"/>
    <w:rsid w:val="00F74694"/>
    <w:rsid w:val="00F81B4B"/>
    <w:rsid w:val="00F81F1D"/>
    <w:rsid w:val="00F86596"/>
    <w:rsid w:val="00F93FD4"/>
    <w:rsid w:val="00F94A63"/>
    <w:rsid w:val="00F96D46"/>
    <w:rsid w:val="00FA1C28"/>
    <w:rsid w:val="00FA5FBD"/>
    <w:rsid w:val="00FA693D"/>
    <w:rsid w:val="00FB01C9"/>
    <w:rsid w:val="00FB1279"/>
    <w:rsid w:val="00FB6B76"/>
    <w:rsid w:val="00FB7596"/>
    <w:rsid w:val="00FD6FE3"/>
    <w:rsid w:val="00FE4077"/>
    <w:rsid w:val="00FE500D"/>
    <w:rsid w:val="00FE77D2"/>
    <w:rsid w:val="00FF23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427D12"/>
  <w15:docId w15:val="{83AE87BC-DE25-4F6F-9375-28C99189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 w:type="paragraph" w:styleId="NormalWeb">
    <w:name w:val="Normal (Web)"/>
    <w:basedOn w:val="Normal"/>
    <w:uiPriority w:val="99"/>
    <w:semiHidden/>
    <w:unhideWhenUsed/>
    <w:rsid w:val="00424AB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aliases w:val="Recommendation,List Paragraph11,List Paragraph 1,List Paragraph1,Citation List,List Paragraph Char Char,Bullets,list1,b1,Number_1,Normal Sentence,Colorful List - Accent 11,ListPar1,new,SGLText List Paragraph,List Paragraph2,Bullet 1"/>
    <w:basedOn w:val="Normal"/>
    <w:link w:val="ListParagraphChar"/>
    <w:uiPriority w:val="34"/>
    <w:qFormat/>
    <w:rsid w:val="00424AB0"/>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ListParagraphChar">
    <w:name w:val="List Paragraph Char"/>
    <w:aliases w:val="Recommendation Char,List Paragraph11 Char,List Paragraph 1 Char,List Paragraph1 Char,Citation List Char,List Paragraph Char Char Char,Bullets Char,list1 Char,b1 Char,Number_1 Char,Normal Sentence Char,Colorful List - Accent 11 Char"/>
    <w:basedOn w:val="DefaultParagraphFont"/>
    <w:link w:val="ListParagraph"/>
    <w:uiPriority w:val="34"/>
    <w:rsid w:val="00424AB0"/>
    <w:rPr>
      <w:rFonts w:ascii="Times New Roman" w:hAnsi="Times New Roman"/>
      <w:sz w:val="22"/>
      <w:lang w:eastAsia="en-US"/>
    </w:rPr>
  </w:style>
  <w:style w:type="paragraph" w:customStyle="1" w:styleId="CEONormal">
    <w:name w:val="CEO_Normal"/>
    <w:link w:val="CEONormalChar"/>
    <w:qFormat/>
    <w:rsid w:val="008064B1"/>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8064B1"/>
    <w:rPr>
      <w:rFonts w:ascii="Verdana" w:eastAsia="SimHei" w:hAnsi="Verdana" w:cs="Simplified Arabic"/>
      <w:sz w:val="19"/>
      <w:szCs w:val="28"/>
      <w:lang w:val="en-GB" w:eastAsia="en-US"/>
    </w:rPr>
  </w:style>
  <w:style w:type="character" w:styleId="CommentReference">
    <w:name w:val="annotation reference"/>
    <w:basedOn w:val="DefaultParagraphFont"/>
    <w:semiHidden/>
    <w:unhideWhenUsed/>
    <w:rsid w:val="00CE05B0"/>
    <w:rPr>
      <w:sz w:val="16"/>
      <w:szCs w:val="16"/>
    </w:rPr>
  </w:style>
  <w:style w:type="paragraph" w:styleId="CommentText">
    <w:name w:val="annotation text"/>
    <w:basedOn w:val="Normal"/>
    <w:link w:val="CommentTextChar"/>
    <w:unhideWhenUsed/>
    <w:rsid w:val="00CE05B0"/>
    <w:rPr>
      <w:sz w:val="20"/>
    </w:rPr>
  </w:style>
  <w:style w:type="character" w:customStyle="1" w:styleId="CommentTextChar">
    <w:name w:val="Comment Text Char"/>
    <w:basedOn w:val="DefaultParagraphFont"/>
    <w:link w:val="CommentText"/>
    <w:rsid w:val="00CE05B0"/>
    <w:rPr>
      <w:rFonts w:ascii="Calibri" w:hAnsi="Calibri"/>
      <w:lang w:val="en-GB" w:eastAsia="en-US"/>
    </w:rPr>
  </w:style>
  <w:style w:type="paragraph" w:styleId="CommentSubject">
    <w:name w:val="annotation subject"/>
    <w:basedOn w:val="CommentText"/>
    <w:next w:val="CommentText"/>
    <w:link w:val="CommentSubjectChar"/>
    <w:semiHidden/>
    <w:unhideWhenUsed/>
    <w:rsid w:val="00CE05B0"/>
    <w:rPr>
      <w:b/>
      <w:bCs/>
    </w:rPr>
  </w:style>
  <w:style w:type="character" w:customStyle="1" w:styleId="CommentSubjectChar">
    <w:name w:val="Comment Subject Char"/>
    <w:basedOn w:val="CommentTextChar"/>
    <w:link w:val="CommentSubject"/>
    <w:semiHidden/>
    <w:rsid w:val="00CE05B0"/>
    <w:rPr>
      <w:rFonts w:ascii="Calibri" w:hAnsi="Calibri"/>
      <w:b/>
      <w:bCs/>
      <w:lang w:val="en-GB" w:eastAsia="en-US"/>
    </w:rPr>
  </w:style>
  <w:style w:type="paragraph" w:styleId="BalloonText">
    <w:name w:val="Balloon Text"/>
    <w:basedOn w:val="Normal"/>
    <w:link w:val="BalloonTextChar"/>
    <w:semiHidden/>
    <w:unhideWhenUsed/>
    <w:rsid w:val="00CE05B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E05B0"/>
    <w:rPr>
      <w:rFonts w:ascii="Segoe UI" w:hAnsi="Segoe UI" w:cs="Segoe UI"/>
      <w:sz w:val="18"/>
      <w:szCs w:val="18"/>
      <w:lang w:val="en-GB" w:eastAsia="en-US"/>
    </w:rPr>
  </w:style>
  <w:style w:type="paragraph" w:styleId="Revision">
    <w:name w:val="Revision"/>
    <w:hidden/>
    <w:uiPriority w:val="99"/>
    <w:semiHidden/>
    <w:rsid w:val="0008020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692">
      <w:bodyDiv w:val="1"/>
      <w:marLeft w:val="0"/>
      <w:marRight w:val="0"/>
      <w:marTop w:val="0"/>
      <w:marBottom w:val="0"/>
      <w:divBdr>
        <w:top w:val="none" w:sz="0" w:space="0" w:color="auto"/>
        <w:left w:val="none" w:sz="0" w:space="0" w:color="auto"/>
        <w:bottom w:val="none" w:sz="0" w:space="0" w:color="auto"/>
        <w:right w:val="none" w:sz="0" w:space="0" w:color="auto"/>
      </w:divBdr>
    </w:div>
    <w:div w:id="52050327">
      <w:bodyDiv w:val="1"/>
      <w:marLeft w:val="0"/>
      <w:marRight w:val="0"/>
      <w:marTop w:val="0"/>
      <w:marBottom w:val="0"/>
      <w:divBdr>
        <w:top w:val="none" w:sz="0" w:space="0" w:color="auto"/>
        <w:left w:val="none" w:sz="0" w:space="0" w:color="auto"/>
        <w:bottom w:val="none" w:sz="0" w:space="0" w:color="auto"/>
        <w:right w:val="none" w:sz="0" w:space="0" w:color="auto"/>
      </w:divBdr>
    </w:div>
    <w:div w:id="114830427">
      <w:bodyDiv w:val="1"/>
      <w:marLeft w:val="0"/>
      <w:marRight w:val="0"/>
      <w:marTop w:val="0"/>
      <w:marBottom w:val="0"/>
      <w:divBdr>
        <w:top w:val="none" w:sz="0" w:space="0" w:color="auto"/>
        <w:left w:val="none" w:sz="0" w:space="0" w:color="auto"/>
        <w:bottom w:val="none" w:sz="0" w:space="0" w:color="auto"/>
        <w:right w:val="none" w:sz="0" w:space="0" w:color="auto"/>
      </w:divBdr>
    </w:div>
    <w:div w:id="285895887">
      <w:bodyDiv w:val="1"/>
      <w:marLeft w:val="0"/>
      <w:marRight w:val="0"/>
      <w:marTop w:val="0"/>
      <w:marBottom w:val="0"/>
      <w:divBdr>
        <w:top w:val="none" w:sz="0" w:space="0" w:color="auto"/>
        <w:left w:val="none" w:sz="0" w:space="0" w:color="auto"/>
        <w:bottom w:val="none" w:sz="0" w:space="0" w:color="auto"/>
        <w:right w:val="none" w:sz="0" w:space="0" w:color="auto"/>
      </w:divBdr>
    </w:div>
    <w:div w:id="296035969">
      <w:bodyDiv w:val="1"/>
      <w:marLeft w:val="0"/>
      <w:marRight w:val="0"/>
      <w:marTop w:val="0"/>
      <w:marBottom w:val="0"/>
      <w:divBdr>
        <w:top w:val="none" w:sz="0" w:space="0" w:color="auto"/>
        <w:left w:val="none" w:sz="0" w:space="0" w:color="auto"/>
        <w:bottom w:val="none" w:sz="0" w:space="0" w:color="auto"/>
        <w:right w:val="none" w:sz="0" w:space="0" w:color="auto"/>
      </w:divBdr>
    </w:div>
    <w:div w:id="410083149">
      <w:bodyDiv w:val="1"/>
      <w:marLeft w:val="0"/>
      <w:marRight w:val="0"/>
      <w:marTop w:val="0"/>
      <w:marBottom w:val="0"/>
      <w:divBdr>
        <w:top w:val="none" w:sz="0" w:space="0" w:color="auto"/>
        <w:left w:val="none" w:sz="0" w:space="0" w:color="auto"/>
        <w:bottom w:val="none" w:sz="0" w:space="0" w:color="auto"/>
        <w:right w:val="none" w:sz="0" w:space="0" w:color="auto"/>
      </w:divBdr>
    </w:div>
    <w:div w:id="422917007">
      <w:bodyDiv w:val="1"/>
      <w:marLeft w:val="0"/>
      <w:marRight w:val="0"/>
      <w:marTop w:val="0"/>
      <w:marBottom w:val="0"/>
      <w:divBdr>
        <w:top w:val="none" w:sz="0" w:space="0" w:color="auto"/>
        <w:left w:val="none" w:sz="0" w:space="0" w:color="auto"/>
        <w:bottom w:val="none" w:sz="0" w:space="0" w:color="auto"/>
        <w:right w:val="none" w:sz="0" w:space="0" w:color="auto"/>
      </w:divBdr>
    </w:div>
    <w:div w:id="490487354">
      <w:bodyDiv w:val="1"/>
      <w:marLeft w:val="0"/>
      <w:marRight w:val="0"/>
      <w:marTop w:val="0"/>
      <w:marBottom w:val="0"/>
      <w:divBdr>
        <w:top w:val="none" w:sz="0" w:space="0" w:color="auto"/>
        <w:left w:val="none" w:sz="0" w:space="0" w:color="auto"/>
        <w:bottom w:val="none" w:sz="0" w:space="0" w:color="auto"/>
        <w:right w:val="none" w:sz="0" w:space="0" w:color="auto"/>
      </w:divBdr>
    </w:div>
    <w:div w:id="615217706">
      <w:bodyDiv w:val="1"/>
      <w:marLeft w:val="0"/>
      <w:marRight w:val="0"/>
      <w:marTop w:val="0"/>
      <w:marBottom w:val="0"/>
      <w:divBdr>
        <w:top w:val="none" w:sz="0" w:space="0" w:color="auto"/>
        <w:left w:val="none" w:sz="0" w:space="0" w:color="auto"/>
        <w:bottom w:val="none" w:sz="0" w:space="0" w:color="auto"/>
        <w:right w:val="none" w:sz="0" w:space="0" w:color="auto"/>
      </w:divBdr>
    </w:div>
    <w:div w:id="651911120">
      <w:bodyDiv w:val="1"/>
      <w:marLeft w:val="0"/>
      <w:marRight w:val="0"/>
      <w:marTop w:val="0"/>
      <w:marBottom w:val="0"/>
      <w:divBdr>
        <w:top w:val="none" w:sz="0" w:space="0" w:color="auto"/>
        <w:left w:val="none" w:sz="0" w:space="0" w:color="auto"/>
        <w:bottom w:val="none" w:sz="0" w:space="0" w:color="auto"/>
        <w:right w:val="none" w:sz="0" w:space="0" w:color="auto"/>
      </w:divBdr>
    </w:div>
    <w:div w:id="663901350">
      <w:bodyDiv w:val="1"/>
      <w:marLeft w:val="0"/>
      <w:marRight w:val="0"/>
      <w:marTop w:val="0"/>
      <w:marBottom w:val="0"/>
      <w:divBdr>
        <w:top w:val="none" w:sz="0" w:space="0" w:color="auto"/>
        <w:left w:val="none" w:sz="0" w:space="0" w:color="auto"/>
        <w:bottom w:val="none" w:sz="0" w:space="0" w:color="auto"/>
        <w:right w:val="none" w:sz="0" w:space="0" w:color="auto"/>
      </w:divBdr>
    </w:div>
    <w:div w:id="672486811">
      <w:bodyDiv w:val="1"/>
      <w:marLeft w:val="0"/>
      <w:marRight w:val="0"/>
      <w:marTop w:val="0"/>
      <w:marBottom w:val="0"/>
      <w:divBdr>
        <w:top w:val="none" w:sz="0" w:space="0" w:color="auto"/>
        <w:left w:val="none" w:sz="0" w:space="0" w:color="auto"/>
        <w:bottom w:val="none" w:sz="0" w:space="0" w:color="auto"/>
        <w:right w:val="none" w:sz="0" w:space="0" w:color="auto"/>
      </w:divBdr>
    </w:div>
    <w:div w:id="961761639">
      <w:bodyDiv w:val="1"/>
      <w:marLeft w:val="0"/>
      <w:marRight w:val="0"/>
      <w:marTop w:val="0"/>
      <w:marBottom w:val="0"/>
      <w:divBdr>
        <w:top w:val="none" w:sz="0" w:space="0" w:color="auto"/>
        <w:left w:val="none" w:sz="0" w:space="0" w:color="auto"/>
        <w:bottom w:val="none" w:sz="0" w:space="0" w:color="auto"/>
        <w:right w:val="none" w:sz="0" w:space="0" w:color="auto"/>
      </w:divBdr>
    </w:div>
    <w:div w:id="972254600">
      <w:bodyDiv w:val="1"/>
      <w:marLeft w:val="0"/>
      <w:marRight w:val="0"/>
      <w:marTop w:val="0"/>
      <w:marBottom w:val="0"/>
      <w:divBdr>
        <w:top w:val="none" w:sz="0" w:space="0" w:color="auto"/>
        <w:left w:val="none" w:sz="0" w:space="0" w:color="auto"/>
        <w:bottom w:val="none" w:sz="0" w:space="0" w:color="auto"/>
        <w:right w:val="none" w:sz="0" w:space="0" w:color="auto"/>
      </w:divBdr>
    </w:div>
    <w:div w:id="986400058">
      <w:bodyDiv w:val="1"/>
      <w:marLeft w:val="0"/>
      <w:marRight w:val="0"/>
      <w:marTop w:val="0"/>
      <w:marBottom w:val="0"/>
      <w:divBdr>
        <w:top w:val="none" w:sz="0" w:space="0" w:color="auto"/>
        <w:left w:val="none" w:sz="0" w:space="0" w:color="auto"/>
        <w:bottom w:val="none" w:sz="0" w:space="0" w:color="auto"/>
        <w:right w:val="none" w:sz="0" w:space="0" w:color="auto"/>
      </w:divBdr>
    </w:div>
    <w:div w:id="1018655610">
      <w:bodyDiv w:val="1"/>
      <w:marLeft w:val="0"/>
      <w:marRight w:val="0"/>
      <w:marTop w:val="0"/>
      <w:marBottom w:val="0"/>
      <w:divBdr>
        <w:top w:val="none" w:sz="0" w:space="0" w:color="auto"/>
        <w:left w:val="none" w:sz="0" w:space="0" w:color="auto"/>
        <w:bottom w:val="none" w:sz="0" w:space="0" w:color="auto"/>
        <w:right w:val="none" w:sz="0" w:space="0" w:color="auto"/>
      </w:divBdr>
    </w:div>
    <w:div w:id="1062873515">
      <w:bodyDiv w:val="1"/>
      <w:marLeft w:val="0"/>
      <w:marRight w:val="0"/>
      <w:marTop w:val="0"/>
      <w:marBottom w:val="0"/>
      <w:divBdr>
        <w:top w:val="none" w:sz="0" w:space="0" w:color="auto"/>
        <w:left w:val="none" w:sz="0" w:space="0" w:color="auto"/>
        <w:bottom w:val="none" w:sz="0" w:space="0" w:color="auto"/>
        <w:right w:val="none" w:sz="0" w:space="0" w:color="auto"/>
      </w:divBdr>
    </w:div>
    <w:div w:id="1073089884">
      <w:bodyDiv w:val="1"/>
      <w:marLeft w:val="0"/>
      <w:marRight w:val="0"/>
      <w:marTop w:val="0"/>
      <w:marBottom w:val="0"/>
      <w:divBdr>
        <w:top w:val="none" w:sz="0" w:space="0" w:color="auto"/>
        <w:left w:val="none" w:sz="0" w:space="0" w:color="auto"/>
        <w:bottom w:val="none" w:sz="0" w:space="0" w:color="auto"/>
        <w:right w:val="none" w:sz="0" w:space="0" w:color="auto"/>
      </w:divBdr>
    </w:div>
    <w:div w:id="1105030913">
      <w:bodyDiv w:val="1"/>
      <w:marLeft w:val="0"/>
      <w:marRight w:val="0"/>
      <w:marTop w:val="0"/>
      <w:marBottom w:val="0"/>
      <w:divBdr>
        <w:top w:val="none" w:sz="0" w:space="0" w:color="auto"/>
        <w:left w:val="none" w:sz="0" w:space="0" w:color="auto"/>
        <w:bottom w:val="none" w:sz="0" w:space="0" w:color="auto"/>
        <w:right w:val="none" w:sz="0" w:space="0" w:color="auto"/>
      </w:divBdr>
    </w:div>
    <w:div w:id="1232547837">
      <w:bodyDiv w:val="1"/>
      <w:marLeft w:val="0"/>
      <w:marRight w:val="0"/>
      <w:marTop w:val="0"/>
      <w:marBottom w:val="0"/>
      <w:divBdr>
        <w:top w:val="none" w:sz="0" w:space="0" w:color="auto"/>
        <w:left w:val="none" w:sz="0" w:space="0" w:color="auto"/>
        <w:bottom w:val="none" w:sz="0" w:space="0" w:color="auto"/>
        <w:right w:val="none" w:sz="0" w:space="0" w:color="auto"/>
      </w:divBdr>
    </w:div>
    <w:div w:id="1238438078">
      <w:bodyDiv w:val="1"/>
      <w:marLeft w:val="0"/>
      <w:marRight w:val="0"/>
      <w:marTop w:val="0"/>
      <w:marBottom w:val="0"/>
      <w:divBdr>
        <w:top w:val="none" w:sz="0" w:space="0" w:color="auto"/>
        <w:left w:val="none" w:sz="0" w:space="0" w:color="auto"/>
        <w:bottom w:val="none" w:sz="0" w:space="0" w:color="auto"/>
        <w:right w:val="none" w:sz="0" w:space="0" w:color="auto"/>
      </w:divBdr>
    </w:div>
    <w:div w:id="1364525464">
      <w:bodyDiv w:val="1"/>
      <w:marLeft w:val="0"/>
      <w:marRight w:val="0"/>
      <w:marTop w:val="0"/>
      <w:marBottom w:val="0"/>
      <w:divBdr>
        <w:top w:val="none" w:sz="0" w:space="0" w:color="auto"/>
        <w:left w:val="none" w:sz="0" w:space="0" w:color="auto"/>
        <w:bottom w:val="none" w:sz="0" w:space="0" w:color="auto"/>
        <w:right w:val="none" w:sz="0" w:space="0" w:color="auto"/>
      </w:divBdr>
    </w:div>
    <w:div w:id="1376275208">
      <w:bodyDiv w:val="1"/>
      <w:marLeft w:val="0"/>
      <w:marRight w:val="0"/>
      <w:marTop w:val="0"/>
      <w:marBottom w:val="0"/>
      <w:divBdr>
        <w:top w:val="none" w:sz="0" w:space="0" w:color="auto"/>
        <w:left w:val="none" w:sz="0" w:space="0" w:color="auto"/>
        <w:bottom w:val="none" w:sz="0" w:space="0" w:color="auto"/>
        <w:right w:val="none" w:sz="0" w:space="0" w:color="auto"/>
      </w:divBdr>
    </w:div>
    <w:div w:id="1376394760">
      <w:bodyDiv w:val="1"/>
      <w:marLeft w:val="0"/>
      <w:marRight w:val="0"/>
      <w:marTop w:val="0"/>
      <w:marBottom w:val="0"/>
      <w:divBdr>
        <w:top w:val="none" w:sz="0" w:space="0" w:color="auto"/>
        <w:left w:val="none" w:sz="0" w:space="0" w:color="auto"/>
        <w:bottom w:val="none" w:sz="0" w:space="0" w:color="auto"/>
        <w:right w:val="none" w:sz="0" w:space="0" w:color="auto"/>
      </w:divBdr>
    </w:div>
    <w:div w:id="1512254759">
      <w:bodyDiv w:val="1"/>
      <w:marLeft w:val="0"/>
      <w:marRight w:val="0"/>
      <w:marTop w:val="0"/>
      <w:marBottom w:val="0"/>
      <w:divBdr>
        <w:top w:val="none" w:sz="0" w:space="0" w:color="auto"/>
        <w:left w:val="none" w:sz="0" w:space="0" w:color="auto"/>
        <w:bottom w:val="none" w:sz="0" w:space="0" w:color="auto"/>
        <w:right w:val="none" w:sz="0" w:space="0" w:color="auto"/>
      </w:divBdr>
    </w:div>
    <w:div w:id="1524171751">
      <w:bodyDiv w:val="1"/>
      <w:marLeft w:val="0"/>
      <w:marRight w:val="0"/>
      <w:marTop w:val="0"/>
      <w:marBottom w:val="0"/>
      <w:divBdr>
        <w:top w:val="none" w:sz="0" w:space="0" w:color="auto"/>
        <w:left w:val="none" w:sz="0" w:space="0" w:color="auto"/>
        <w:bottom w:val="none" w:sz="0" w:space="0" w:color="auto"/>
        <w:right w:val="none" w:sz="0" w:space="0" w:color="auto"/>
      </w:divBdr>
    </w:div>
    <w:div w:id="1540237350">
      <w:bodyDiv w:val="1"/>
      <w:marLeft w:val="0"/>
      <w:marRight w:val="0"/>
      <w:marTop w:val="0"/>
      <w:marBottom w:val="0"/>
      <w:divBdr>
        <w:top w:val="none" w:sz="0" w:space="0" w:color="auto"/>
        <w:left w:val="none" w:sz="0" w:space="0" w:color="auto"/>
        <w:bottom w:val="none" w:sz="0" w:space="0" w:color="auto"/>
        <w:right w:val="none" w:sz="0" w:space="0" w:color="auto"/>
      </w:divBdr>
    </w:div>
    <w:div w:id="1549411430">
      <w:bodyDiv w:val="1"/>
      <w:marLeft w:val="0"/>
      <w:marRight w:val="0"/>
      <w:marTop w:val="0"/>
      <w:marBottom w:val="0"/>
      <w:divBdr>
        <w:top w:val="none" w:sz="0" w:space="0" w:color="auto"/>
        <w:left w:val="none" w:sz="0" w:space="0" w:color="auto"/>
        <w:bottom w:val="none" w:sz="0" w:space="0" w:color="auto"/>
        <w:right w:val="none" w:sz="0" w:space="0" w:color="auto"/>
      </w:divBdr>
    </w:div>
    <w:div w:id="1620141467">
      <w:bodyDiv w:val="1"/>
      <w:marLeft w:val="0"/>
      <w:marRight w:val="0"/>
      <w:marTop w:val="0"/>
      <w:marBottom w:val="0"/>
      <w:divBdr>
        <w:top w:val="none" w:sz="0" w:space="0" w:color="auto"/>
        <w:left w:val="none" w:sz="0" w:space="0" w:color="auto"/>
        <w:bottom w:val="none" w:sz="0" w:space="0" w:color="auto"/>
        <w:right w:val="none" w:sz="0" w:space="0" w:color="auto"/>
      </w:divBdr>
    </w:div>
    <w:div w:id="1748452162">
      <w:bodyDiv w:val="1"/>
      <w:marLeft w:val="0"/>
      <w:marRight w:val="0"/>
      <w:marTop w:val="0"/>
      <w:marBottom w:val="0"/>
      <w:divBdr>
        <w:top w:val="none" w:sz="0" w:space="0" w:color="auto"/>
        <w:left w:val="none" w:sz="0" w:space="0" w:color="auto"/>
        <w:bottom w:val="none" w:sz="0" w:space="0" w:color="auto"/>
        <w:right w:val="none" w:sz="0" w:space="0" w:color="auto"/>
      </w:divBdr>
    </w:div>
    <w:div w:id="1900944712">
      <w:bodyDiv w:val="1"/>
      <w:marLeft w:val="0"/>
      <w:marRight w:val="0"/>
      <w:marTop w:val="0"/>
      <w:marBottom w:val="0"/>
      <w:divBdr>
        <w:top w:val="none" w:sz="0" w:space="0" w:color="auto"/>
        <w:left w:val="none" w:sz="0" w:space="0" w:color="auto"/>
        <w:bottom w:val="none" w:sz="0" w:space="0" w:color="auto"/>
        <w:right w:val="none" w:sz="0" w:space="0" w:color="auto"/>
      </w:divBdr>
    </w:div>
    <w:div w:id="1993558669">
      <w:bodyDiv w:val="1"/>
      <w:marLeft w:val="0"/>
      <w:marRight w:val="0"/>
      <w:marTop w:val="0"/>
      <w:marBottom w:val="0"/>
      <w:divBdr>
        <w:top w:val="none" w:sz="0" w:space="0" w:color="auto"/>
        <w:left w:val="none" w:sz="0" w:space="0" w:color="auto"/>
        <w:bottom w:val="none" w:sz="0" w:space="0" w:color="auto"/>
        <w:right w:val="none" w:sz="0" w:space="0" w:color="auto"/>
      </w:divBdr>
    </w:div>
    <w:div w:id="2066832777">
      <w:bodyDiv w:val="1"/>
      <w:marLeft w:val="0"/>
      <w:marRight w:val="0"/>
      <w:marTop w:val="0"/>
      <w:marBottom w:val="0"/>
      <w:divBdr>
        <w:top w:val="none" w:sz="0" w:space="0" w:color="auto"/>
        <w:left w:val="none" w:sz="0" w:space="0" w:color="auto"/>
        <w:bottom w:val="none" w:sz="0" w:space="0" w:color="auto"/>
        <w:right w:val="none" w:sz="0" w:space="0" w:color="auto"/>
      </w:divBdr>
    </w:div>
    <w:div w:id="21155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WGFHR20-C-0004/en" TargetMode="External"/><Relationship Id="rId18" Type="http://schemas.openxmlformats.org/officeDocument/2006/relationships/hyperlink" Target="https://www.itu.int/md/S25-CWGFHR20-C-0010/en" TargetMode="External"/><Relationship Id="rId26" Type="http://schemas.openxmlformats.org/officeDocument/2006/relationships/hyperlink" Target="https://www.itu.int/md/S22-CL-C-0100/en" TargetMode="External"/><Relationship Id="rId39" Type="http://schemas.openxmlformats.org/officeDocument/2006/relationships/hyperlink" Target="https://www.itu.int/md/S25-CWGFHR20-C-0009/en" TargetMode="External"/><Relationship Id="rId21" Type="http://schemas.openxmlformats.org/officeDocument/2006/relationships/hyperlink" Target="https://www.itu.int/md/S25-CWGFHR20-C-0029/en" TargetMode="External"/><Relationship Id="rId34" Type="http://schemas.openxmlformats.org/officeDocument/2006/relationships/hyperlink" Target="https://www.itu.int/md/S25-CWGFHR20-C-0007/en" TargetMode="External"/><Relationship Id="rId42" Type="http://schemas.openxmlformats.org/officeDocument/2006/relationships/hyperlink" Target="https://www.itu.int/md/S25-CWGFHR20-C-0018/en" TargetMode="External"/><Relationship Id="rId47" Type="http://schemas.openxmlformats.org/officeDocument/2006/relationships/hyperlink" Target="https://www.itu.int/md/S25-CWGFHR20-INF-0001/en"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council/Documents/2025/Speech-TSB-Director-to-CWG-FHR.pdf" TargetMode="External"/><Relationship Id="rId29" Type="http://schemas.openxmlformats.org/officeDocument/2006/relationships/hyperlink" Target="https://www.itu.int/md/S25-CWGFHR20-C-0011/en" TargetMode="External"/><Relationship Id="rId11" Type="http://schemas.openxmlformats.org/officeDocument/2006/relationships/hyperlink" Target="https://www.itu.int/md/S25-CWGFHR20-C-0002/en" TargetMode="External"/><Relationship Id="rId24" Type="http://schemas.openxmlformats.org/officeDocument/2006/relationships/hyperlink" Target="https://www.itu.int/md/S25-CWGFHR20-C-0026/en" TargetMode="External"/><Relationship Id="rId32" Type="http://schemas.openxmlformats.org/officeDocument/2006/relationships/hyperlink" Target="https://www.itu.int/md/S25-CWGFHR20-C-0013/en" TargetMode="External"/><Relationship Id="rId37" Type="http://schemas.openxmlformats.org/officeDocument/2006/relationships/hyperlink" Target="https://www.itu.int/md/S25-CWGFHR20-C-0027/en" TargetMode="External"/><Relationship Id="rId40" Type="http://schemas.openxmlformats.org/officeDocument/2006/relationships/hyperlink" Target="https://www.itu.int/md/S25-CWGFHR20-INF-0002/en" TargetMode="External"/><Relationship Id="rId45" Type="http://schemas.openxmlformats.org/officeDocument/2006/relationships/hyperlink" Target="https://www.itu.int/md/S25-CWGFHR20-C-0025/en"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tu.int/md/S25-CWGFHR20-INF-0003/en" TargetMode="External"/><Relationship Id="rId19" Type="http://schemas.openxmlformats.org/officeDocument/2006/relationships/hyperlink" Target="https://www.itu.int/md/S25-CWGFHR20-C-0023/en" TargetMode="External"/><Relationship Id="rId31" Type="http://schemas.openxmlformats.org/officeDocument/2006/relationships/hyperlink" Target="https://www.itu.int/md/S25-CWGFHR20-C-0028/en" TargetMode="External"/><Relationship Id="rId44" Type="http://schemas.openxmlformats.org/officeDocument/2006/relationships/hyperlink" Target="https://www.itu.int/md/S25-CWGFHR20-C-0025/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5-CWGFHR20-C-0021/en" TargetMode="External"/><Relationship Id="rId14" Type="http://schemas.openxmlformats.org/officeDocument/2006/relationships/hyperlink" Target="https://www.itu.int/md/S25-CWGFHR20-C-0003/en" TargetMode="External"/><Relationship Id="rId22" Type="http://schemas.openxmlformats.org/officeDocument/2006/relationships/hyperlink" Target="https://www.itu.int/md/S25-CWGFHR20-C-0017/en" TargetMode="External"/><Relationship Id="rId27" Type="http://schemas.openxmlformats.org/officeDocument/2006/relationships/hyperlink" Target="https://www.itu.int/md/S25-CWGFHR20-C-0020/en" TargetMode="External"/><Relationship Id="rId30" Type="http://schemas.openxmlformats.org/officeDocument/2006/relationships/hyperlink" Target="https://www.itu.int/md/S25-CWGFHR20-C-0022/en" TargetMode="External"/><Relationship Id="rId35" Type="http://schemas.openxmlformats.org/officeDocument/2006/relationships/hyperlink" Target="https://www.itu.int/md/S25-CWGFHR20-C-0007/en" TargetMode="External"/><Relationship Id="rId43" Type="http://schemas.openxmlformats.org/officeDocument/2006/relationships/hyperlink" Target="https://www.itu.int/md/S25-CWGFHR20-C-0014/en" TargetMode="External"/><Relationship Id="rId48" Type="http://schemas.openxmlformats.org/officeDocument/2006/relationships/hyperlink" Target="https://www.itu.int/md/S25-CWGFHR20-C-0024/en" TargetMode="External"/><Relationship Id="rId8" Type="http://schemas.openxmlformats.org/officeDocument/2006/relationships/hyperlink" Target="https://www.itu.int/md/S25-CWGFHR20-C-0001/en"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S25-CWGFHR20-250217-TD-0001/en" TargetMode="External"/><Relationship Id="rId17" Type="http://schemas.openxmlformats.org/officeDocument/2006/relationships/hyperlink" Target="https://www.itu.int/md/S25-CWGFHR20-C-0015/en" TargetMode="External"/><Relationship Id="rId25" Type="http://schemas.openxmlformats.org/officeDocument/2006/relationships/hyperlink" Target="https://www.itu.int/md/S24-CWGFHR19-C-0009/en" TargetMode="External"/><Relationship Id="rId33" Type="http://schemas.openxmlformats.org/officeDocument/2006/relationships/hyperlink" Target="https://www.itu.int/md/S25-CWGFHR20-C-0030/en" TargetMode="External"/><Relationship Id="rId38" Type="http://schemas.openxmlformats.org/officeDocument/2006/relationships/hyperlink" Target="https://www.itu.int/md/S25-CWGFHR20-C-0008/en" TargetMode="External"/><Relationship Id="rId46" Type="http://schemas.openxmlformats.org/officeDocument/2006/relationships/hyperlink" Target="https://www.itu.int/md/S25-CWGFHR20-C-0019/en" TargetMode="External"/><Relationship Id="rId20" Type="http://schemas.openxmlformats.org/officeDocument/2006/relationships/hyperlink" Target="https://www.itu.int/md/S25-CWGFHR20-C-0006/en" TargetMode="External"/><Relationship Id="rId41" Type="http://schemas.openxmlformats.org/officeDocument/2006/relationships/hyperlink" Target="https://www.itu.int/md/S25-CWGFHR20-C-0018/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5-CWGFHR20-C-0005/en" TargetMode="External"/><Relationship Id="rId23" Type="http://schemas.openxmlformats.org/officeDocument/2006/relationships/hyperlink" Target="https://www.itu.int/md/S25-CWGFHR20-C-0026/en" TargetMode="External"/><Relationship Id="rId28" Type="http://schemas.openxmlformats.org/officeDocument/2006/relationships/hyperlink" Target="https://www.itu.int/md/S25-CWGFHR20-C-0012/en" TargetMode="External"/><Relationship Id="rId36" Type="http://schemas.openxmlformats.org/officeDocument/2006/relationships/hyperlink" Target="https://www.itu.int/md/S25-CWGFHR20-C-0008/en"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2AFB-42B8-4E1E-A5D6-AE9FF11C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25</Pages>
  <Words>10512</Words>
  <Characters>63232</Characters>
  <Application>Microsoft Office Word</Application>
  <DocSecurity>0</DocSecurity>
  <Lines>526</Lines>
  <Paragraphs>147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73597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of the Chair of CWG-FHR</dc:title>
  <dc:subject>ITU Council Working Group on financial and human resources</dc:subject>
  <dc:creator>LRT</dc:creator>
  <cp:keywords>CWG-FHR</cp:keywords>
  <dc:description/>
  <cp:lastModifiedBy>GBS</cp:lastModifiedBy>
  <cp:revision>6</cp:revision>
  <dcterms:created xsi:type="dcterms:W3CDTF">2025-03-13T11:25:00Z</dcterms:created>
  <dcterms:modified xsi:type="dcterms:W3CDTF">2025-03-13T17:39:00Z</dcterms:modified>
  <cp:category>Conference document</cp:category>
</cp:coreProperties>
</file>