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0B68EFE" w14:textId="1CD2EE4D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0F6AB8">
              <w:rPr>
                <w:b/>
                <w:lang w:val="fr-FR"/>
              </w:rPr>
              <w:t>FHR</w:t>
            </w:r>
            <w:r w:rsidR="00A52C84" w:rsidRPr="00301AEE">
              <w:rPr>
                <w:b/>
                <w:lang w:val="fr-FR"/>
              </w:rPr>
              <w:t>-</w:t>
            </w:r>
            <w:r w:rsidR="0025570E" w:rsidRPr="00301AEE">
              <w:rPr>
                <w:b/>
                <w:lang w:val="fr-FR"/>
              </w:rPr>
              <w:t>2</w:t>
            </w:r>
            <w:r w:rsidR="000F6AB8">
              <w:rPr>
                <w:b/>
                <w:lang w:val="fr-FR"/>
              </w:rPr>
              <w:t>0</w:t>
            </w:r>
            <w:r w:rsidR="00301AEE" w:rsidRPr="00301AEE">
              <w:rPr>
                <w:b/>
                <w:lang w:val="fr-FR"/>
              </w:rPr>
              <w:t>/</w:t>
            </w:r>
            <w:r w:rsidR="005D7F87">
              <w:rPr>
                <w:b/>
                <w:lang w:val="fr-FR"/>
              </w:rPr>
              <w:t>29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26629F62" w:rsidR="00AD3606" w:rsidRPr="00147C54" w:rsidRDefault="005D7F8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 February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EF492BD" w14:textId="77777777" w:rsidTr="00AD3606">
        <w:trPr>
          <w:cantSplit/>
          <w:trHeight w:val="23"/>
        </w:trPr>
        <w:tc>
          <w:tcPr>
            <w:tcW w:w="3969" w:type="dxa"/>
          </w:tcPr>
          <w:p w14:paraId="05EEDB5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609302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4D854B2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AE1C6C" w14:textId="5CE57145" w:rsidR="00AD3606" w:rsidRPr="00147C54" w:rsidRDefault="000F6AB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Pr="00676C7D">
              <w:t xml:space="preserve"> by the </w:t>
            </w:r>
            <w:r w:rsidR="004D3B0A">
              <w:t>Secretary-General</w:t>
            </w:r>
          </w:p>
        </w:tc>
      </w:tr>
      <w:tr w:rsidR="00AD3606" w:rsidRPr="00147C54" w14:paraId="16EB458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1E56D" w14:textId="69CB060C" w:rsidR="00AD3606" w:rsidRPr="00147C54" w:rsidRDefault="00FE0928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ANALYSIS OF THE OUTCOME OF THE THIRD</w:t>
            </w:r>
            <w:r>
              <w:t xml:space="preserve"> </w:t>
            </w:r>
            <w:r>
              <w:t>MEETING OF THE EXPERT GROUP ON DECISION 482</w:t>
            </w:r>
          </w:p>
        </w:tc>
      </w:tr>
      <w:tr w:rsidR="00AD3606" w:rsidRPr="00147C54" w14:paraId="5E1AA971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D788C9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9A77611" w14:textId="175B70CE" w:rsidR="00AD3606" w:rsidRPr="00147C54" w:rsidRDefault="00E641EA" w:rsidP="00F16BAB">
            <w:r>
              <w:t xml:space="preserve">Following the </w:t>
            </w:r>
            <w:r w:rsidR="00FE0928">
              <w:t>third</w:t>
            </w:r>
            <w:r>
              <w:t xml:space="preserve"> meeting of the Expert Group on Decision 482 that was held on 10 and 1</w:t>
            </w:r>
            <w:r w:rsidR="00FE0928">
              <w:t>1 </w:t>
            </w:r>
            <w:r>
              <w:t xml:space="preserve">February 2025, the secretariat analysed the financial impact of the </w:t>
            </w:r>
            <w:r w:rsidR="001B435D">
              <w:t>decisions of the group and is sharing the results of this analysis with the Council Working Group on financial and human resources</w:t>
            </w:r>
            <w:r w:rsidR="00A55175">
              <w:t xml:space="preserve">. </w:t>
            </w:r>
          </w:p>
          <w:p w14:paraId="486924FF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04BD14AB" w14:textId="15DB3F63" w:rsidR="0025570E" w:rsidRPr="004405AB" w:rsidRDefault="000F6AB8" w:rsidP="000F6AB8">
            <w:pPr>
              <w:spacing w:before="160"/>
            </w:pPr>
            <w:r w:rsidRPr="00FD7016">
              <w:t xml:space="preserve">The </w:t>
            </w:r>
            <w:r>
              <w:t>Council Working Group on financial and human resources</w:t>
            </w:r>
            <w:r w:rsidRPr="00FD7016">
              <w:t xml:space="preserve"> is invited to</w:t>
            </w:r>
            <w:r>
              <w:t xml:space="preserve"> </w:t>
            </w:r>
            <w:r w:rsidR="00A55175">
              <w:rPr>
                <w:b/>
                <w:bCs/>
              </w:rPr>
              <w:t xml:space="preserve">consider </w:t>
            </w:r>
            <w:r w:rsidR="00A55175">
              <w:t xml:space="preserve">the information provided in this document and to </w:t>
            </w:r>
            <w:r w:rsidR="00A55175" w:rsidRPr="001F6D6D">
              <w:rPr>
                <w:b/>
                <w:bCs/>
              </w:rPr>
              <w:t>recommend to Council</w:t>
            </w:r>
            <w:r w:rsidR="00A55175">
              <w:t xml:space="preserve"> an appropriate way forward to achieve full cost recovery of the </w:t>
            </w:r>
            <w:r w:rsidR="001F6D6D">
              <w:t>satellite network filing processing</w:t>
            </w:r>
            <w:r>
              <w:t>.</w:t>
            </w:r>
          </w:p>
          <w:p w14:paraId="64CEA947" w14:textId="77777777" w:rsidR="00AD3606" w:rsidRPr="00CD3C91" w:rsidRDefault="00CD3C91" w:rsidP="00CD3C91">
            <w:r>
              <w:t>_______________</w:t>
            </w:r>
          </w:p>
          <w:p w14:paraId="6740FBBB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3062733" w14:textId="57B79F5D" w:rsidR="00AD3606" w:rsidRPr="00B975F9" w:rsidRDefault="000F6AB8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B975F9">
                <w:rPr>
                  <w:rStyle w:val="Hyperlink"/>
                  <w:i/>
                  <w:iCs/>
                  <w:sz w:val="22"/>
                  <w:szCs w:val="22"/>
                </w:rPr>
                <w:t>CWG-FHR website</w:t>
              </w:r>
            </w:hyperlink>
          </w:p>
        </w:tc>
      </w:tr>
    </w:tbl>
    <w:p w14:paraId="3FE32CB1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09365793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34A298FB" w14:textId="1FADF364" w:rsidR="001F6D6D" w:rsidRDefault="00CB7316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b/>
          <w:bCs/>
        </w:rPr>
      </w:pPr>
      <w:r w:rsidRPr="00CB7316">
        <w:rPr>
          <w:b/>
          <w:bCs/>
        </w:rPr>
        <w:lastRenderedPageBreak/>
        <w:t xml:space="preserve">1. </w:t>
      </w:r>
      <w:r w:rsidRPr="00CB7316">
        <w:rPr>
          <w:b/>
          <w:bCs/>
        </w:rPr>
        <w:tab/>
        <w:t>Introduction</w:t>
      </w:r>
    </w:p>
    <w:p w14:paraId="7819B404" w14:textId="4060CDF5" w:rsidR="00C0729E" w:rsidRPr="00383F3B" w:rsidRDefault="00C0729E" w:rsidP="005D7F87">
      <w:pPr>
        <w:spacing w:after="120"/>
        <w:jc w:val="both"/>
        <w:rPr>
          <w:rFonts w:cs="Calibri"/>
          <w:szCs w:val="24"/>
        </w:rPr>
      </w:pPr>
      <w:r w:rsidRPr="00383F3B">
        <w:rPr>
          <w:rFonts w:cs="Calibri"/>
          <w:szCs w:val="24"/>
        </w:rPr>
        <w:t xml:space="preserve">The third meeting of the </w:t>
      </w:r>
      <w:r w:rsidR="00383F3B">
        <w:rPr>
          <w:rFonts w:cs="Calibri"/>
          <w:szCs w:val="24"/>
        </w:rPr>
        <w:t xml:space="preserve">Council </w:t>
      </w:r>
      <w:r w:rsidRPr="00383F3B">
        <w:rPr>
          <w:rFonts w:cs="Calibri"/>
          <w:szCs w:val="24"/>
        </w:rPr>
        <w:t>Expert Group on Decision 482 took place on 10</w:t>
      </w:r>
      <w:r w:rsidR="00383F3B" w:rsidRPr="00383F3B">
        <w:rPr>
          <w:rFonts w:cs="Calibri"/>
          <w:szCs w:val="24"/>
          <w:vertAlign w:val="superscript"/>
        </w:rPr>
        <w:t>th</w:t>
      </w:r>
      <w:r w:rsidR="00383F3B">
        <w:rPr>
          <w:rFonts w:cs="Calibri"/>
          <w:szCs w:val="24"/>
        </w:rPr>
        <w:t xml:space="preserve"> </w:t>
      </w:r>
      <w:r w:rsidRPr="00383F3B">
        <w:rPr>
          <w:rFonts w:cs="Calibri"/>
          <w:szCs w:val="24"/>
        </w:rPr>
        <w:t>and 11</w:t>
      </w:r>
      <w:r w:rsidR="00383F3B" w:rsidRPr="00383F3B">
        <w:rPr>
          <w:rFonts w:cs="Calibri"/>
          <w:szCs w:val="24"/>
          <w:vertAlign w:val="superscript"/>
        </w:rPr>
        <w:t>th</w:t>
      </w:r>
      <w:r w:rsidR="00383F3B">
        <w:rPr>
          <w:rFonts w:cs="Calibri"/>
          <w:szCs w:val="24"/>
        </w:rPr>
        <w:t xml:space="preserve"> </w:t>
      </w:r>
      <w:r w:rsidRPr="00383F3B">
        <w:rPr>
          <w:rFonts w:cs="Calibri"/>
          <w:szCs w:val="24"/>
        </w:rPr>
        <w:t>February 2025. Discussions remained challenging, with limited progress made toward conclusive recommendations.</w:t>
      </w:r>
    </w:p>
    <w:p w14:paraId="0D1BE72E" w14:textId="77777777" w:rsidR="00C0729E" w:rsidRPr="00383F3B" w:rsidRDefault="00C0729E" w:rsidP="005D7F87">
      <w:pPr>
        <w:spacing w:after="120"/>
        <w:jc w:val="both"/>
        <w:rPr>
          <w:rFonts w:cs="Calibri"/>
          <w:szCs w:val="24"/>
        </w:rPr>
      </w:pPr>
      <w:r w:rsidRPr="00383F3B">
        <w:rPr>
          <w:rFonts w:cs="Calibri"/>
          <w:szCs w:val="24"/>
        </w:rPr>
        <w:t xml:space="preserve">The group reviewed all ten items of the Terms of Reference (see </w:t>
      </w:r>
      <w:hyperlink r:id="rId12" w:history="1">
        <w:r w:rsidRPr="00383F3B">
          <w:rPr>
            <w:rStyle w:val="Hyperlink"/>
            <w:rFonts w:cs="Calibri"/>
            <w:szCs w:val="24"/>
          </w:rPr>
          <w:t>Decision 632</w:t>
        </w:r>
      </w:hyperlink>
      <w:r w:rsidRPr="00383F3B">
        <w:rPr>
          <w:rFonts w:cs="Calibri"/>
          <w:szCs w:val="24"/>
        </w:rPr>
        <w:t xml:space="preserve"> of Council) for possible modifications to Council Decision 482 (C-24). However, agreement leading to increases in cost recovery was reached on only four items (b, e, h, i of the Terms of Reference). Several key items related to non-geostationary systems (items f and g of the Terms of Reference) remained unresolved, raising concerns over the lack of a comprehensive approach to cost recovery. The group also concluded that no change should be made to Decision 482 in reply to two items (a and j of the Terms of Reference) and that no change can be proposed at this stage in reply to item c.</w:t>
      </w:r>
    </w:p>
    <w:p w14:paraId="02808E94" w14:textId="02C6D960" w:rsidR="00C0729E" w:rsidRPr="00383F3B" w:rsidRDefault="00C0729E" w:rsidP="005D7F87">
      <w:pPr>
        <w:spacing w:after="120"/>
        <w:jc w:val="both"/>
        <w:rPr>
          <w:rFonts w:cs="Calibri"/>
          <w:szCs w:val="24"/>
        </w:rPr>
      </w:pPr>
      <w:r w:rsidRPr="00383F3B">
        <w:rPr>
          <w:rFonts w:cs="Calibri"/>
          <w:szCs w:val="24"/>
        </w:rPr>
        <w:t>The financial impact of the agreed modifications was assessed using 2023 data, yielding an additional estimated revenue of CHF</w:t>
      </w:r>
      <w:r w:rsidR="00FE0928">
        <w:rPr>
          <w:rFonts w:cs="Calibri"/>
          <w:szCs w:val="24"/>
        </w:rPr>
        <w:t> </w:t>
      </w:r>
      <w:r w:rsidRPr="00383F3B">
        <w:rPr>
          <w:rFonts w:cs="Calibri"/>
          <w:szCs w:val="24"/>
        </w:rPr>
        <w:t>794</w:t>
      </w:r>
      <w:r w:rsidR="00FE0928">
        <w:rPr>
          <w:rFonts w:cs="Calibri"/>
          <w:szCs w:val="24"/>
        </w:rPr>
        <w:t> </w:t>
      </w:r>
      <w:r w:rsidRPr="00383F3B">
        <w:rPr>
          <w:rFonts w:cs="Calibri"/>
          <w:szCs w:val="24"/>
        </w:rPr>
        <w:t>171, which remains insufficient to address the ITU’s current financial gap in cost recovery for satellite network filings.</w:t>
      </w:r>
    </w:p>
    <w:p w14:paraId="18EA8674" w14:textId="626FFF4C" w:rsidR="00C0729E" w:rsidRPr="00383F3B" w:rsidRDefault="00C0729E" w:rsidP="005D7F87">
      <w:pPr>
        <w:spacing w:after="120"/>
        <w:jc w:val="both"/>
        <w:rPr>
          <w:rFonts w:cs="Calibri"/>
          <w:szCs w:val="24"/>
        </w:rPr>
      </w:pPr>
      <w:r w:rsidRPr="00383F3B">
        <w:rPr>
          <w:rFonts w:cs="Calibri"/>
          <w:szCs w:val="24"/>
        </w:rPr>
        <w:t xml:space="preserve">A fourth and final </w:t>
      </w:r>
      <w:proofErr w:type="gramStart"/>
      <w:r w:rsidRPr="00383F3B">
        <w:rPr>
          <w:rFonts w:cs="Calibri"/>
          <w:szCs w:val="24"/>
        </w:rPr>
        <w:t>meeting</w:t>
      </w:r>
      <w:proofErr w:type="gramEnd"/>
      <w:r w:rsidRPr="00383F3B">
        <w:rPr>
          <w:rFonts w:cs="Calibri"/>
          <w:szCs w:val="24"/>
        </w:rPr>
        <w:t xml:space="preserve"> </w:t>
      </w:r>
      <w:r w:rsidR="0093270B">
        <w:rPr>
          <w:rFonts w:cs="Calibri"/>
          <w:szCs w:val="24"/>
        </w:rPr>
        <w:t xml:space="preserve">of the Expert Group, </w:t>
      </w:r>
      <w:r w:rsidRPr="00383F3B">
        <w:rPr>
          <w:rFonts w:cs="Calibri"/>
          <w:szCs w:val="24"/>
        </w:rPr>
        <w:t>dedicated to the completion of the report to the 2025 session of Council</w:t>
      </w:r>
      <w:r w:rsidR="0093270B">
        <w:rPr>
          <w:rFonts w:cs="Calibri"/>
          <w:szCs w:val="24"/>
        </w:rPr>
        <w:t>,</w:t>
      </w:r>
      <w:r w:rsidRPr="00383F3B">
        <w:rPr>
          <w:rFonts w:cs="Calibri"/>
          <w:szCs w:val="24"/>
        </w:rPr>
        <w:t xml:space="preserve"> is scheduled on 10 and 11 April 2025.</w:t>
      </w:r>
    </w:p>
    <w:p w14:paraId="2666E0DE" w14:textId="77777777" w:rsidR="00881D93" w:rsidRDefault="00852743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textAlignment w:val="auto"/>
        <w:rPr>
          <w:b/>
          <w:bCs/>
        </w:rPr>
      </w:pPr>
      <w:r w:rsidRPr="00852743">
        <w:rPr>
          <w:b/>
          <w:bCs/>
        </w:rPr>
        <w:t>2.</w:t>
      </w:r>
      <w:r w:rsidRPr="00852743">
        <w:rPr>
          <w:b/>
          <w:bCs/>
        </w:rPr>
        <w:tab/>
        <w:t>Analysis of the outcome of the 3</w:t>
      </w:r>
      <w:r w:rsidRPr="00852743">
        <w:rPr>
          <w:b/>
          <w:bCs/>
          <w:vertAlign w:val="superscript"/>
        </w:rPr>
        <w:t>rd</w:t>
      </w:r>
      <w:r w:rsidRPr="00852743">
        <w:rPr>
          <w:b/>
          <w:bCs/>
        </w:rPr>
        <w:t xml:space="preserve"> meeting of the Expert Group on Decision 482</w:t>
      </w:r>
    </w:p>
    <w:p w14:paraId="15411DCE" w14:textId="281F8D8A" w:rsidR="00C76740" w:rsidRDefault="00881D93" w:rsidP="005D7F87">
      <w:pPr>
        <w:spacing w:after="120"/>
        <w:jc w:val="both"/>
        <w:rPr>
          <w:rFonts w:cs="Calibri"/>
          <w:szCs w:val="24"/>
        </w:rPr>
      </w:pPr>
      <w:r w:rsidRPr="0048565B">
        <w:rPr>
          <w:rFonts w:cs="Calibri"/>
          <w:szCs w:val="24"/>
        </w:rPr>
        <w:t xml:space="preserve">The </w:t>
      </w:r>
      <w:r w:rsidR="00092522">
        <w:rPr>
          <w:rFonts w:cs="Calibri"/>
          <w:szCs w:val="24"/>
        </w:rPr>
        <w:t xml:space="preserve">possible </w:t>
      </w:r>
      <w:r w:rsidRPr="00881D93">
        <w:rPr>
          <w:rFonts w:cs="Calibri"/>
          <w:szCs w:val="24"/>
        </w:rPr>
        <w:t>modifications</w:t>
      </w:r>
      <w:r w:rsidRPr="0048565B">
        <w:rPr>
          <w:rFonts w:cs="Calibri"/>
          <w:szCs w:val="24"/>
        </w:rPr>
        <w:t xml:space="preserve"> to Decision 482 </w:t>
      </w:r>
      <w:r w:rsidR="00092522">
        <w:rPr>
          <w:rFonts w:cs="Calibri"/>
          <w:szCs w:val="24"/>
        </w:rPr>
        <w:t xml:space="preserve">(C24) agreed during the </w:t>
      </w:r>
      <w:r w:rsidR="00FE0928">
        <w:rPr>
          <w:rFonts w:cs="Calibri"/>
          <w:szCs w:val="24"/>
        </w:rPr>
        <w:t>third</w:t>
      </w:r>
      <w:r w:rsidR="00092522">
        <w:rPr>
          <w:rFonts w:cs="Calibri"/>
          <w:szCs w:val="24"/>
        </w:rPr>
        <w:t xml:space="preserve"> meeting of the Expert Group </w:t>
      </w:r>
      <w:r w:rsidRPr="0048565B">
        <w:rPr>
          <w:rFonts w:cs="Calibri"/>
          <w:szCs w:val="24"/>
        </w:rPr>
        <w:t xml:space="preserve">primarily affect </w:t>
      </w:r>
      <w:r w:rsidRPr="00881D93">
        <w:rPr>
          <w:rFonts w:cs="Calibri"/>
          <w:szCs w:val="24"/>
        </w:rPr>
        <w:t>geostationary (GSO) satellite filings</w:t>
      </w:r>
      <w:r w:rsidRPr="0048565B">
        <w:rPr>
          <w:rFonts w:cs="Calibri"/>
          <w:szCs w:val="24"/>
        </w:rPr>
        <w:t>, leading to minor increases in revenue.</w:t>
      </w:r>
      <w:r w:rsidR="00C76740">
        <w:rPr>
          <w:rFonts w:cs="Calibri"/>
          <w:szCs w:val="24"/>
        </w:rPr>
        <w:t xml:space="preserve"> </w:t>
      </w:r>
      <w:r w:rsidRPr="0048565B">
        <w:rPr>
          <w:rFonts w:cs="Calibri"/>
          <w:szCs w:val="24"/>
        </w:rPr>
        <w:t xml:space="preserve">The inability to conclude on </w:t>
      </w:r>
      <w:r w:rsidRPr="00881D93">
        <w:rPr>
          <w:rFonts w:cs="Calibri"/>
          <w:szCs w:val="24"/>
        </w:rPr>
        <w:t>items f and g (non-GSO systems)</w:t>
      </w:r>
      <w:r w:rsidRPr="0048565B">
        <w:rPr>
          <w:rFonts w:cs="Calibri"/>
          <w:szCs w:val="24"/>
        </w:rPr>
        <w:t xml:space="preserve"> means that </w:t>
      </w:r>
      <w:r w:rsidRPr="00881D93">
        <w:rPr>
          <w:rFonts w:cs="Calibri"/>
          <w:szCs w:val="24"/>
        </w:rPr>
        <w:t>significant cost recovery gaps remain unresolved</w:t>
      </w:r>
      <w:r w:rsidRPr="0048565B">
        <w:rPr>
          <w:rFonts w:cs="Calibri"/>
          <w:szCs w:val="24"/>
        </w:rPr>
        <w:t>.</w:t>
      </w:r>
    </w:p>
    <w:p w14:paraId="1EECECD4" w14:textId="50A9BF9E" w:rsidR="00881D93" w:rsidRDefault="00C76740" w:rsidP="005D7F87">
      <w:pPr>
        <w:spacing w:after="120"/>
        <w:jc w:val="both"/>
        <w:rPr>
          <w:rFonts w:cs="Calibri"/>
          <w:szCs w:val="24"/>
        </w:rPr>
      </w:pPr>
      <w:r w:rsidRPr="00C76740">
        <w:rPr>
          <w:rFonts w:cs="Calibri"/>
          <w:szCs w:val="24"/>
        </w:rPr>
        <w:t>Simulating the financial impact of the decisions on the invoices issued in 2023, t</w:t>
      </w:r>
      <w:r w:rsidR="00881D93" w:rsidRPr="00C76740">
        <w:rPr>
          <w:rFonts w:cs="Calibri"/>
          <w:szCs w:val="24"/>
        </w:rPr>
        <w:t>he estimated additional revenue from agreed changes is CHF</w:t>
      </w:r>
      <w:r w:rsidR="00FE0928">
        <w:rPr>
          <w:rFonts w:cs="Calibri"/>
          <w:szCs w:val="24"/>
        </w:rPr>
        <w:t> </w:t>
      </w:r>
      <w:r w:rsidR="00881D93" w:rsidRPr="00C76740">
        <w:rPr>
          <w:rFonts w:cs="Calibri"/>
          <w:szCs w:val="24"/>
        </w:rPr>
        <w:t>794</w:t>
      </w:r>
      <w:r w:rsidR="00FE0928">
        <w:rPr>
          <w:rFonts w:cs="Calibri"/>
          <w:szCs w:val="24"/>
        </w:rPr>
        <w:t> </w:t>
      </w:r>
      <w:r w:rsidR="00881D93" w:rsidRPr="00C76740">
        <w:rPr>
          <w:rFonts w:cs="Calibri"/>
          <w:szCs w:val="24"/>
        </w:rPr>
        <w:t>171, which is significantly lower than the actual financial shortfall.</w:t>
      </w:r>
    </w:p>
    <w:p w14:paraId="4F490645" w14:textId="77777777" w:rsidR="008F7EA9" w:rsidRPr="00C76740" w:rsidRDefault="008F7EA9" w:rsidP="00C76740">
      <w:pPr>
        <w:jc w:val="both"/>
        <w:rPr>
          <w:rFonts w:cs="Calibri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693"/>
      </w:tblGrid>
      <w:tr w:rsidR="00881D93" w:rsidRPr="00832941" w14:paraId="2CECD311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4415" w14:textId="77777777" w:rsidR="00881D93" w:rsidRPr="00832941" w:rsidRDefault="00881D93" w:rsidP="005D7F87">
            <w:pPr>
              <w:spacing w:before="60"/>
              <w:ind w:left="360"/>
              <w:jc w:val="center"/>
              <w:rPr>
                <w:rFonts w:cs="Calibri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7C8B" w14:textId="3E7F6909" w:rsidR="00881D93" w:rsidRPr="00832941" w:rsidRDefault="00881D93" w:rsidP="005D7F87">
            <w:pPr>
              <w:spacing w:before="60"/>
              <w:ind w:left="360"/>
              <w:jc w:val="center"/>
              <w:rPr>
                <w:rFonts w:cs="Calibri"/>
                <w:szCs w:val="24"/>
              </w:rPr>
            </w:pPr>
            <w:r w:rsidRPr="00832941">
              <w:rPr>
                <w:rFonts w:cs="Calibri"/>
                <w:b/>
                <w:bCs/>
                <w:szCs w:val="24"/>
                <w:lang w:val="en-US"/>
              </w:rPr>
              <w:t>2023</w:t>
            </w:r>
            <w:r w:rsidR="00C7719E">
              <w:rPr>
                <w:rFonts w:cs="Calibri"/>
                <w:b/>
                <w:bCs/>
                <w:szCs w:val="24"/>
                <w:lang w:val="en-US"/>
              </w:rPr>
              <w:t xml:space="preserve"> (CHF)</w:t>
            </w:r>
          </w:p>
        </w:tc>
      </w:tr>
      <w:tr w:rsidR="00881D93" w:rsidRPr="00832941" w14:paraId="44126EA0" w14:textId="77777777" w:rsidTr="008F7EA9">
        <w:trPr>
          <w:jc w:val="center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F33E" w14:textId="77777777" w:rsidR="00881D93" w:rsidRPr="00832941" w:rsidRDefault="00881D93" w:rsidP="005D7F87">
            <w:pPr>
              <w:spacing w:before="60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Differential impact of item b) (limits on free filings)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509D" w14:textId="59285F04" w:rsidR="00881D93" w:rsidRPr="00832941" w:rsidRDefault="00881D93" w:rsidP="005D7F87">
            <w:pPr>
              <w:spacing w:before="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13 530</w:t>
            </w:r>
          </w:p>
        </w:tc>
      </w:tr>
      <w:tr w:rsidR="00881D93" w:rsidRPr="00832941" w14:paraId="386709E5" w14:textId="77777777" w:rsidTr="008F7EA9">
        <w:trPr>
          <w:jc w:val="center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D6EE" w14:textId="77777777" w:rsidR="00881D93" w:rsidRPr="00832941" w:rsidRDefault="00881D93" w:rsidP="005D7F87">
            <w:pPr>
              <w:spacing w:before="60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Differential impact of item e) (Post-notification activities)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2408" w14:textId="7CD20D97" w:rsidR="00881D93" w:rsidRPr="00832941" w:rsidRDefault="00881D93" w:rsidP="005D7F87">
            <w:pPr>
              <w:spacing w:before="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527 461</w:t>
            </w:r>
          </w:p>
        </w:tc>
      </w:tr>
      <w:tr w:rsidR="00881D93" w:rsidRPr="00832941" w14:paraId="0547897E" w14:textId="77777777" w:rsidTr="008F7EA9">
        <w:trPr>
          <w:jc w:val="center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5880" w14:textId="77777777" w:rsidR="00881D93" w:rsidRPr="00832941" w:rsidRDefault="00881D93" w:rsidP="005D7F87">
            <w:pPr>
              <w:spacing w:before="60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Differential impact of item h) (</w:t>
            </w:r>
            <w:proofErr w:type="spellStart"/>
            <w:r w:rsidRPr="00832941">
              <w:rPr>
                <w:rFonts w:cs="Calibri"/>
                <w:szCs w:val="24"/>
                <w:lang w:val="en-US"/>
              </w:rPr>
              <w:t>epfd</w:t>
            </w:r>
            <w:proofErr w:type="spellEnd"/>
            <w:r w:rsidRPr="00832941">
              <w:rPr>
                <w:rFonts w:cs="Calibri"/>
                <w:szCs w:val="24"/>
                <w:lang w:val="en-US"/>
              </w:rPr>
              <w:t xml:space="preserve"> examination costs)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1D31" w14:textId="216064B3" w:rsidR="00881D93" w:rsidRPr="00832941" w:rsidRDefault="00881D93" w:rsidP="005D7F87">
            <w:pPr>
              <w:spacing w:before="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201 600</w:t>
            </w:r>
          </w:p>
        </w:tc>
      </w:tr>
      <w:tr w:rsidR="00881D93" w:rsidRPr="00832941" w14:paraId="0C027BCB" w14:textId="77777777" w:rsidTr="008F7EA9">
        <w:trPr>
          <w:jc w:val="center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4C17" w14:textId="77777777" w:rsidR="00881D93" w:rsidRPr="00832941" w:rsidRDefault="00881D93" w:rsidP="005D7F87">
            <w:pPr>
              <w:spacing w:before="60"/>
              <w:jc w:val="both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Differential impact of item i) (additional examination in the Space Plans)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D35D" w14:textId="0A03F0D6" w:rsidR="00881D93" w:rsidRPr="00832941" w:rsidRDefault="00881D93" w:rsidP="005D7F87">
            <w:pPr>
              <w:spacing w:before="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szCs w:val="24"/>
                <w:lang w:val="en-US"/>
              </w:rPr>
              <w:t>51 580</w:t>
            </w:r>
          </w:p>
        </w:tc>
      </w:tr>
      <w:tr w:rsidR="00881D93" w:rsidRPr="00832941" w14:paraId="39811CF0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C887" w14:textId="77777777" w:rsidR="00881D93" w:rsidRPr="00832941" w:rsidRDefault="00881D93" w:rsidP="005D7F87">
            <w:pPr>
              <w:spacing w:before="60"/>
              <w:ind w:left="3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b/>
                <w:bCs/>
                <w:szCs w:val="24"/>
                <w:lang w:val="en-US"/>
              </w:rPr>
              <w:t>Total</w:t>
            </w:r>
            <w:r>
              <w:rPr>
                <w:rFonts w:cs="Calibri"/>
                <w:b/>
                <w:bCs/>
                <w:szCs w:val="24"/>
                <w:lang w:val="en-US"/>
              </w:rPr>
              <w:t xml:space="preserve"> differential impact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BC35" w14:textId="543AF1FF" w:rsidR="00881D93" w:rsidRPr="00832941" w:rsidRDefault="00881D93" w:rsidP="005D7F87">
            <w:pPr>
              <w:spacing w:before="60"/>
              <w:jc w:val="right"/>
              <w:rPr>
                <w:rFonts w:cs="Calibri"/>
                <w:szCs w:val="24"/>
              </w:rPr>
            </w:pPr>
            <w:r w:rsidRPr="00832941">
              <w:rPr>
                <w:rFonts w:cs="Calibri"/>
                <w:b/>
                <w:bCs/>
                <w:szCs w:val="24"/>
                <w:lang w:val="en-US"/>
              </w:rPr>
              <w:t>794 171</w:t>
            </w:r>
          </w:p>
        </w:tc>
      </w:tr>
      <w:tr w:rsidR="00881D93" w:rsidRPr="00832941" w14:paraId="79C5DEE2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FB4E" w14:textId="77777777" w:rsidR="00881D93" w:rsidRPr="00832941" w:rsidRDefault="00881D93" w:rsidP="005D7F87">
            <w:pPr>
              <w:spacing w:before="60"/>
              <w:ind w:left="360"/>
              <w:jc w:val="right"/>
              <w:rPr>
                <w:rFonts w:cs="Calibri"/>
                <w:b/>
                <w:bCs/>
                <w:szCs w:val="24"/>
                <w:lang w:val="en-US"/>
              </w:rPr>
            </w:pPr>
            <w:r>
              <w:rPr>
                <w:rFonts w:cs="Calibri"/>
                <w:b/>
                <w:bCs/>
                <w:szCs w:val="24"/>
                <w:lang w:val="en-US"/>
              </w:rPr>
              <w:t>Invoiced amount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AA31" w14:textId="74629C93" w:rsidR="00881D93" w:rsidRPr="00832941" w:rsidRDefault="00881D93" w:rsidP="005D7F87">
            <w:pPr>
              <w:spacing w:before="60"/>
              <w:jc w:val="right"/>
              <w:rPr>
                <w:rFonts w:cs="Calibri"/>
                <w:b/>
                <w:bCs/>
                <w:szCs w:val="24"/>
                <w:lang w:val="en-US"/>
              </w:rPr>
            </w:pPr>
            <w:r>
              <w:rPr>
                <w:rFonts w:cs="Calibri"/>
                <w:b/>
                <w:bCs/>
                <w:szCs w:val="24"/>
                <w:lang w:val="en-US"/>
              </w:rPr>
              <w:t>11 215 321</w:t>
            </w:r>
          </w:p>
        </w:tc>
      </w:tr>
      <w:tr w:rsidR="00881D93" w:rsidRPr="00832941" w14:paraId="4BFF3582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7013" w14:textId="061DA48C" w:rsidR="00881D93" w:rsidRPr="00832941" w:rsidRDefault="00881D93" w:rsidP="005D7F87">
            <w:pPr>
              <w:spacing w:before="60"/>
              <w:ind w:left="360"/>
              <w:jc w:val="right"/>
              <w:rPr>
                <w:rFonts w:cs="Calibri"/>
                <w:b/>
                <w:bCs/>
                <w:szCs w:val="24"/>
                <w:lang w:val="en-US"/>
              </w:rPr>
            </w:pPr>
            <w:r>
              <w:rPr>
                <w:rFonts w:cs="Calibri"/>
                <w:b/>
                <w:bCs/>
                <w:szCs w:val="24"/>
                <w:lang w:val="en-US"/>
              </w:rPr>
              <w:t>Full cost</w:t>
            </w:r>
            <w:r w:rsidR="00C7719E">
              <w:rPr>
                <w:rFonts w:cs="Calibri"/>
                <w:b/>
                <w:bCs/>
                <w:szCs w:val="24"/>
                <w:lang w:val="en-US"/>
              </w:rPr>
              <w:t xml:space="preserve"> recovery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900" w14:textId="3A3E4D20" w:rsidR="00881D93" w:rsidRPr="00832941" w:rsidRDefault="00C7719E" w:rsidP="005D7F87">
            <w:pPr>
              <w:spacing w:before="60"/>
              <w:jc w:val="right"/>
              <w:rPr>
                <w:rFonts w:cs="Calibri"/>
                <w:b/>
                <w:bCs/>
                <w:szCs w:val="24"/>
                <w:lang w:val="en-US"/>
              </w:rPr>
            </w:pPr>
            <w:r>
              <w:rPr>
                <w:rFonts w:cs="Calibri"/>
                <w:b/>
                <w:bCs/>
                <w:szCs w:val="24"/>
                <w:lang w:val="en-US"/>
              </w:rPr>
              <w:t>22 810 000</w:t>
            </w:r>
            <w:r w:rsidR="00881D93">
              <w:rPr>
                <w:rFonts w:cs="Calibri"/>
                <w:b/>
                <w:bCs/>
                <w:szCs w:val="24"/>
                <w:lang w:val="en-US"/>
              </w:rPr>
              <w:t xml:space="preserve"> CHF</w:t>
            </w:r>
          </w:p>
        </w:tc>
      </w:tr>
      <w:tr w:rsidR="00881D93" w:rsidRPr="00832941" w14:paraId="037DFFD9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9445" w14:textId="77777777" w:rsidR="00881D93" w:rsidRPr="00242835" w:rsidRDefault="00881D93" w:rsidP="005D7F87">
            <w:pPr>
              <w:spacing w:before="60"/>
              <w:rPr>
                <w:rFonts w:cs="Calibri"/>
                <w:szCs w:val="24"/>
                <w:lang w:val="en-US"/>
              </w:rPr>
            </w:pPr>
            <w:r w:rsidRPr="00242835">
              <w:rPr>
                <w:rFonts w:cs="Calibri"/>
                <w:szCs w:val="24"/>
                <w:lang w:val="en-US"/>
              </w:rPr>
              <w:t>Required fee increase to achieve full cost recovery</w:t>
            </w:r>
            <w:r>
              <w:rPr>
                <w:rFonts w:cs="Calibri"/>
                <w:szCs w:val="24"/>
                <w:lang w:val="en-US"/>
              </w:rPr>
              <w:t xml:space="preserve"> (not </w:t>
            </w:r>
            <w:proofErr w:type="gramStart"/>
            <w:r>
              <w:rPr>
                <w:rFonts w:cs="Calibri"/>
                <w:szCs w:val="24"/>
                <w:lang w:val="en-US"/>
              </w:rPr>
              <w:t>taking into account</w:t>
            </w:r>
            <w:proofErr w:type="gramEnd"/>
            <w:r>
              <w:rPr>
                <w:rFonts w:cs="Calibri"/>
                <w:szCs w:val="24"/>
                <w:lang w:val="en-US"/>
              </w:rPr>
              <w:t xml:space="preserve"> the outcome of the Expert Group)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DEF3" w14:textId="7A124D0B" w:rsidR="00881D93" w:rsidRPr="00242835" w:rsidRDefault="00C7719E" w:rsidP="005D7F87">
            <w:pPr>
              <w:spacing w:before="60"/>
              <w:jc w:val="right"/>
              <w:rPr>
                <w:rFonts w:cs="Calibri"/>
                <w:szCs w:val="24"/>
                <w:lang w:val="en-US"/>
              </w:rPr>
            </w:pPr>
            <w:r>
              <w:rPr>
                <w:rFonts w:cs="Calibri"/>
                <w:szCs w:val="24"/>
                <w:lang w:val="en-US"/>
              </w:rPr>
              <w:t>11 594 679</w:t>
            </w:r>
            <w:r w:rsidR="00881D93">
              <w:rPr>
                <w:rFonts w:cs="Calibri"/>
                <w:szCs w:val="24"/>
                <w:lang w:val="en-US"/>
              </w:rPr>
              <w:t>(</w:t>
            </w:r>
            <w:r>
              <w:rPr>
                <w:rFonts w:cs="Calibri"/>
                <w:szCs w:val="24"/>
                <w:lang w:val="en-US"/>
              </w:rPr>
              <w:t>103</w:t>
            </w:r>
            <w:r w:rsidR="00881D93">
              <w:rPr>
                <w:rFonts w:cs="Calibri"/>
                <w:szCs w:val="24"/>
                <w:lang w:val="en-US"/>
              </w:rPr>
              <w:t>% increase</w:t>
            </w:r>
            <w:r w:rsidR="008F7EA9">
              <w:rPr>
                <w:rFonts w:cs="Calibri"/>
                <w:szCs w:val="24"/>
                <w:lang w:val="en-US"/>
              </w:rPr>
              <w:t xml:space="preserve"> required</w:t>
            </w:r>
            <w:r w:rsidR="00881D93">
              <w:rPr>
                <w:rFonts w:cs="Calibri"/>
                <w:szCs w:val="24"/>
                <w:lang w:val="en-US"/>
              </w:rPr>
              <w:t>)</w:t>
            </w:r>
          </w:p>
        </w:tc>
      </w:tr>
      <w:tr w:rsidR="00881D93" w:rsidRPr="00832941" w14:paraId="61B718FD" w14:textId="77777777" w:rsidTr="008F7EA9">
        <w:trPr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ED12" w14:textId="77777777" w:rsidR="00881D93" w:rsidRPr="00242835" w:rsidRDefault="00881D93" w:rsidP="005D7F87">
            <w:pPr>
              <w:spacing w:before="60"/>
              <w:rPr>
                <w:rFonts w:cs="Calibri"/>
                <w:szCs w:val="24"/>
                <w:lang w:val="en-US"/>
              </w:rPr>
            </w:pPr>
            <w:r>
              <w:rPr>
                <w:rFonts w:cs="Calibri"/>
                <w:szCs w:val="24"/>
                <w:lang w:val="en-US"/>
              </w:rPr>
              <w:t>Required fee increase to achieve full cost recovery (</w:t>
            </w:r>
            <w:proofErr w:type="gramStart"/>
            <w:r>
              <w:rPr>
                <w:rFonts w:cs="Calibri"/>
                <w:szCs w:val="24"/>
                <w:lang w:val="en-US"/>
              </w:rPr>
              <w:t>taking into account</w:t>
            </w:r>
            <w:proofErr w:type="gramEnd"/>
            <w:r>
              <w:rPr>
                <w:rFonts w:cs="Calibri"/>
                <w:szCs w:val="24"/>
                <w:lang w:val="en-US"/>
              </w:rPr>
              <w:t xml:space="preserve"> the outcome of the Expert Group)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78B9" w14:textId="002835A9" w:rsidR="00881D93" w:rsidRPr="00242835" w:rsidRDefault="00C7719E" w:rsidP="005D7F87">
            <w:pPr>
              <w:spacing w:before="60"/>
              <w:jc w:val="right"/>
              <w:rPr>
                <w:rFonts w:cs="Calibri"/>
                <w:szCs w:val="24"/>
                <w:lang w:val="en-US"/>
              </w:rPr>
            </w:pPr>
            <w:r>
              <w:rPr>
                <w:rFonts w:cs="Calibri"/>
                <w:szCs w:val="24"/>
                <w:lang w:val="en-US"/>
              </w:rPr>
              <w:t>10 800 508</w:t>
            </w:r>
            <w:r w:rsidR="00881D93">
              <w:rPr>
                <w:rFonts w:cs="Calibri"/>
                <w:szCs w:val="24"/>
                <w:lang w:val="en-US"/>
              </w:rPr>
              <w:br/>
              <w:t>(</w:t>
            </w:r>
            <w:r>
              <w:rPr>
                <w:rFonts w:cs="Calibri"/>
                <w:szCs w:val="24"/>
                <w:lang w:val="en-US"/>
              </w:rPr>
              <w:t>96</w:t>
            </w:r>
            <w:r w:rsidR="00881D93">
              <w:rPr>
                <w:rFonts w:cs="Calibri"/>
                <w:szCs w:val="24"/>
                <w:lang w:val="en-US"/>
              </w:rPr>
              <w:t>% increase</w:t>
            </w:r>
            <w:r w:rsidR="008F7EA9">
              <w:rPr>
                <w:rFonts w:cs="Calibri"/>
                <w:szCs w:val="24"/>
                <w:lang w:val="en-US"/>
              </w:rPr>
              <w:t xml:space="preserve"> required</w:t>
            </w:r>
            <w:r w:rsidR="00881D93">
              <w:rPr>
                <w:rFonts w:cs="Calibri"/>
                <w:szCs w:val="24"/>
                <w:lang w:val="en-US"/>
              </w:rPr>
              <w:t>)</w:t>
            </w:r>
          </w:p>
        </w:tc>
      </w:tr>
    </w:tbl>
    <w:p w14:paraId="486EF1F8" w14:textId="0AC2017F" w:rsidR="00881D93" w:rsidRPr="008F7EA9" w:rsidRDefault="00881D93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cs="Calibri"/>
          <w:szCs w:val="24"/>
        </w:rPr>
      </w:pPr>
      <w:r w:rsidRPr="008F7EA9">
        <w:rPr>
          <w:rFonts w:cs="Calibri"/>
          <w:szCs w:val="24"/>
        </w:rPr>
        <w:lastRenderedPageBreak/>
        <w:t>Without a broader adjustment to fees, ITU will continue to operate at a loss in processing satellite network filings.</w:t>
      </w:r>
      <w:r w:rsidR="00A618F6">
        <w:rPr>
          <w:rFonts w:cs="Calibri"/>
          <w:szCs w:val="24"/>
        </w:rPr>
        <w:t xml:space="preserve"> </w:t>
      </w:r>
      <w:r w:rsidRPr="008F7EA9">
        <w:rPr>
          <w:rFonts w:cs="Calibri"/>
          <w:szCs w:val="24"/>
        </w:rPr>
        <w:t xml:space="preserve">ITU </w:t>
      </w:r>
      <w:r w:rsidR="00A618F6">
        <w:rPr>
          <w:rFonts w:cs="Calibri"/>
          <w:szCs w:val="24"/>
        </w:rPr>
        <w:t xml:space="preserve">needs </w:t>
      </w:r>
      <w:r w:rsidRPr="008F7EA9">
        <w:rPr>
          <w:rFonts w:cs="Calibri"/>
          <w:szCs w:val="24"/>
        </w:rPr>
        <w:t xml:space="preserve">move toward full cost recovery, as required under </w:t>
      </w:r>
      <w:r w:rsidR="00A618F6" w:rsidRPr="00A618F6">
        <w:rPr>
          <w:rFonts w:cs="Calibri"/>
          <w:szCs w:val="24"/>
        </w:rPr>
        <w:t>Resolution 91 (</w:t>
      </w:r>
      <w:r w:rsidR="00FE0928" w:rsidRPr="00A618F6">
        <w:rPr>
          <w:rFonts w:cs="Calibri"/>
          <w:szCs w:val="24"/>
        </w:rPr>
        <w:t>Rev. Guadalajara</w:t>
      </w:r>
      <w:r w:rsidR="00A618F6" w:rsidRPr="00A618F6">
        <w:rPr>
          <w:rFonts w:cs="Calibri"/>
          <w:szCs w:val="24"/>
        </w:rPr>
        <w:t>, 2010</w:t>
      </w:r>
      <w:r w:rsidR="00A618F6">
        <w:rPr>
          <w:rFonts w:cs="Calibri"/>
          <w:szCs w:val="24"/>
        </w:rPr>
        <w:t>)</w:t>
      </w:r>
      <w:r w:rsidRPr="008F7EA9">
        <w:rPr>
          <w:rFonts w:cs="Calibri"/>
          <w:szCs w:val="24"/>
        </w:rPr>
        <w:t>, to ensure financial sustainability.</w:t>
      </w:r>
    </w:p>
    <w:p w14:paraId="63458791" w14:textId="77777777" w:rsidR="00881D93" w:rsidRDefault="00881D93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cs="Calibri"/>
          <w:szCs w:val="24"/>
        </w:rPr>
      </w:pPr>
      <w:r w:rsidRPr="008F7EA9">
        <w:rPr>
          <w:rFonts w:cs="Calibri"/>
          <w:szCs w:val="24"/>
        </w:rPr>
        <w:t>The current fee structure is too low and requires a substantial adjustment to reflect actual costs in a changing environment which affects ITU’s capacity to deliver its mandate.</w:t>
      </w:r>
    </w:p>
    <w:p w14:paraId="1E259D48" w14:textId="78371BF7" w:rsidR="0007650D" w:rsidRPr="0007650D" w:rsidRDefault="0007650D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 w:line="259" w:lineRule="auto"/>
        <w:jc w:val="both"/>
        <w:textAlignment w:val="auto"/>
        <w:rPr>
          <w:rFonts w:cs="Calibri"/>
          <w:b/>
          <w:bCs/>
          <w:szCs w:val="24"/>
        </w:rPr>
      </w:pPr>
      <w:r w:rsidRPr="0007650D">
        <w:rPr>
          <w:rFonts w:cs="Calibri"/>
          <w:b/>
          <w:bCs/>
          <w:szCs w:val="24"/>
        </w:rPr>
        <w:t>3.</w:t>
      </w:r>
      <w:r w:rsidRPr="0007650D">
        <w:rPr>
          <w:rFonts w:cs="Calibri"/>
          <w:b/>
          <w:bCs/>
          <w:szCs w:val="24"/>
        </w:rPr>
        <w:tab/>
        <w:t>Recommendations to the Council Working Group on financial and human resources</w:t>
      </w:r>
    </w:p>
    <w:p w14:paraId="240F9DF0" w14:textId="7AF73C25" w:rsidR="0007650D" w:rsidRPr="0007650D" w:rsidRDefault="0007650D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cs="Calibri"/>
          <w:szCs w:val="24"/>
        </w:rPr>
      </w:pPr>
      <w:proofErr w:type="gramStart"/>
      <w:r w:rsidRPr="0007650D">
        <w:rPr>
          <w:rFonts w:cs="Calibri"/>
          <w:szCs w:val="24"/>
        </w:rPr>
        <w:t>In light of</w:t>
      </w:r>
      <w:proofErr w:type="gramEnd"/>
      <w:r w:rsidRPr="0007650D">
        <w:rPr>
          <w:rFonts w:cs="Calibri"/>
          <w:szCs w:val="24"/>
        </w:rPr>
        <w:t xml:space="preserve"> the Expert Group’s inability to reach substantive recommendations, CWG-FHR must consider a structured increase in SNF fees to align with </w:t>
      </w:r>
      <w:r>
        <w:rPr>
          <w:rFonts w:cs="Calibri"/>
          <w:szCs w:val="24"/>
        </w:rPr>
        <w:t>Resolution</w:t>
      </w:r>
      <w:r w:rsidRPr="0007650D">
        <w:rPr>
          <w:rFonts w:cs="Calibri"/>
          <w:szCs w:val="24"/>
        </w:rPr>
        <w:t xml:space="preserve"> 91 and ensure full cost recovery.</w:t>
      </w:r>
    </w:p>
    <w:p w14:paraId="062ABE4F" w14:textId="4B916ACD" w:rsidR="0007650D" w:rsidRPr="0007650D" w:rsidRDefault="0007650D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cs="Calibri"/>
          <w:szCs w:val="24"/>
        </w:rPr>
      </w:pPr>
      <w:r w:rsidRPr="0007650D">
        <w:rPr>
          <w:rFonts w:cs="Calibri"/>
          <w:szCs w:val="24"/>
        </w:rPr>
        <w:t xml:space="preserve">Two </w:t>
      </w:r>
      <w:r w:rsidR="00745178">
        <w:rPr>
          <w:rFonts w:cs="Calibri"/>
          <w:szCs w:val="24"/>
        </w:rPr>
        <w:t>p</w:t>
      </w:r>
      <w:r w:rsidRPr="0007650D">
        <w:rPr>
          <w:rFonts w:cs="Calibri"/>
          <w:szCs w:val="24"/>
        </w:rPr>
        <w:t xml:space="preserve">roposed </w:t>
      </w:r>
      <w:r w:rsidR="00745178">
        <w:rPr>
          <w:rFonts w:cs="Calibri"/>
          <w:szCs w:val="24"/>
        </w:rPr>
        <w:t>o</w:t>
      </w:r>
      <w:r w:rsidRPr="0007650D">
        <w:rPr>
          <w:rFonts w:cs="Calibri"/>
          <w:szCs w:val="24"/>
        </w:rPr>
        <w:t xml:space="preserve">ptions </w:t>
      </w:r>
      <w:r w:rsidR="00745178">
        <w:rPr>
          <w:rFonts w:cs="Calibri"/>
          <w:szCs w:val="24"/>
        </w:rPr>
        <w:t xml:space="preserve">could be considered </w:t>
      </w:r>
      <w:r w:rsidRPr="0007650D">
        <w:rPr>
          <w:rFonts w:cs="Calibri"/>
          <w:szCs w:val="24"/>
        </w:rPr>
        <w:t xml:space="preserve">for </w:t>
      </w:r>
      <w:r w:rsidR="00745178">
        <w:rPr>
          <w:rFonts w:cs="Calibri"/>
          <w:szCs w:val="24"/>
        </w:rPr>
        <w:t>the fee a</w:t>
      </w:r>
      <w:r w:rsidRPr="0007650D">
        <w:rPr>
          <w:rFonts w:cs="Calibri"/>
          <w:szCs w:val="24"/>
        </w:rPr>
        <w:t>djustment</w:t>
      </w:r>
      <w:r w:rsidR="00745178">
        <w:rPr>
          <w:rFonts w:cs="Calibri"/>
          <w:szCs w:val="24"/>
        </w:rPr>
        <w:t xml:space="preserve"> in Decision 482: </w:t>
      </w:r>
    </w:p>
    <w:p w14:paraId="1D93BC11" w14:textId="219F4DA4" w:rsidR="005B124A" w:rsidRDefault="0007650D" w:rsidP="005D7F8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ind w:left="714" w:hanging="357"/>
        <w:contextualSpacing w:val="0"/>
        <w:jc w:val="both"/>
        <w:textAlignment w:val="auto"/>
        <w:rPr>
          <w:rFonts w:cs="Calibri"/>
          <w:szCs w:val="24"/>
        </w:rPr>
      </w:pPr>
      <w:r w:rsidRPr="0065186B">
        <w:rPr>
          <w:rFonts w:cs="Calibri"/>
          <w:szCs w:val="24"/>
        </w:rPr>
        <w:t>Option 1: Implement a</w:t>
      </w:r>
      <w:r w:rsidR="0065186B">
        <w:rPr>
          <w:rFonts w:cs="Calibri"/>
          <w:szCs w:val="24"/>
        </w:rPr>
        <w:t xml:space="preserve"> constant increase </w:t>
      </w:r>
      <w:r w:rsidR="00742A4F">
        <w:rPr>
          <w:rFonts w:cs="Calibri"/>
          <w:szCs w:val="24"/>
        </w:rPr>
        <w:t>on each f</w:t>
      </w:r>
      <w:r w:rsidRPr="0065186B">
        <w:rPr>
          <w:rFonts w:cs="Calibri"/>
          <w:szCs w:val="24"/>
        </w:rPr>
        <w:t>ee</w:t>
      </w:r>
      <w:r w:rsidR="005B124A">
        <w:rPr>
          <w:rFonts w:cs="Calibri"/>
          <w:szCs w:val="24"/>
        </w:rPr>
        <w:t xml:space="preserve"> currently </w:t>
      </w:r>
      <w:r w:rsidR="00742A4F">
        <w:rPr>
          <w:rFonts w:cs="Calibri"/>
          <w:szCs w:val="24"/>
        </w:rPr>
        <w:t>contained in Decision 482 (</w:t>
      </w:r>
      <w:r w:rsidR="005B124A">
        <w:rPr>
          <w:rFonts w:cs="Calibri"/>
          <w:szCs w:val="24"/>
        </w:rPr>
        <w:t xml:space="preserve">based on 2023 figures, the increase should be at least 77% but </w:t>
      </w:r>
      <w:r w:rsidR="009E523E">
        <w:rPr>
          <w:rFonts w:cs="Calibri"/>
          <w:szCs w:val="24"/>
        </w:rPr>
        <w:t xml:space="preserve">the Secretariat would be able </w:t>
      </w:r>
      <w:r w:rsidR="005B124A">
        <w:rPr>
          <w:rFonts w:cs="Calibri"/>
          <w:szCs w:val="24"/>
        </w:rPr>
        <w:t xml:space="preserve">to prepare a more complete analysis </w:t>
      </w:r>
      <w:r w:rsidR="009F1E76">
        <w:rPr>
          <w:rFonts w:cs="Calibri"/>
          <w:szCs w:val="24"/>
        </w:rPr>
        <w:t xml:space="preserve">over the past 3 to 5 years in time for Council so that the increase </w:t>
      </w:r>
      <w:r w:rsidR="007C173C">
        <w:rPr>
          <w:rFonts w:cs="Calibri"/>
          <w:szCs w:val="24"/>
        </w:rPr>
        <w:t xml:space="preserve">rate </w:t>
      </w:r>
      <w:r w:rsidR="009F1E76">
        <w:rPr>
          <w:rFonts w:cs="Calibri"/>
          <w:szCs w:val="24"/>
        </w:rPr>
        <w:t xml:space="preserve">can be </w:t>
      </w:r>
      <w:r w:rsidR="007C173C">
        <w:rPr>
          <w:rFonts w:cs="Calibri"/>
          <w:szCs w:val="24"/>
        </w:rPr>
        <w:t xml:space="preserve">based on an average over several years). </w:t>
      </w:r>
    </w:p>
    <w:p w14:paraId="0CCD49C9" w14:textId="1F58E1E4" w:rsidR="005B124A" w:rsidRPr="005B124A" w:rsidRDefault="0007650D" w:rsidP="005D7F8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ind w:left="714" w:hanging="357"/>
        <w:contextualSpacing w:val="0"/>
        <w:jc w:val="both"/>
        <w:textAlignment w:val="auto"/>
        <w:rPr>
          <w:rFonts w:cs="Calibri"/>
          <w:szCs w:val="24"/>
        </w:rPr>
      </w:pPr>
      <w:r w:rsidRPr="005B124A">
        <w:rPr>
          <w:rFonts w:cs="Calibri"/>
          <w:szCs w:val="24"/>
        </w:rPr>
        <w:t xml:space="preserve">Option 2: Implement the </w:t>
      </w:r>
      <w:r w:rsidR="007C173C">
        <w:rPr>
          <w:rFonts w:cs="Calibri"/>
          <w:szCs w:val="24"/>
        </w:rPr>
        <w:t xml:space="preserve">proposals agreed </w:t>
      </w:r>
      <w:r w:rsidR="00077887">
        <w:rPr>
          <w:rFonts w:cs="Calibri"/>
          <w:szCs w:val="24"/>
        </w:rPr>
        <w:t>by the Expert Group and then adjust each fee of the revised Decision 482 to reach full cost recovery (</w:t>
      </w:r>
      <w:r w:rsidR="009E523E">
        <w:rPr>
          <w:rFonts w:cs="Calibri"/>
          <w:szCs w:val="24"/>
        </w:rPr>
        <w:t xml:space="preserve">the Secretariat </w:t>
      </w:r>
      <w:r w:rsidR="00077887">
        <w:rPr>
          <w:rFonts w:cs="Calibri"/>
          <w:szCs w:val="24"/>
        </w:rPr>
        <w:t xml:space="preserve">would be </w:t>
      </w:r>
      <w:r w:rsidR="009E523E">
        <w:rPr>
          <w:rFonts w:cs="Calibri"/>
          <w:szCs w:val="24"/>
        </w:rPr>
        <w:t xml:space="preserve">able </w:t>
      </w:r>
      <w:r w:rsidR="00077887">
        <w:rPr>
          <w:rFonts w:cs="Calibri"/>
          <w:szCs w:val="24"/>
        </w:rPr>
        <w:t>to prepare a more complete analysis over the past 3 to 5 years</w:t>
      </w:r>
      <w:r w:rsidR="009E523E">
        <w:rPr>
          <w:rFonts w:cs="Calibri"/>
          <w:szCs w:val="24"/>
        </w:rPr>
        <w:t xml:space="preserve">, also taking results of the planned Expert Group meeting on 10 and 11 April, </w:t>
      </w:r>
      <w:r w:rsidR="00077887">
        <w:rPr>
          <w:rFonts w:cs="Calibri"/>
          <w:szCs w:val="24"/>
        </w:rPr>
        <w:t xml:space="preserve"> in time for Council so that the </w:t>
      </w:r>
      <w:r w:rsidR="008F4D25">
        <w:rPr>
          <w:rFonts w:cs="Calibri"/>
          <w:szCs w:val="24"/>
        </w:rPr>
        <w:t xml:space="preserve">adjustment </w:t>
      </w:r>
      <w:r w:rsidR="00077887">
        <w:rPr>
          <w:rFonts w:cs="Calibri"/>
          <w:szCs w:val="24"/>
        </w:rPr>
        <w:t>can be based on an average over several years</w:t>
      </w:r>
      <w:r w:rsidR="008F4D25">
        <w:rPr>
          <w:rFonts w:cs="Calibri"/>
          <w:szCs w:val="24"/>
        </w:rPr>
        <w:t>).</w:t>
      </w:r>
    </w:p>
    <w:p w14:paraId="478F73AF" w14:textId="4F7B503D" w:rsidR="0007650D" w:rsidRDefault="009E523E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The Secretariat recommends adopting Option 2 only if Expert Group concludes on all items of its Terms of Reference in its April meeting. Otherwise, the Secretariat recommends adopting Option 1.</w:t>
      </w:r>
    </w:p>
    <w:p w14:paraId="393F69D7" w14:textId="5B586083" w:rsidR="005D7F87" w:rsidRPr="008F7EA9" w:rsidRDefault="005D7F87" w:rsidP="005D7F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line="259" w:lineRule="auto"/>
        <w:jc w:val="center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________________</w:t>
      </w:r>
    </w:p>
    <w:sectPr w:rsidR="005D7F87" w:rsidRPr="008F7EA9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9AAA" w14:textId="77777777" w:rsidR="00550A52" w:rsidRDefault="00550A52">
      <w:r>
        <w:separator/>
      </w:r>
    </w:p>
  </w:endnote>
  <w:endnote w:type="continuationSeparator" w:id="0">
    <w:p w14:paraId="42AB2038" w14:textId="77777777" w:rsidR="00550A52" w:rsidRDefault="005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 w:rsidTr="0042469C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1E871C99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FE0928">
            <w:rPr>
              <w:bCs/>
              <w:lang w:val="fr-CH"/>
            </w:rPr>
            <w:t>29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7777777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7CFADCBC" w14:textId="6BBD2191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FE0928">
            <w:rPr>
              <w:bCs/>
              <w:lang w:val="es-ES"/>
            </w:rPr>
            <w:t>29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4B73" w14:textId="77777777" w:rsidR="00550A52" w:rsidRDefault="00550A52">
      <w:r>
        <w:t>____________________</w:t>
      </w:r>
    </w:p>
  </w:footnote>
  <w:footnote w:type="continuationSeparator" w:id="0">
    <w:p w14:paraId="30BA656A" w14:textId="77777777" w:rsidR="00550A52" w:rsidRDefault="0055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63DAB34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17 to 1</w:t>
                                </w:r>
                                <w:r w:rsidR="004D3B0A"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63DAB34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17 to 1</w:t>
                          </w:r>
                          <w:r w:rsidR="004D3B0A"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t xml:space="preserve">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7E93C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B2904"/>
    <w:multiLevelType w:val="multilevel"/>
    <w:tmpl w:val="7AC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E7E"/>
    <w:multiLevelType w:val="multilevel"/>
    <w:tmpl w:val="012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E5EF7"/>
    <w:multiLevelType w:val="hybridMultilevel"/>
    <w:tmpl w:val="DCA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5E75"/>
    <w:multiLevelType w:val="multilevel"/>
    <w:tmpl w:val="E20A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E45C6"/>
    <w:multiLevelType w:val="multilevel"/>
    <w:tmpl w:val="0D0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816267">
    <w:abstractNumId w:val="0"/>
  </w:num>
  <w:num w:numId="2" w16cid:durableId="1503618614">
    <w:abstractNumId w:val="2"/>
  </w:num>
  <w:num w:numId="3" w16cid:durableId="1412964508">
    <w:abstractNumId w:val="1"/>
  </w:num>
  <w:num w:numId="4" w16cid:durableId="1917400700">
    <w:abstractNumId w:val="4"/>
  </w:num>
  <w:num w:numId="5" w16cid:durableId="1266697194">
    <w:abstractNumId w:val="5"/>
  </w:num>
  <w:num w:numId="6" w16cid:durableId="33025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63016"/>
    <w:rsid w:val="00066795"/>
    <w:rsid w:val="0007650D"/>
    <w:rsid w:val="00076AF6"/>
    <w:rsid w:val="00077887"/>
    <w:rsid w:val="00085CF2"/>
    <w:rsid w:val="00092522"/>
    <w:rsid w:val="000B1705"/>
    <w:rsid w:val="000D75B2"/>
    <w:rsid w:val="000F6AB8"/>
    <w:rsid w:val="001121F5"/>
    <w:rsid w:val="00130599"/>
    <w:rsid w:val="001400DC"/>
    <w:rsid w:val="00140CE1"/>
    <w:rsid w:val="00147C54"/>
    <w:rsid w:val="0017539C"/>
    <w:rsid w:val="00175AC2"/>
    <w:rsid w:val="0017609F"/>
    <w:rsid w:val="00195AA6"/>
    <w:rsid w:val="001A7D1D"/>
    <w:rsid w:val="001B435D"/>
    <w:rsid w:val="001B51DD"/>
    <w:rsid w:val="001C628E"/>
    <w:rsid w:val="001E0F7B"/>
    <w:rsid w:val="001E0FBE"/>
    <w:rsid w:val="001E5FE7"/>
    <w:rsid w:val="001F6D6D"/>
    <w:rsid w:val="002119FD"/>
    <w:rsid w:val="002130E0"/>
    <w:rsid w:val="00244F7F"/>
    <w:rsid w:val="0025570E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01DC"/>
    <w:rsid w:val="002F3048"/>
    <w:rsid w:val="0030160F"/>
    <w:rsid w:val="00301AEE"/>
    <w:rsid w:val="003145DF"/>
    <w:rsid w:val="00320223"/>
    <w:rsid w:val="00322D0D"/>
    <w:rsid w:val="00361465"/>
    <w:rsid w:val="00383F3B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36547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364D"/>
    <w:rsid w:val="004D3B0A"/>
    <w:rsid w:val="004D5449"/>
    <w:rsid w:val="004D599D"/>
    <w:rsid w:val="004E2EA5"/>
    <w:rsid w:val="004E3AEB"/>
    <w:rsid w:val="0050223C"/>
    <w:rsid w:val="005039C5"/>
    <w:rsid w:val="00520468"/>
    <w:rsid w:val="005243FF"/>
    <w:rsid w:val="005311D6"/>
    <w:rsid w:val="00536422"/>
    <w:rsid w:val="00550A52"/>
    <w:rsid w:val="00564FBC"/>
    <w:rsid w:val="005800BC"/>
    <w:rsid w:val="00582442"/>
    <w:rsid w:val="005A335D"/>
    <w:rsid w:val="005B124A"/>
    <w:rsid w:val="005C13D4"/>
    <w:rsid w:val="005C6F1C"/>
    <w:rsid w:val="005D7F87"/>
    <w:rsid w:val="005E2BD5"/>
    <w:rsid w:val="005F3269"/>
    <w:rsid w:val="00615961"/>
    <w:rsid w:val="006206C5"/>
    <w:rsid w:val="00623AE3"/>
    <w:rsid w:val="006261F4"/>
    <w:rsid w:val="0064737F"/>
    <w:rsid w:val="0065186B"/>
    <w:rsid w:val="006535F1"/>
    <w:rsid w:val="0065557D"/>
    <w:rsid w:val="00660D50"/>
    <w:rsid w:val="00662984"/>
    <w:rsid w:val="006716BB"/>
    <w:rsid w:val="0069774E"/>
    <w:rsid w:val="006B1859"/>
    <w:rsid w:val="006B6680"/>
    <w:rsid w:val="006B6DCC"/>
    <w:rsid w:val="00701C70"/>
    <w:rsid w:val="00702DEF"/>
    <w:rsid w:val="00706861"/>
    <w:rsid w:val="00726B8C"/>
    <w:rsid w:val="007353C0"/>
    <w:rsid w:val="00742A4F"/>
    <w:rsid w:val="00745178"/>
    <w:rsid w:val="0075051B"/>
    <w:rsid w:val="00775655"/>
    <w:rsid w:val="00793188"/>
    <w:rsid w:val="00794D34"/>
    <w:rsid w:val="007C173C"/>
    <w:rsid w:val="00806E3C"/>
    <w:rsid w:val="00813E5E"/>
    <w:rsid w:val="00816C2C"/>
    <w:rsid w:val="0083581B"/>
    <w:rsid w:val="00852743"/>
    <w:rsid w:val="00860EED"/>
    <w:rsid w:val="00863874"/>
    <w:rsid w:val="00864AFF"/>
    <w:rsid w:val="00865925"/>
    <w:rsid w:val="00881D93"/>
    <w:rsid w:val="00891503"/>
    <w:rsid w:val="008B4A6A"/>
    <w:rsid w:val="008C7E27"/>
    <w:rsid w:val="008F3822"/>
    <w:rsid w:val="008F4D25"/>
    <w:rsid w:val="008F7448"/>
    <w:rsid w:val="008F7EA9"/>
    <w:rsid w:val="0090147A"/>
    <w:rsid w:val="0090389B"/>
    <w:rsid w:val="009173EF"/>
    <w:rsid w:val="0093270B"/>
    <w:rsid w:val="00932906"/>
    <w:rsid w:val="00961860"/>
    <w:rsid w:val="00961B0B"/>
    <w:rsid w:val="00962D33"/>
    <w:rsid w:val="009B38C3"/>
    <w:rsid w:val="009E17BD"/>
    <w:rsid w:val="009E485A"/>
    <w:rsid w:val="009E523E"/>
    <w:rsid w:val="009F1E76"/>
    <w:rsid w:val="00A04CEC"/>
    <w:rsid w:val="00A27F92"/>
    <w:rsid w:val="00A32257"/>
    <w:rsid w:val="00A36D20"/>
    <w:rsid w:val="00A43C03"/>
    <w:rsid w:val="00A44093"/>
    <w:rsid w:val="00A46CD0"/>
    <w:rsid w:val="00A514A4"/>
    <w:rsid w:val="00A52C84"/>
    <w:rsid w:val="00A55175"/>
    <w:rsid w:val="00A55622"/>
    <w:rsid w:val="00A618F6"/>
    <w:rsid w:val="00A7010B"/>
    <w:rsid w:val="00A83502"/>
    <w:rsid w:val="00AB5587"/>
    <w:rsid w:val="00AD15B3"/>
    <w:rsid w:val="00AD3606"/>
    <w:rsid w:val="00AD4A3D"/>
    <w:rsid w:val="00AE6785"/>
    <w:rsid w:val="00AF6E49"/>
    <w:rsid w:val="00B04A67"/>
    <w:rsid w:val="00B0583C"/>
    <w:rsid w:val="00B21AE7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975F9"/>
    <w:rsid w:val="00BA3A51"/>
    <w:rsid w:val="00BC251A"/>
    <w:rsid w:val="00BD032B"/>
    <w:rsid w:val="00BD0614"/>
    <w:rsid w:val="00BD094B"/>
    <w:rsid w:val="00BE2640"/>
    <w:rsid w:val="00BF5BFD"/>
    <w:rsid w:val="00C01189"/>
    <w:rsid w:val="00C0614E"/>
    <w:rsid w:val="00C0729E"/>
    <w:rsid w:val="00C374DE"/>
    <w:rsid w:val="00C3796A"/>
    <w:rsid w:val="00C47AD4"/>
    <w:rsid w:val="00C52D81"/>
    <w:rsid w:val="00C55198"/>
    <w:rsid w:val="00C725C6"/>
    <w:rsid w:val="00C76740"/>
    <w:rsid w:val="00C7719E"/>
    <w:rsid w:val="00C922C7"/>
    <w:rsid w:val="00CA6393"/>
    <w:rsid w:val="00CB18FF"/>
    <w:rsid w:val="00CB24AA"/>
    <w:rsid w:val="00CB7316"/>
    <w:rsid w:val="00CD0C08"/>
    <w:rsid w:val="00CD3C91"/>
    <w:rsid w:val="00CE03FB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41EA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56F10"/>
    <w:rsid w:val="00F62152"/>
    <w:rsid w:val="00F632C0"/>
    <w:rsid w:val="00F74694"/>
    <w:rsid w:val="00F86596"/>
    <w:rsid w:val="00F93FD4"/>
    <w:rsid w:val="00F94A63"/>
    <w:rsid w:val="00FA1C28"/>
    <w:rsid w:val="00FA7BAF"/>
    <w:rsid w:val="00FB1279"/>
    <w:rsid w:val="00FB6B76"/>
    <w:rsid w:val="00FB7596"/>
    <w:rsid w:val="00FE0928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27D12"/>
  <w15:docId w15:val="{83AE87BC-DE25-4F6F-9375-28C9918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styleId="ListParagraph">
    <w:name w:val="List Paragraph"/>
    <w:basedOn w:val="Normal"/>
    <w:uiPriority w:val="34"/>
    <w:qFormat/>
    <w:rsid w:val="00CB7316"/>
    <w:pPr>
      <w:ind w:left="720"/>
      <w:contextualSpacing/>
    </w:pPr>
  </w:style>
  <w:style w:type="paragraph" w:styleId="Revision">
    <w:name w:val="Revision"/>
    <w:hidden/>
    <w:uiPriority w:val="99"/>
    <w:semiHidden/>
    <w:rsid w:val="009E523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12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fhr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4" ma:contentTypeDescription="Crear nuevo documento." ma:contentTypeScope="" ma:versionID="86752cabc1c175781f3aab67724efd61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ee2e05595c528ff06f2307f2ad7cdf72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D46BA-5DD2-4B39-9717-3891F8A19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C16B-49FE-4AAF-8203-31853A2C9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FB55A-3510-4D8F-852C-46EE4A49D10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cf676c-2816-4389-ad5d-0f2e7c7e67c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the outcome of the 3rd meeting of the Expert Group on Decision 482</dc:title>
  <dc:subject>ITU Council Working Group on financial and human resources</dc:subject>
  <dc:creator>LRT</dc:creator>
  <cp:keywords>CWG-FHR</cp:keywords>
  <dc:description/>
  <cp:lastModifiedBy>GBS</cp:lastModifiedBy>
  <cp:revision>2</cp:revision>
  <dcterms:created xsi:type="dcterms:W3CDTF">2025-02-14T17:05:00Z</dcterms:created>
  <dcterms:modified xsi:type="dcterms:W3CDTF">2025-02-14T17:05:00Z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</Properties>
</file>