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7A47" w14:textId="5373409A" w:rsidR="00923ACD" w:rsidRPr="005537CD" w:rsidRDefault="00923ACD">
      <w:pPr>
        <w:tabs>
          <w:tab w:val="clear" w:pos="567"/>
          <w:tab w:val="clear" w:pos="1134"/>
          <w:tab w:val="clear" w:pos="1701"/>
          <w:tab w:val="clear" w:pos="2268"/>
          <w:tab w:val="clear" w:pos="2835"/>
        </w:tabs>
        <w:overflowPunct/>
        <w:autoSpaceDE/>
        <w:autoSpaceDN/>
        <w:adjustRightInd/>
        <w:spacing w:before="0"/>
        <w:textAlignment w:val="auto"/>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33421428"/>
    </w:p>
    <w:p w14:paraId="52C7A383" w14:textId="77777777" w:rsidR="00923ACD" w:rsidRPr="005537CD" w:rsidRDefault="00923ACD"/>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923ACD" w:rsidRPr="005537CD" w14:paraId="676C73D3" w14:textId="77777777" w:rsidTr="00076AF0">
        <w:trPr>
          <w:cantSplit/>
          <w:trHeight w:val="23"/>
        </w:trPr>
        <w:tc>
          <w:tcPr>
            <w:tcW w:w="3969" w:type="dxa"/>
            <w:vMerge w:val="restart"/>
            <w:tcMar>
              <w:left w:w="0" w:type="dxa"/>
            </w:tcMar>
          </w:tcPr>
          <w:p w14:paraId="5627AD2F" w14:textId="030143CF" w:rsidR="00923ACD" w:rsidRPr="005537CD" w:rsidRDefault="00923ACD" w:rsidP="00076AF0">
            <w:pPr>
              <w:tabs>
                <w:tab w:val="left" w:pos="851"/>
              </w:tabs>
              <w:spacing w:before="0" w:line="240" w:lineRule="atLeast"/>
              <w:rPr>
                <w:b/>
              </w:rPr>
            </w:pPr>
          </w:p>
        </w:tc>
        <w:tc>
          <w:tcPr>
            <w:tcW w:w="5245" w:type="dxa"/>
          </w:tcPr>
          <w:p w14:paraId="4B2BB931" w14:textId="4DFB5725" w:rsidR="00923ACD" w:rsidRPr="005537CD" w:rsidRDefault="00923ACD" w:rsidP="00076AF0">
            <w:pPr>
              <w:tabs>
                <w:tab w:val="left" w:pos="851"/>
              </w:tabs>
              <w:spacing w:before="0" w:line="240" w:lineRule="atLeast"/>
              <w:jc w:val="right"/>
              <w:rPr>
                <w:b/>
              </w:rPr>
            </w:pPr>
            <w:r w:rsidRPr="005537CD">
              <w:rPr>
                <w:b/>
              </w:rPr>
              <w:t>Document CWG-FHR-20/</w:t>
            </w:r>
            <w:r w:rsidR="005E62EF" w:rsidRPr="005537CD">
              <w:rPr>
                <w:b/>
              </w:rPr>
              <w:t>27</w:t>
            </w:r>
          </w:p>
        </w:tc>
      </w:tr>
      <w:tr w:rsidR="00923ACD" w:rsidRPr="005537CD" w14:paraId="191E807E" w14:textId="77777777" w:rsidTr="00076AF0">
        <w:trPr>
          <w:cantSplit/>
        </w:trPr>
        <w:tc>
          <w:tcPr>
            <w:tcW w:w="3969" w:type="dxa"/>
            <w:vMerge/>
          </w:tcPr>
          <w:p w14:paraId="46A45C7D" w14:textId="77777777" w:rsidR="00923ACD" w:rsidRPr="005537CD" w:rsidRDefault="00923ACD" w:rsidP="00076AF0">
            <w:pPr>
              <w:tabs>
                <w:tab w:val="left" w:pos="851"/>
              </w:tabs>
              <w:spacing w:line="240" w:lineRule="atLeast"/>
              <w:rPr>
                <w:b/>
              </w:rPr>
            </w:pPr>
            <w:bookmarkStart w:id="7" w:name="ddate" w:colFirst="1" w:colLast="1"/>
            <w:bookmarkEnd w:id="0"/>
            <w:bookmarkEnd w:id="1"/>
          </w:p>
        </w:tc>
        <w:tc>
          <w:tcPr>
            <w:tcW w:w="5245" w:type="dxa"/>
          </w:tcPr>
          <w:p w14:paraId="2A7D0466" w14:textId="3E4B03E1" w:rsidR="00923ACD" w:rsidRPr="005537CD" w:rsidRDefault="003C0434" w:rsidP="00076AF0">
            <w:pPr>
              <w:tabs>
                <w:tab w:val="left" w:pos="851"/>
              </w:tabs>
              <w:spacing w:before="0"/>
              <w:jc w:val="right"/>
              <w:rPr>
                <w:b/>
              </w:rPr>
            </w:pPr>
            <w:r w:rsidRPr="005537CD">
              <w:rPr>
                <w:b/>
              </w:rPr>
              <w:t>5</w:t>
            </w:r>
            <w:r w:rsidR="00923ACD" w:rsidRPr="005537CD">
              <w:rPr>
                <w:b/>
              </w:rPr>
              <w:t xml:space="preserve"> </w:t>
            </w:r>
            <w:r w:rsidR="00BB77B7" w:rsidRPr="005537CD">
              <w:rPr>
                <w:b/>
              </w:rPr>
              <w:t>February</w:t>
            </w:r>
            <w:r w:rsidR="00923ACD" w:rsidRPr="005537CD">
              <w:rPr>
                <w:b/>
              </w:rPr>
              <w:t xml:space="preserve"> 2025</w:t>
            </w:r>
          </w:p>
        </w:tc>
      </w:tr>
      <w:tr w:rsidR="00923ACD" w:rsidRPr="005537CD" w14:paraId="7A466971" w14:textId="77777777" w:rsidTr="00076AF0">
        <w:trPr>
          <w:cantSplit/>
          <w:trHeight w:val="23"/>
        </w:trPr>
        <w:tc>
          <w:tcPr>
            <w:tcW w:w="3969" w:type="dxa"/>
            <w:vMerge/>
          </w:tcPr>
          <w:p w14:paraId="42342788" w14:textId="77777777" w:rsidR="00923ACD" w:rsidRPr="005537CD" w:rsidRDefault="00923ACD" w:rsidP="00076AF0">
            <w:pPr>
              <w:tabs>
                <w:tab w:val="left" w:pos="851"/>
              </w:tabs>
              <w:spacing w:line="240" w:lineRule="atLeast"/>
              <w:rPr>
                <w:b/>
              </w:rPr>
            </w:pPr>
            <w:bookmarkStart w:id="8" w:name="dorlang" w:colFirst="1" w:colLast="1"/>
            <w:bookmarkEnd w:id="7"/>
          </w:p>
        </w:tc>
        <w:tc>
          <w:tcPr>
            <w:tcW w:w="5245" w:type="dxa"/>
          </w:tcPr>
          <w:p w14:paraId="65DD6A5D" w14:textId="292B5A08" w:rsidR="00923ACD" w:rsidRPr="005537CD" w:rsidRDefault="00923ACD" w:rsidP="00076AF0">
            <w:pPr>
              <w:tabs>
                <w:tab w:val="left" w:pos="851"/>
              </w:tabs>
              <w:spacing w:before="0" w:line="240" w:lineRule="atLeast"/>
              <w:jc w:val="right"/>
              <w:rPr>
                <w:b/>
              </w:rPr>
            </w:pPr>
            <w:r w:rsidRPr="005537CD">
              <w:rPr>
                <w:b/>
              </w:rPr>
              <w:t>English</w:t>
            </w:r>
            <w:r w:rsidR="00BB77B7" w:rsidRPr="005537CD">
              <w:rPr>
                <w:b/>
              </w:rPr>
              <w:t xml:space="preserve"> only</w:t>
            </w:r>
          </w:p>
        </w:tc>
      </w:tr>
      <w:tr w:rsidR="00923ACD" w:rsidRPr="005537CD" w14:paraId="1A266681" w14:textId="77777777" w:rsidTr="00076AF0">
        <w:trPr>
          <w:cantSplit/>
          <w:trHeight w:val="23"/>
        </w:trPr>
        <w:tc>
          <w:tcPr>
            <w:tcW w:w="3969" w:type="dxa"/>
          </w:tcPr>
          <w:p w14:paraId="7A481752" w14:textId="77777777" w:rsidR="00923ACD" w:rsidRPr="005537CD" w:rsidRDefault="00923ACD" w:rsidP="00076AF0">
            <w:pPr>
              <w:tabs>
                <w:tab w:val="left" w:pos="851"/>
              </w:tabs>
              <w:spacing w:line="240" w:lineRule="atLeast"/>
              <w:rPr>
                <w:b/>
              </w:rPr>
            </w:pPr>
          </w:p>
        </w:tc>
        <w:tc>
          <w:tcPr>
            <w:tcW w:w="5245" w:type="dxa"/>
          </w:tcPr>
          <w:p w14:paraId="3AB3ADFC" w14:textId="77777777" w:rsidR="00923ACD" w:rsidRPr="005537CD" w:rsidRDefault="00923ACD" w:rsidP="00076AF0">
            <w:pPr>
              <w:tabs>
                <w:tab w:val="left" w:pos="851"/>
              </w:tabs>
              <w:spacing w:before="0" w:line="240" w:lineRule="atLeast"/>
              <w:jc w:val="right"/>
              <w:rPr>
                <w:b/>
              </w:rPr>
            </w:pPr>
          </w:p>
        </w:tc>
      </w:tr>
      <w:tr w:rsidR="00923ACD" w:rsidRPr="005537CD" w14:paraId="33FBE6C9" w14:textId="77777777" w:rsidTr="00076AF0">
        <w:trPr>
          <w:cantSplit/>
        </w:trPr>
        <w:tc>
          <w:tcPr>
            <w:tcW w:w="9214" w:type="dxa"/>
            <w:gridSpan w:val="2"/>
            <w:tcMar>
              <w:left w:w="0" w:type="dxa"/>
            </w:tcMar>
          </w:tcPr>
          <w:p w14:paraId="4E37210E" w14:textId="1D473276" w:rsidR="00923ACD" w:rsidRPr="005537CD" w:rsidRDefault="00DA5FBE" w:rsidP="000309BE">
            <w:pPr>
              <w:pStyle w:val="Source"/>
              <w:framePr w:hSpace="0" w:wrap="auto" w:vAnchor="margin" w:hAnchor="text" w:xAlign="left" w:yAlign="inline"/>
            </w:pPr>
            <w:bookmarkStart w:id="9" w:name="dsource" w:colFirst="0" w:colLast="0"/>
            <w:bookmarkEnd w:id="8"/>
            <w:r w:rsidRPr="005537CD">
              <w:t xml:space="preserve">Contribution by </w:t>
            </w:r>
            <w:r w:rsidR="00F74513" w:rsidRPr="005537CD">
              <w:t>Armenia</w:t>
            </w:r>
            <w:r w:rsidR="00A21CE7">
              <w:t xml:space="preserve"> (Republic of)</w:t>
            </w:r>
            <w:r w:rsidR="00F74513" w:rsidRPr="005537CD">
              <w:t>, Belarus</w:t>
            </w:r>
            <w:r w:rsidR="00A21CE7">
              <w:t xml:space="preserve"> (Republic of)</w:t>
            </w:r>
            <w:r w:rsidR="00F74513" w:rsidRPr="005537CD">
              <w:t xml:space="preserve">, </w:t>
            </w:r>
            <w:r w:rsidR="00A21CE7">
              <w:t xml:space="preserve">the </w:t>
            </w:r>
            <w:r w:rsidR="000309BE" w:rsidRPr="005537CD">
              <w:t xml:space="preserve">Kyrgyz Republic, </w:t>
            </w:r>
            <w:r w:rsidR="001E1844" w:rsidRPr="005537CD">
              <w:t>Joint-Stock Company National Radio Technical Bureau</w:t>
            </w:r>
            <w:r w:rsidR="008212D0" w:rsidRPr="005537CD">
              <w:t>,</w:t>
            </w:r>
            <w:r w:rsidR="00A46F92" w:rsidRPr="005537CD">
              <w:t xml:space="preserve"> </w:t>
            </w:r>
            <w:r w:rsidR="00A21CE7">
              <w:t xml:space="preserve">and </w:t>
            </w:r>
            <w:r w:rsidR="00A46F92" w:rsidRPr="005537CD">
              <w:t>Center for Global IT-Cooperation</w:t>
            </w:r>
          </w:p>
        </w:tc>
      </w:tr>
      <w:tr w:rsidR="00923ACD" w:rsidRPr="005537CD" w14:paraId="3C0A704C" w14:textId="77777777" w:rsidTr="00076AF0">
        <w:trPr>
          <w:cantSplit/>
        </w:trPr>
        <w:tc>
          <w:tcPr>
            <w:tcW w:w="9214" w:type="dxa"/>
            <w:gridSpan w:val="2"/>
            <w:tcMar>
              <w:left w:w="0" w:type="dxa"/>
            </w:tcMar>
          </w:tcPr>
          <w:p w14:paraId="61D1788C" w14:textId="00048E63" w:rsidR="00923ACD" w:rsidRPr="005537CD" w:rsidRDefault="00ED518E" w:rsidP="00076AF0">
            <w:pPr>
              <w:pStyle w:val="Subtitle"/>
              <w:framePr w:hSpace="0" w:wrap="auto" w:xAlign="left" w:yAlign="inline"/>
            </w:pPr>
            <w:bookmarkStart w:id="10" w:name="dtitle1" w:colFirst="0" w:colLast="0"/>
            <w:bookmarkEnd w:id="9"/>
            <w:r w:rsidRPr="005537CD">
              <w:t>PROPOSALS RELATED TO THE IMPLEMENTATION OF AN ALTERNATIVE PROJECT FOR THE NEW ITU HEADQUARTERS BUILDING</w:t>
            </w:r>
          </w:p>
        </w:tc>
      </w:tr>
      <w:tr w:rsidR="00923ACD" w:rsidRPr="005537CD" w14:paraId="54003971" w14:textId="77777777" w:rsidTr="00076AF0">
        <w:trPr>
          <w:cantSplit/>
        </w:trPr>
        <w:tc>
          <w:tcPr>
            <w:tcW w:w="9214" w:type="dxa"/>
            <w:gridSpan w:val="2"/>
            <w:tcBorders>
              <w:top w:val="single" w:sz="4" w:space="0" w:color="auto"/>
              <w:bottom w:val="single" w:sz="4" w:space="0" w:color="auto"/>
            </w:tcBorders>
            <w:tcMar>
              <w:left w:w="0" w:type="dxa"/>
            </w:tcMar>
          </w:tcPr>
          <w:p w14:paraId="7782DA7D" w14:textId="0EAB8D6A" w:rsidR="00923ACD" w:rsidRPr="005537CD" w:rsidRDefault="00DA5FBE" w:rsidP="00076AF0">
            <w:pPr>
              <w:spacing w:before="160"/>
              <w:rPr>
                <w:b/>
                <w:bCs/>
                <w:sz w:val="26"/>
                <w:szCs w:val="26"/>
              </w:rPr>
            </w:pPr>
            <w:r w:rsidRPr="005537CD">
              <w:rPr>
                <w:b/>
                <w:bCs/>
                <w:sz w:val="26"/>
                <w:szCs w:val="26"/>
              </w:rPr>
              <w:t>Purpose</w:t>
            </w:r>
          </w:p>
          <w:p w14:paraId="47366EE8" w14:textId="0E4987E9" w:rsidR="00DA5FBE" w:rsidRPr="005537CD" w:rsidRDefault="00DA5FBE" w:rsidP="00DA5FBE">
            <w:pPr>
              <w:spacing w:before="160"/>
              <w:jc w:val="both"/>
            </w:pPr>
            <w:r w:rsidRPr="005537CD">
              <w:t>The contribution aims to promote an efficient and effective approach to the implementation of the new ITU headquarters building project.</w:t>
            </w:r>
          </w:p>
          <w:p w14:paraId="41253CE7" w14:textId="459383DC" w:rsidR="00923ACD" w:rsidRPr="005537CD" w:rsidRDefault="00DA5FBE" w:rsidP="00076AF0">
            <w:pPr>
              <w:spacing w:before="160"/>
              <w:rPr>
                <w:b/>
                <w:bCs/>
                <w:sz w:val="26"/>
                <w:szCs w:val="26"/>
              </w:rPr>
            </w:pPr>
            <w:r w:rsidRPr="005537CD">
              <w:rPr>
                <w:b/>
                <w:bCs/>
                <w:sz w:val="26"/>
                <w:szCs w:val="26"/>
              </w:rPr>
              <w:t>Action required</w:t>
            </w:r>
          </w:p>
          <w:p w14:paraId="4C9E537E" w14:textId="6E08F985" w:rsidR="00923ACD" w:rsidRPr="005537CD" w:rsidRDefault="00DA5FBE" w:rsidP="00DA5FBE">
            <w:pPr>
              <w:jc w:val="both"/>
            </w:pPr>
            <w:r w:rsidRPr="005537CD">
              <w:t xml:space="preserve">The Council Working Group on Financial and Human Resources is invited to </w:t>
            </w:r>
            <w:r w:rsidRPr="00A21CE7">
              <w:rPr>
                <w:b/>
                <w:bCs/>
              </w:rPr>
              <w:t>adopt</w:t>
            </w:r>
            <w:r w:rsidRPr="005537CD">
              <w:t xml:space="preserve"> the general approach outlined in this document</w:t>
            </w:r>
            <w:r w:rsidR="00923ACD" w:rsidRPr="005537CD">
              <w:t>.</w:t>
            </w:r>
          </w:p>
          <w:p w14:paraId="70F5DFFD" w14:textId="77777777" w:rsidR="00923ACD" w:rsidRPr="005537CD" w:rsidRDefault="00923ACD" w:rsidP="00076AF0">
            <w:r w:rsidRPr="005537CD">
              <w:t>_______________</w:t>
            </w:r>
          </w:p>
          <w:p w14:paraId="239ED73C" w14:textId="64EAC451" w:rsidR="00923ACD" w:rsidRPr="005537CD" w:rsidRDefault="006C79EB" w:rsidP="00076AF0">
            <w:pPr>
              <w:spacing w:before="160"/>
              <w:rPr>
                <w:b/>
                <w:bCs/>
                <w:sz w:val="26"/>
                <w:szCs w:val="26"/>
              </w:rPr>
            </w:pPr>
            <w:r w:rsidRPr="005537CD">
              <w:rPr>
                <w:b/>
                <w:bCs/>
                <w:sz w:val="26"/>
                <w:szCs w:val="26"/>
              </w:rPr>
              <w:t>References</w:t>
            </w:r>
            <w:r w:rsidR="00923ACD" w:rsidRPr="005537CD">
              <w:rPr>
                <w:b/>
                <w:bCs/>
                <w:sz w:val="26"/>
                <w:szCs w:val="26"/>
              </w:rPr>
              <w:t xml:space="preserve"> </w:t>
            </w:r>
          </w:p>
          <w:p w14:paraId="1FB3E90C" w14:textId="3AB6812D" w:rsidR="00923ACD" w:rsidRPr="005537CD" w:rsidRDefault="00DA5FBE" w:rsidP="00076AF0">
            <w:pPr>
              <w:spacing w:after="160"/>
              <w:rPr>
                <w:i/>
                <w:iCs/>
                <w:sz w:val="22"/>
                <w:szCs w:val="22"/>
              </w:rPr>
            </w:pPr>
            <w:r w:rsidRPr="005537CD">
              <w:rPr>
                <w:i/>
                <w:iCs/>
                <w:sz w:val="22"/>
                <w:szCs w:val="22"/>
              </w:rPr>
              <w:t xml:space="preserve">PP </w:t>
            </w:r>
            <w:r w:rsidR="00DA61AC" w:rsidRPr="005537CD">
              <w:rPr>
                <w:i/>
                <w:iCs/>
                <w:sz w:val="22"/>
                <w:szCs w:val="22"/>
              </w:rPr>
              <w:t xml:space="preserve">Resolution </w:t>
            </w:r>
            <w:r w:rsidRPr="005537CD">
              <w:rPr>
                <w:i/>
                <w:iCs/>
                <w:sz w:val="22"/>
                <w:szCs w:val="22"/>
              </w:rPr>
              <w:t>212</w:t>
            </w:r>
            <w:r w:rsidR="005537CD" w:rsidRPr="005537CD">
              <w:rPr>
                <w:i/>
                <w:iCs/>
                <w:sz w:val="22"/>
                <w:szCs w:val="22"/>
              </w:rPr>
              <w:t xml:space="preserve"> (Rev. Dubai, 2022)</w:t>
            </w:r>
            <w:r w:rsidR="00923ACD" w:rsidRPr="005537CD">
              <w:rPr>
                <w:i/>
                <w:iCs/>
                <w:sz w:val="22"/>
                <w:szCs w:val="22"/>
              </w:rPr>
              <w:t xml:space="preserve">, </w:t>
            </w:r>
            <w:hyperlink r:id="rId11" w:history="1">
              <w:r w:rsidRPr="005537CD">
                <w:rPr>
                  <w:rStyle w:val="Hyperlink"/>
                  <w:i/>
                  <w:iCs/>
                  <w:sz w:val="22"/>
                  <w:szCs w:val="22"/>
                </w:rPr>
                <w:t>Decision 640</w:t>
              </w:r>
            </w:hyperlink>
            <w:r w:rsidR="00923ACD" w:rsidRPr="005537CD">
              <w:rPr>
                <w:i/>
                <w:iCs/>
                <w:sz w:val="22"/>
                <w:szCs w:val="22"/>
              </w:rPr>
              <w:t xml:space="preserve">, </w:t>
            </w:r>
            <w:hyperlink r:id="rId12" w:history="1">
              <w:r w:rsidR="00923ACD" w:rsidRPr="005537CD">
                <w:rPr>
                  <w:rStyle w:val="Hyperlink"/>
                  <w:i/>
                  <w:iCs/>
                  <w:sz w:val="22"/>
                  <w:szCs w:val="22"/>
                </w:rPr>
                <w:t>CL-24/52</w:t>
              </w:r>
            </w:hyperlink>
          </w:p>
        </w:tc>
      </w:tr>
      <w:bookmarkEnd w:id="2"/>
      <w:bookmarkEnd w:id="10"/>
    </w:tbl>
    <w:p w14:paraId="7B0C1C14" w14:textId="77777777" w:rsidR="00923ACD" w:rsidRPr="005537CD" w:rsidRDefault="00923ACD">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00B929D4" w14:textId="5F1A2312" w:rsidR="0090147A" w:rsidRPr="005537C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537CD">
        <w:br w:type="page"/>
      </w:r>
    </w:p>
    <w:bookmarkEnd w:id="5"/>
    <w:bookmarkEnd w:id="6"/>
    <w:p w14:paraId="2E189C99" w14:textId="227AD1C3" w:rsidR="00CF53A4" w:rsidRPr="005537CD" w:rsidRDefault="00CF53A4" w:rsidP="005537CD">
      <w:pPr>
        <w:pStyle w:val="Heading1"/>
      </w:pPr>
      <w:r w:rsidRPr="005537CD">
        <w:lastRenderedPageBreak/>
        <w:t>1</w:t>
      </w:r>
      <w:r w:rsidR="00DA61AC" w:rsidRPr="005537CD">
        <w:tab/>
      </w:r>
      <w:r w:rsidR="00DA5FBE" w:rsidRPr="005537CD">
        <w:t>General information</w:t>
      </w:r>
    </w:p>
    <w:p w14:paraId="22E6C1A6" w14:textId="79712878" w:rsidR="00DA5FBE" w:rsidRPr="005537CD" w:rsidRDefault="00DA5FBE" w:rsidP="005537CD">
      <w:pPr>
        <w:jc w:val="both"/>
      </w:pPr>
      <w:r w:rsidRPr="005537CD">
        <w:t xml:space="preserve">The approach to the new ITU headquarters building’s project, as set out in Resolution 212 </w:t>
      </w:r>
      <w:r w:rsidR="005537CD" w:rsidRPr="005537CD">
        <w:t xml:space="preserve">(Rev. Dubai, 2022) </w:t>
      </w:r>
      <w:r w:rsidRPr="005537CD">
        <w:t>of the ITU Plenipotentiary Conference, also provided in Council Decisions</w:t>
      </w:r>
      <w:r w:rsidR="005537CD" w:rsidRPr="005537CD">
        <w:t> </w:t>
      </w:r>
      <w:r w:rsidRPr="005537CD">
        <w:t xml:space="preserve">588 and 619 for the replacement of the </w:t>
      </w:r>
      <w:proofErr w:type="spellStart"/>
      <w:r w:rsidRPr="005537CD">
        <w:t>Varembé</w:t>
      </w:r>
      <w:proofErr w:type="spellEnd"/>
      <w:r w:rsidRPr="005537CD">
        <w:t xml:space="preserve"> building with a new building that would also take into account the office and other functional spaces of the Tower building, </w:t>
      </w:r>
      <w:r w:rsidR="00325014" w:rsidRPr="005537CD">
        <w:t>in</w:t>
      </w:r>
      <w:r w:rsidRPr="005537CD">
        <w:t xml:space="preserve"> addition </w:t>
      </w:r>
      <w:r w:rsidR="00325014" w:rsidRPr="005537CD">
        <w:t>to</w:t>
      </w:r>
      <w:r w:rsidRPr="005537CD">
        <w:t xml:space="preserve"> the Montbrillant building, which would be retained and refurbished.</w:t>
      </w:r>
    </w:p>
    <w:p w14:paraId="099FAF6F" w14:textId="77777777" w:rsidR="00DA5FBE" w:rsidRPr="005537CD" w:rsidRDefault="00DA5FBE" w:rsidP="005537CD">
      <w:pPr>
        <w:jc w:val="both"/>
      </w:pPr>
      <w:r w:rsidRPr="005537CD">
        <w:t>At the same time, it was planned to sell the Tower building.</w:t>
      </w:r>
    </w:p>
    <w:p w14:paraId="3397B6A5" w14:textId="4E19FCA8" w:rsidR="00DA5FBE" w:rsidRPr="005537CD" w:rsidRDefault="00DA5FBE" w:rsidP="005537CD">
      <w:pPr>
        <w:jc w:val="both"/>
      </w:pPr>
      <w:r w:rsidRPr="005537CD">
        <w:t>However, it turned out to be difficult to implement the project in this form due to the sharply increased projected costs, significantly exceeding the planned budget of the project.</w:t>
      </w:r>
    </w:p>
    <w:p w14:paraId="38FD7E33" w14:textId="515628FA" w:rsidR="004054A7" w:rsidRPr="005537CD" w:rsidRDefault="004054A7" w:rsidP="005537CD">
      <w:pPr>
        <w:pStyle w:val="Heading1"/>
      </w:pPr>
      <w:r w:rsidRPr="005537CD">
        <w:t>2</w:t>
      </w:r>
      <w:r w:rsidR="00DA61AC" w:rsidRPr="005537CD">
        <w:tab/>
      </w:r>
      <w:r w:rsidR="00F05A19" w:rsidRPr="005537CD">
        <w:t>Status</w:t>
      </w:r>
    </w:p>
    <w:p w14:paraId="1116F425" w14:textId="302F9561" w:rsidR="00DA5FBE" w:rsidRPr="005537CD" w:rsidRDefault="00DA5FBE" w:rsidP="005537CD">
      <w:pPr>
        <w:jc w:val="both"/>
      </w:pPr>
      <w:bookmarkStart w:id="11" w:name="_Hlk187862972"/>
      <w:r w:rsidRPr="005537CD">
        <w:t>During its 2024 session, the ITU Council decided to proceed with the implementation of an alternative project for the ITU headquarters premises, with a re-evaluation (</w:t>
      </w:r>
      <w:hyperlink r:id="rId13" w:history="1">
        <w:r w:rsidRPr="005537CD">
          <w:rPr>
            <w:rStyle w:val="Hyperlink"/>
          </w:rPr>
          <w:t>Decision 640</w:t>
        </w:r>
      </w:hyperlink>
      <w:r w:rsidRPr="005537CD">
        <w:t>), which has now received the agreement of the majority of the Member States of the Union (</w:t>
      </w:r>
      <w:r w:rsidR="00DA61AC" w:rsidRPr="005537CD">
        <w:t xml:space="preserve">Circular Letter </w:t>
      </w:r>
      <w:hyperlink r:id="rId14" w:history="1">
        <w:r w:rsidRPr="005537CD">
          <w:rPr>
            <w:rStyle w:val="Hyperlink"/>
          </w:rPr>
          <w:t>CL-24/49</w:t>
        </w:r>
        <w:r w:rsidRPr="005537CD">
          <w:rPr>
            <w:rStyle w:val="Hyperlink"/>
            <w:color w:val="auto"/>
            <w:u w:val="none"/>
          </w:rPr>
          <w:t>).</w:t>
        </w:r>
      </w:hyperlink>
    </w:p>
    <w:p w14:paraId="562D7CF5" w14:textId="77777777" w:rsidR="00F05A19" w:rsidRPr="005537CD" w:rsidRDefault="00F05A19" w:rsidP="005537CD">
      <w:pPr>
        <w:jc w:val="both"/>
      </w:pPr>
      <w:r w:rsidRPr="005537CD">
        <w:t xml:space="preserve">In accordance with this decision, ITU has started developing a new project based on the revised and approved scope of work. </w:t>
      </w:r>
    </w:p>
    <w:p w14:paraId="3B87A468" w14:textId="28C9862F" w:rsidR="00F05A19" w:rsidRPr="005537CD" w:rsidRDefault="00F05A19" w:rsidP="005537CD">
      <w:pPr>
        <w:jc w:val="both"/>
      </w:pPr>
      <w:r w:rsidRPr="005537CD">
        <w:t xml:space="preserve">A new tender will be launched for the provision of planning, architecture and design services for the new </w:t>
      </w:r>
      <w:proofErr w:type="spellStart"/>
      <w:r w:rsidRPr="005537CD">
        <w:t>Varembé</w:t>
      </w:r>
      <w:proofErr w:type="spellEnd"/>
      <w:r w:rsidRPr="005537CD">
        <w:t xml:space="preserve"> building project.</w:t>
      </w:r>
    </w:p>
    <w:bookmarkEnd w:id="11"/>
    <w:p w14:paraId="7C9A2261" w14:textId="3D9B45FE" w:rsidR="004054A7" w:rsidRPr="005537CD" w:rsidRDefault="004054A7" w:rsidP="005537CD">
      <w:pPr>
        <w:pStyle w:val="Heading1"/>
      </w:pPr>
      <w:r w:rsidRPr="005537CD">
        <w:t>3</w:t>
      </w:r>
      <w:r w:rsidR="005537CD" w:rsidRPr="005537CD">
        <w:tab/>
      </w:r>
      <w:r w:rsidR="00F05A19" w:rsidRPr="005537CD">
        <w:t>Proposal</w:t>
      </w:r>
    </w:p>
    <w:p w14:paraId="067AFE11" w14:textId="5B6A7DD4" w:rsidR="00F05A19" w:rsidRPr="005537CD" w:rsidRDefault="00522B70" w:rsidP="005537CD">
      <w:pPr>
        <w:jc w:val="both"/>
      </w:pPr>
      <w:r w:rsidRPr="005537CD">
        <w:t>To</w:t>
      </w:r>
      <w:r w:rsidR="00F05A19" w:rsidRPr="005537CD">
        <w:t xml:space="preserve"> make efficient use of the Union's resources in implementing a project that fully </w:t>
      </w:r>
      <w:r w:rsidR="000040EA" w:rsidRPr="005537CD">
        <w:t>considers</w:t>
      </w:r>
      <w:r w:rsidR="00F05A19" w:rsidRPr="005537CD">
        <w:t xml:space="preserve"> the needs of Member States and Sector Members for the premises and equipment of the new ITU headquarters in Geneva, the authors of the contribution propose the following:</w:t>
      </w:r>
    </w:p>
    <w:p w14:paraId="01C8BBD7" w14:textId="0EBB2C32" w:rsidR="00BB4730" w:rsidRPr="005537CD" w:rsidRDefault="00F05A19" w:rsidP="00ED518E">
      <w:pPr>
        <w:pStyle w:val="enumlev1"/>
        <w:jc w:val="both"/>
      </w:pPr>
      <w:r w:rsidRPr="005537CD">
        <w:t>3.1</w:t>
      </w:r>
      <w:r w:rsidR="005537CD" w:rsidRPr="005537CD">
        <w:tab/>
      </w:r>
      <w:r w:rsidRPr="005537CD">
        <w:t xml:space="preserve">To focus the planning, architectural and design work for the new ITU headquarters building project exclusively on the development of a building design to replace the existing </w:t>
      </w:r>
      <w:proofErr w:type="spellStart"/>
      <w:r w:rsidRPr="005537CD">
        <w:t>Varembé</w:t>
      </w:r>
      <w:proofErr w:type="spellEnd"/>
      <w:r w:rsidRPr="005537CD">
        <w:t xml:space="preserve"> building</w:t>
      </w:r>
      <w:r w:rsidR="000219B1" w:rsidRPr="005537CD">
        <w:t xml:space="preserve"> </w:t>
      </w:r>
      <w:r w:rsidR="00BB4730" w:rsidRPr="005537CD">
        <w:t xml:space="preserve">that will </w:t>
      </w:r>
      <w:r w:rsidR="00E72754" w:rsidRPr="005537CD">
        <w:t xml:space="preserve">comply with the set of parameters already agreed by </w:t>
      </w:r>
      <w:r w:rsidR="00880C9A" w:rsidRPr="005537CD">
        <w:t xml:space="preserve">the </w:t>
      </w:r>
      <w:r w:rsidR="00E72754" w:rsidRPr="005537CD">
        <w:t xml:space="preserve">Council </w:t>
      </w:r>
      <w:r w:rsidR="00880C9A" w:rsidRPr="005537CD">
        <w:t>in its</w:t>
      </w:r>
      <w:r w:rsidR="00E72754" w:rsidRPr="005537CD">
        <w:t xml:space="preserve"> Decision 640</w:t>
      </w:r>
      <w:r w:rsidR="00880C9A" w:rsidRPr="005537CD">
        <w:t xml:space="preserve"> (C24)</w:t>
      </w:r>
      <w:r w:rsidR="00E72754" w:rsidRPr="005537CD">
        <w:t xml:space="preserve"> and have technical autonomy (electricity, heating, air conditioning, water supply, sewerage)</w:t>
      </w:r>
      <w:r w:rsidR="00552C4F" w:rsidRPr="005537CD">
        <w:t xml:space="preserve"> and flexibility (</w:t>
      </w:r>
      <w:r w:rsidR="00C60847" w:rsidRPr="005537CD">
        <w:t>walk</w:t>
      </w:r>
      <w:r w:rsidR="009B6D8F" w:rsidRPr="005537CD">
        <w:t xml:space="preserve">-through </w:t>
      </w:r>
      <w:r w:rsidR="00C60847" w:rsidRPr="005537CD">
        <w:t xml:space="preserve">access </w:t>
      </w:r>
      <w:r w:rsidR="00E72754" w:rsidRPr="005537CD">
        <w:t xml:space="preserve">with the </w:t>
      </w:r>
      <w:r w:rsidR="00292DF4" w:rsidRPr="005537CD">
        <w:t>access differentiation</w:t>
      </w:r>
      <w:r w:rsidR="00552C4F" w:rsidRPr="005537CD">
        <w:t>)</w:t>
      </w:r>
      <w:r w:rsidR="00E72754" w:rsidRPr="005537CD">
        <w:t xml:space="preserve">, </w:t>
      </w:r>
      <w:r w:rsidR="00BB4730" w:rsidRPr="005537CD">
        <w:t xml:space="preserve">to allow the new </w:t>
      </w:r>
      <w:proofErr w:type="spellStart"/>
      <w:r w:rsidR="00BB4730" w:rsidRPr="005537CD">
        <w:t>Varembé</w:t>
      </w:r>
      <w:proofErr w:type="spellEnd"/>
      <w:r w:rsidR="00BB4730" w:rsidRPr="005537CD">
        <w:t xml:space="preserve"> building to operate with the Tower and/or Montbrillant buildings either separately or with both as part of the overall ITU headquarters building complex. This approach will enhance future opportunities for informed decision-making by Member States at the 2026 Plenipotentiary Conference.</w:t>
      </w:r>
    </w:p>
    <w:p w14:paraId="1BC1CB15" w14:textId="43EB11B4" w:rsidR="00F05A19" w:rsidRPr="005537CD" w:rsidRDefault="00F05A19" w:rsidP="00ED518E">
      <w:pPr>
        <w:pStyle w:val="enumlev1"/>
        <w:jc w:val="both"/>
      </w:pPr>
      <w:r w:rsidRPr="005537CD">
        <w:t>3.2</w:t>
      </w:r>
      <w:r w:rsidR="005537CD" w:rsidRPr="005537CD">
        <w:tab/>
      </w:r>
      <w:r w:rsidRPr="005537CD">
        <w:t>To study the issue and prepare recommendations to the Council and subsequently to the 2026 Plenipotentiary Conference on the following options:</w:t>
      </w:r>
    </w:p>
    <w:p w14:paraId="74989268" w14:textId="3DFF09BA" w:rsidR="00F05A19" w:rsidRPr="005537CD" w:rsidRDefault="005537CD" w:rsidP="005537CD">
      <w:pPr>
        <w:pStyle w:val="enumlev2"/>
        <w:jc w:val="both"/>
      </w:pPr>
      <w:r w:rsidRPr="005537CD">
        <w:t>–</w:t>
      </w:r>
      <w:r w:rsidRPr="005537CD">
        <w:tab/>
      </w:r>
      <w:r w:rsidR="00F05A19" w:rsidRPr="005537CD">
        <w:t xml:space="preserve">to retain the Tower and </w:t>
      </w:r>
      <w:proofErr w:type="spellStart"/>
      <w:r w:rsidR="00F05A19" w:rsidRPr="005537CD">
        <w:t>Varembé</w:t>
      </w:r>
      <w:proofErr w:type="spellEnd"/>
      <w:r w:rsidR="00F05A19" w:rsidRPr="005537CD">
        <w:t xml:space="preserve"> buildings in a single complex of buildings for the future ITU headquarters, taking into account their existing unified architectural and technical coherence, their compliance with the needs for meeting and staff space, and the recognition of the Tower building as a symbol of ITU;</w:t>
      </w:r>
    </w:p>
    <w:p w14:paraId="6C307FBF" w14:textId="1B2AD03A" w:rsidR="003A59EC" w:rsidRPr="005537CD" w:rsidRDefault="005537CD" w:rsidP="005537CD">
      <w:pPr>
        <w:pStyle w:val="enumlev2"/>
        <w:jc w:val="both"/>
      </w:pPr>
      <w:r w:rsidRPr="005537CD">
        <w:lastRenderedPageBreak/>
        <w:t>–</w:t>
      </w:r>
      <w:r w:rsidRPr="005537CD">
        <w:tab/>
      </w:r>
      <w:r w:rsidR="003A59EC" w:rsidRPr="005537CD">
        <w:t xml:space="preserve">to identify other alternative financing strategies to offset capital expenditure, including but not limited to considering </w:t>
      </w:r>
      <w:r w:rsidR="004157AC" w:rsidRPr="005537CD">
        <w:t>the sale of the Montbrillant building,</w:t>
      </w:r>
      <w:r w:rsidR="003A59EC" w:rsidRPr="005537CD">
        <w:t xml:space="preserve"> which is inferior in both architectural style and technical terms to the Tower buildings and the future </w:t>
      </w:r>
      <w:proofErr w:type="spellStart"/>
      <w:r w:rsidR="003A59EC" w:rsidRPr="005537CD">
        <w:t>Varembé</w:t>
      </w:r>
      <w:proofErr w:type="spellEnd"/>
      <w:r w:rsidR="003A59EC" w:rsidRPr="005537CD">
        <w:t xml:space="preserve"> building, to cover part of the funds spent on the project.</w:t>
      </w:r>
    </w:p>
    <w:p w14:paraId="3E6DF639" w14:textId="77777777" w:rsidR="005537CD" w:rsidRPr="005537CD" w:rsidRDefault="005537CD" w:rsidP="005537CD"/>
    <w:p w14:paraId="17C3AABC" w14:textId="5ECA0FDB" w:rsidR="005537CD" w:rsidRPr="005537CD" w:rsidRDefault="005537CD" w:rsidP="005537CD">
      <w:pPr>
        <w:jc w:val="center"/>
      </w:pPr>
      <w:r w:rsidRPr="005537CD">
        <w:t>______________</w:t>
      </w:r>
    </w:p>
    <w:sectPr w:rsidR="005537CD" w:rsidRPr="005537CD" w:rsidSect="001E207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EAE9" w14:textId="77777777" w:rsidR="00FA4D73" w:rsidRDefault="00FA4D73">
      <w:r>
        <w:separator/>
      </w:r>
    </w:p>
  </w:endnote>
  <w:endnote w:type="continuationSeparator" w:id="0">
    <w:p w14:paraId="5A0A3276" w14:textId="77777777" w:rsidR="00FA4D73" w:rsidRDefault="00FA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537CD" w:rsidRPr="00B248BC" w14:paraId="1BF83B7C" w14:textId="77777777" w:rsidTr="00512B54">
      <w:trPr>
        <w:jc w:val="center"/>
      </w:trPr>
      <w:tc>
        <w:tcPr>
          <w:tcW w:w="1803" w:type="dxa"/>
          <w:vAlign w:val="center"/>
        </w:tcPr>
        <w:p w14:paraId="7803315E" w14:textId="77777777" w:rsidR="005537CD" w:rsidRDefault="005537CD" w:rsidP="005537CD">
          <w:pPr>
            <w:pStyle w:val="Header"/>
            <w:jc w:val="left"/>
            <w:rPr>
              <w:noProof/>
            </w:rPr>
          </w:pPr>
        </w:p>
      </w:tc>
      <w:tc>
        <w:tcPr>
          <w:tcW w:w="8261" w:type="dxa"/>
        </w:tcPr>
        <w:p w14:paraId="2D89D68A" w14:textId="072562ED" w:rsidR="005537CD" w:rsidRPr="00BA3A51" w:rsidRDefault="005537CD" w:rsidP="005537CD">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20/27</w:t>
          </w:r>
          <w:r w:rsidRPr="00BA3A51">
            <w:rPr>
              <w:bCs/>
              <w:lang w:val="fr-CH"/>
            </w:rPr>
            <w:t>-E</w:t>
          </w:r>
          <w:r w:rsidRPr="00BA3A51">
            <w:rPr>
              <w:bCs/>
              <w:lang w:val="fr-CH"/>
            </w:rPr>
            <w:tab/>
          </w:r>
          <w:r>
            <w:fldChar w:fldCharType="begin"/>
          </w:r>
          <w:r w:rsidRPr="00BA3A51">
            <w:rPr>
              <w:lang w:val="fr-CH"/>
            </w:rPr>
            <w:instrText>PAGE</w:instrText>
          </w:r>
          <w:r>
            <w:fldChar w:fldCharType="separate"/>
          </w:r>
          <w:r>
            <w:t>2</w:t>
          </w:r>
          <w:r>
            <w:rPr>
              <w:noProof/>
            </w:rPr>
            <w:fldChar w:fldCharType="end"/>
          </w:r>
        </w:p>
      </w:tc>
    </w:tr>
  </w:tbl>
  <w:p w14:paraId="4A535DC2" w14:textId="77777777" w:rsidR="005537CD" w:rsidRDefault="0055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5537CD" w:rsidRPr="000F6AB8" w14:paraId="2B0DF16A" w14:textId="77777777" w:rsidTr="00512B54">
      <w:trPr>
        <w:jc w:val="center"/>
      </w:trPr>
      <w:tc>
        <w:tcPr>
          <w:tcW w:w="3107" w:type="dxa"/>
          <w:vAlign w:val="center"/>
        </w:tcPr>
        <w:p w14:paraId="7EE22880" w14:textId="77777777" w:rsidR="005537CD" w:rsidRPr="00191EA3" w:rsidRDefault="005537CD" w:rsidP="005537CD">
          <w:pPr>
            <w:pStyle w:val="Header"/>
            <w:jc w:val="left"/>
            <w:rPr>
              <w:noProof/>
            </w:rPr>
          </w:pPr>
          <w:hyperlink r:id="rId1" w:history="1">
            <w:r w:rsidRPr="00191EA3">
              <w:rPr>
                <w:rStyle w:val="Hyperlink"/>
                <w:u w:val="none"/>
              </w:rPr>
              <w:t>https://council.itu.int/working-groups</w:t>
            </w:r>
          </w:hyperlink>
        </w:p>
      </w:tc>
      <w:tc>
        <w:tcPr>
          <w:tcW w:w="6957" w:type="dxa"/>
        </w:tcPr>
        <w:p w14:paraId="4538B1E8" w14:textId="3080DA7C" w:rsidR="005537CD" w:rsidRPr="000F6AB8" w:rsidRDefault="005537CD" w:rsidP="005537CD">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CWG-FHR-2</w:t>
          </w:r>
          <w:r>
            <w:rPr>
              <w:bCs/>
              <w:lang w:val="es-ES"/>
            </w:rPr>
            <w:t>0</w:t>
          </w:r>
          <w:r w:rsidRPr="000F6AB8">
            <w:rPr>
              <w:bCs/>
              <w:lang w:val="es-ES"/>
            </w:rPr>
            <w:t>/</w:t>
          </w:r>
          <w:r>
            <w:rPr>
              <w:bCs/>
              <w:lang w:val="es-ES"/>
            </w:rPr>
            <w:t>27</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7CAC73C4" w14:textId="77777777" w:rsidR="005537CD" w:rsidRDefault="0055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5B00A" w14:textId="77777777" w:rsidR="00FA4D73" w:rsidRDefault="00FA4D73">
      <w:r>
        <w:t>____________________</w:t>
      </w:r>
    </w:p>
  </w:footnote>
  <w:footnote w:type="continuationSeparator" w:id="0">
    <w:p w14:paraId="3A58BF27" w14:textId="77777777" w:rsidR="00FA4D73" w:rsidRDefault="00FA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923ACD" w:rsidRPr="00784011" w14:paraId="3ABBA952" w14:textId="77777777" w:rsidTr="00F74694">
      <w:trPr>
        <w:trHeight w:val="1304"/>
        <w:jc w:val="center"/>
      </w:trPr>
      <w:tc>
        <w:tcPr>
          <w:tcW w:w="6546" w:type="dxa"/>
        </w:tcPr>
        <w:p w14:paraId="7D5855B8" w14:textId="77777777" w:rsidR="00923ACD" w:rsidRPr="009621F8" w:rsidRDefault="00923ACD"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5408" behindDoc="0" locked="0" layoutInCell="1" allowOverlap="1" wp14:anchorId="6D9585AB" wp14:editId="1C35E004">
                    <wp:simplePos x="0" y="0"/>
                    <wp:positionH relativeFrom="column">
                      <wp:posOffset>1436426</wp:posOffset>
                    </wp:positionH>
                    <wp:positionV relativeFrom="paragraph">
                      <wp:posOffset>5715</wp:posOffset>
                    </wp:positionV>
                    <wp:extent cx="3999230" cy="471170"/>
                    <wp:effectExtent l="0" t="0" r="1270" b="1270"/>
                    <wp:wrapNone/>
                    <wp:docPr id="1546974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2FB863B" w14:textId="77777777" w:rsidR="00923ACD" w:rsidRDefault="00923ACD"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9585AB"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2FB863B" w14:textId="77777777" w:rsidR="00923ACD" w:rsidRDefault="00923ACD"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59DFCCB2" wp14:editId="79BCC14C">
                <wp:extent cx="3671597" cy="612000"/>
                <wp:effectExtent l="0" t="0" r="0" b="0"/>
                <wp:docPr id="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0DD73E5" w14:textId="77777777" w:rsidR="00923ACD" w:rsidRDefault="00923ACD" w:rsidP="00AD3606">
          <w:pPr>
            <w:pStyle w:val="Header"/>
            <w:jc w:val="right"/>
            <w:rPr>
              <w:rFonts w:ascii="Arial" w:hAnsi="Arial" w:cs="Arial"/>
              <w:b/>
              <w:bCs/>
              <w:color w:val="009CD6"/>
              <w:szCs w:val="18"/>
            </w:rPr>
          </w:pPr>
        </w:p>
        <w:p w14:paraId="0AB4025E" w14:textId="77777777" w:rsidR="00923ACD" w:rsidRDefault="00923ACD" w:rsidP="00AD3606">
          <w:pPr>
            <w:pStyle w:val="Header"/>
            <w:jc w:val="right"/>
            <w:rPr>
              <w:rFonts w:ascii="Arial" w:hAnsi="Arial" w:cs="Arial"/>
              <w:b/>
              <w:bCs/>
              <w:color w:val="009CD6"/>
              <w:szCs w:val="18"/>
            </w:rPr>
          </w:pPr>
        </w:p>
        <w:p w14:paraId="36CB9263" w14:textId="77777777" w:rsidR="00923ACD" w:rsidRPr="00784011" w:rsidRDefault="00923ACD"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C5B81F6" w14:textId="77777777" w:rsidR="00923ACD" w:rsidRDefault="00923ACD">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64384" behindDoc="0" locked="0" layoutInCell="1" allowOverlap="1" wp14:anchorId="59506B62" wp14:editId="7D34624B">
              <wp:simplePos x="0" y="0"/>
              <wp:positionH relativeFrom="page">
                <wp:posOffset>14605</wp:posOffset>
              </wp:positionH>
              <wp:positionV relativeFrom="topMargin">
                <wp:posOffset>555625</wp:posOffset>
              </wp:positionV>
              <wp:extent cx="93345" cy="431800"/>
              <wp:effectExtent l="0" t="0" r="1905" b="6350"/>
              <wp:wrapNone/>
              <wp:docPr id="14787039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0214" id="Rectangle 5"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279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3A4"/>
    <w:rsid w:val="000040EA"/>
    <w:rsid w:val="000120E4"/>
    <w:rsid w:val="000210D4"/>
    <w:rsid w:val="000219B1"/>
    <w:rsid w:val="000309BE"/>
    <w:rsid w:val="00063016"/>
    <w:rsid w:val="00066795"/>
    <w:rsid w:val="00076AF6"/>
    <w:rsid w:val="00085CF2"/>
    <w:rsid w:val="0009142A"/>
    <w:rsid w:val="000B1705"/>
    <w:rsid w:val="000D75B2"/>
    <w:rsid w:val="000F6AB8"/>
    <w:rsid w:val="001121F5"/>
    <w:rsid w:val="001158F9"/>
    <w:rsid w:val="00116890"/>
    <w:rsid w:val="00130599"/>
    <w:rsid w:val="001400DC"/>
    <w:rsid w:val="00140CE1"/>
    <w:rsid w:val="00147A6E"/>
    <w:rsid w:val="00147C54"/>
    <w:rsid w:val="0015706A"/>
    <w:rsid w:val="0017539C"/>
    <w:rsid w:val="00175AC2"/>
    <w:rsid w:val="0017609F"/>
    <w:rsid w:val="00191EA3"/>
    <w:rsid w:val="001A105C"/>
    <w:rsid w:val="001A6087"/>
    <w:rsid w:val="001A7D1D"/>
    <w:rsid w:val="001B225A"/>
    <w:rsid w:val="001B51DD"/>
    <w:rsid w:val="001C628E"/>
    <w:rsid w:val="001D2D22"/>
    <w:rsid w:val="001E0F7B"/>
    <w:rsid w:val="001E0FBE"/>
    <w:rsid w:val="001E1844"/>
    <w:rsid w:val="001E2076"/>
    <w:rsid w:val="001E5FE7"/>
    <w:rsid w:val="002119FD"/>
    <w:rsid w:val="002130E0"/>
    <w:rsid w:val="00244F7F"/>
    <w:rsid w:val="0025570E"/>
    <w:rsid w:val="002608B7"/>
    <w:rsid w:val="00264425"/>
    <w:rsid w:val="00265875"/>
    <w:rsid w:val="0027303B"/>
    <w:rsid w:val="0028109B"/>
    <w:rsid w:val="00292DF4"/>
    <w:rsid w:val="002A2188"/>
    <w:rsid w:val="002B1F58"/>
    <w:rsid w:val="002C1C7A"/>
    <w:rsid w:val="002C54E2"/>
    <w:rsid w:val="002E0AC3"/>
    <w:rsid w:val="0030160F"/>
    <w:rsid w:val="00301AEE"/>
    <w:rsid w:val="003145DF"/>
    <w:rsid w:val="00320223"/>
    <w:rsid w:val="00322D0D"/>
    <w:rsid w:val="00325014"/>
    <w:rsid w:val="00341D95"/>
    <w:rsid w:val="00361465"/>
    <w:rsid w:val="00363EFD"/>
    <w:rsid w:val="003877F5"/>
    <w:rsid w:val="003942D4"/>
    <w:rsid w:val="0039514F"/>
    <w:rsid w:val="003958A8"/>
    <w:rsid w:val="003A59EC"/>
    <w:rsid w:val="003B29C2"/>
    <w:rsid w:val="003C0434"/>
    <w:rsid w:val="003C20CA"/>
    <w:rsid w:val="003C2533"/>
    <w:rsid w:val="003D5A7F"/>
    <w:rsid w:val="003D635C"/>
    <w:rsid w:val="004016E2"/>
    <w:rsid w:val="0040435A"/>
    <w:rsid w:val="004054A7"/>
    <w:rsid w:val="004157AC"/>
    <w:rsid w:val="004165A2"/>
    <w:rsid w:val="00416A24"/>
    <w:rsid w:val="0042059E"/>
    <w:rsid w:val="00431D9E"/>
    <w:rsid w:val="00433CE8"/>
    <w:rsid w:val="00434A5C"/>
    <w:rsid w:val="0045031A"/>
    <w:rsid w:val="004544D9"/>
    <w:rsid w:val="00461979"/>
    <w:rsid w:val="00472BAD"/>
    <w:rsid w:val="00484009"/>
    <w:rsid w:val="00490E72"/>
    <w:rsid w:val="00491157"/>
    <w:rsid w:val="004921C8"/>
    <w:rsid w:val="00495B0B"/>
    <w:rsid w:val="004A1B8B"/>
    <w:rsid w:val="004C7E76"/>
    <w:rsid w:val="004D1851"/>
    <w:rsid w:val="004D599D"/>
    <w:rsid w:val="004E2EA5"/>
    <w:rsid w:val="004E3AEB"/>
    <w:rsid w:val="004F2DA4"/>
    <w:rsid w:val="004F3819"/>
    <w:rsid w:val="0050223C"/>
    <w:rsid w:val="0050741B"/>
    <w:rsid w:val="00522B70"/>
    <w:rsid w:val="005243FF"/>
    <w:rsid w:val="005311D6"/>
    <w:rsid w:val="00536422"/>
    <w:rsid w:val="00552C4F"/>
    <w:rsid w:val="005537CD"/>
    <w:rsid w:val="00564FBC"/>
    <w:rsid w:val="005800BC"/>
    <w:rsid w:val="00582442"/>
    <w:rsid w:val="00591E42"/>
    <w:rsid w:val="005A335D"/>
    <w:rsid w:val="005A6C13"/>
    <w:rsid w:val="005A730D"/>
    <w:rsid w:val="005C13D4"/>
    <w:rsid w:val="005E2BD5"/>
    <w:rsid w:val="005E55CB"/>
    <w:rsid w:val="005E62EF"/>
    <w:rsid w:val="005F0A6C"/>
    <w:rsid w:val="005F3269"/>
    <w:rsid w:val="00614A08"/>
    <w:rsid w:val="00615961"/>
    <w:rsid w:val="00623AE3"/>
    <w:rsid w:val="006261F4"/>
    <w:rsid w:val="00647034"/>
    <w:rsid w:val="0064737F"/>
    <w:rsid w:val="006535F1"/>
    <w:rsid w:val="0065557D"/>
    <w:rsid w:val="00660D50"/>
    <w:rsid w:val="00662984"/>
    <w:rsid w:val="006716BB"/>
    <w:rsid w:val="006774EF"/>
    <w:rsid w:val="006973C8"/>
    <w:rsid w:val="006A7B81"/>
    <w:rsid w:val="006B1859"/>
    <w:rsid w:val="006B6680"/>
    <w:rsid w:val="006B6DCC"/>
    <w:rsid w:val="006C79EB"/>
    <w:rsid w:val="006D5747"/>
    <w:rsid w:val="00702DEF"/>
    <w:rsid w:val="00706861"/>
    <w:rsid w:val="0070752F"/>
    <w:rsid w:val="00726B8C"/>
    <w:rsid w:val="0075051B"/>
    <w:rsid w:val="00762035"/>
    <w:rsid w:val="00775655"/>
    <w:rsid w:val="00793188"/>
    <w:rsid w:val="00794D34"/>
    <w:rsid w:val="00806E3C"/>
    <w:rsid w:val="00813E5E"/>
    <w:rsid w:val="00816C2C"/>
    <w:rsid w:val="008212D0"/>
    <w:rsid w:val="00822C73"/>
    <w:rsid w:val="0083000D"/>
    <w:rsid w:val="0083581B"/>
    <w:rsid w:val="00837862"/>
    <w:rsid w:val="00860EED"/>
    <w:rsid w:val="0086188F"/>
    <w:rsid w:val="00863874"/>
    <w:rsid w:val="00864AFF"/>
    <w:rsid w:val="00865925"/>
    <w:rsid w:val="00880C9A"/>
    <w:rsid w:val="00891503"/>
    <w:rsid w:val="008B4A6A"/>
    <w:rsid w:val="008C70E2"/>
    <w:rsid w:val="008C7E27"/>
    <w:rsid w:val="008F3822"/>
    <w:rsid w:val="008F7448"/>
    <w:rsid w:val="0090147A"/>
    <w:rsid w:val="0090389B"/>
    <w:rsid w:val="009173EF"/>
    <w:rsid w:val="00923ACD"/>
    <w:rsid w:val="00932906"/>
    <w:rsid w:val="00954E0B"/>
    <w:rsid w:val="00961860"/>
    <w:rsid w:val="00961B0B"/>
    <w:rsid w:val="00962D33"/>
    <w:rsid w:val="0097546E"/>
    <w:rsid w:val="009A16AF"/>
    <w:rsid w:val="009B38C3"/>
    <w:rsid w:val="009B6D8F"/>
    <w:rsid w:val="009D6CA6"/>
    <w:rsid w:val="009E17BD"/>
    <w:rsid w:val="009E485A"/>
    <w:rsid w:val="009F1102"/>
    <w:rsid w:val="00A04CEC"/>
    <w:rsid w:val="00A21CE7"/>
    <w:rsid w:val="00A27F92"/>
    <w:rsid w:val="00A32257"/>
    <w:rsid w:val="00A32983"/>
    <w:rsid w:val="00A36D20"/>
    <w:rsid w:val="00A43C03"/>
    <w:rsid w:val="00A46CD0"/>
    <w:rsid w:val="00A46F92"/>
    <w:rsid w:val="00A514A4"/>
    <w:rsid w:val="00A52C84"/>
    <w:rsid w:val="00A55622"/>
    <w:rsid w:val="00A6304B"/>
    <w:rsid w:val="00A632D9"/>
    <w:rsid w:val="00A83502"/>
    <w:rsid w:val="00AB1C22"/>
    <w:rsid w:val="00AD15B3"/>
    <w:rsid w:val="00AD3606"/>
    <w:rsid w:val="00AD4A3D"/>
    <w:rsid w:val="00AF5A09"/>
    <w:rsid w:val="00AF6386"/>
    <w:rsid w:val="00AF6E49"/>
    <w:rsid w:val="00B04A67"/>
    <w:rsid w:val="00B0583C"/>
    <w:rsid w:val="00B17995"/>
    <w:rsid w:val="00B248BC"/>
    <w:rsid w:val="00B358B2"/>
    <w:rsid w:val="00B40A81"/>
    <w:rsid w:val="00B44910"/>
    <w:rsid w:val="00B72267"/>
    <w:rsid w:val="00B73DD1"/>
    <w:rsid w:val="00B76EB6"/>
    <w:rsid w:val="00B7737B"/>
    <w:rsid w:val="00B824C8"/>
    <w:rsid w:val="00B849D3"/>
    <w:rsid w:val="00B84B9D"/>
    <w:rsid w:val="00B96D2B"/>
    <w:rsid w:val="00BA3A51"/>
    <w:rsid w:val="00BB4730"/>
    <w:rsid w:val="00BB77B7"/>
    <w:rsid w:val="00BC251A"/>
    <w:rsid w:val="00BC268F"/>
    <w:rsid w:val="00BC4490"/>
    <w:rsid w:val="00BD032B"/>
    <w:rsid w:val="00BD0614"/>
    <w:rsid w:val="00BD094B"/>
    <w:rsid w:val="00BE2640"/>
    <w:rsid w:val="00BF06F0"/>
    <w:rsid w:val="00C01189"/>
    <w:rsid w:val="00C10014"/>
    <w:rsid w:val="00C374DE"/>
    <w:rsid w:val="00C47AD4"/>
    <w:rsid w:val="00C52D81"/>
    <w:rsid w:val="00C55198"/>
    <w:rsid w:val="00C60847"/>
    <w:rsid w:val="00C725C6"/>
    <w:rsid w:val="00C922C7"/>
    <w:rsid w:val="00CA6393"/>
    <w:rsid w:val="00CB18FF"/>
    <w:rsid w:val="00CB24AA"/>
    <w:rsid w:val="00CD0C08"/>
    <w:rsid w:val="00CD3C91"/>
    <w:rsid w:val="00CE03FB"/>
    <w:rsid w:val="00CE433C"/>
    <w:rsid w:val="00CF0161"/>
    <w:rsid w:val="00CF33F3"/>
    <w:rsid w:val="00CF53A4"/>
    <w:rsid w:val="00D06183"/>
    <w:rsid w:val="00D22C42"/>
    <w:rsid w:val="00D45669"/>
    <w:rsid w:val="00D46480"/>
    <w:rsid w:val="00D464CC"/>
    <w:rsid w:val="00D522F6"/>
    <w:rsid w:val="00D65041"/>
    <w:rsid w:val="00D85CFF"/>
    <w:rsid w:val="00D9387C"/>
    <w:rsid w:val="00DA5FBE"/>
    <w:rsid w:val="00DA61AC"/>
    <w:rsid w:val="00DB00D5"/>
    <w:rsid w:val="00DB1936"/>
    <w:rsid w:val="00DB384B"/>
    <w:rsid w:val="00DF0189"/>
    <w:rsid w:val="00E06FD5"/>
    <w:rsid w:val="00E10E80"/>
    <w:rsid w:val="00E124F0"/>
    <w:rsid w:val="00E16D44"/>
    <w:rsid w:val="00E227F3"/>
    <w:rsid w:val="00E4728B"/>
    <w:rsid w:val="00E545C6"/>
    <w:rsid w:val="00E60F04"/>
    <w:rsid w:val="00E63EFF"/>
    <w:rsid w:val="00E65B24"/>
    <w:rsid w:val="00E72754"/>
    <w:rsid w:val="00E854E4"/>
    <w:rsid w:val="00E86DBF"/>
    <w:rsid w:val="00EB0D6F"/>
    <w:rsid w:val="00EB2232"/>
    <w:rsid w:val="00EC5337"/>
    <w:rsid w:val="00ED3AC6"/>
    <w:rsid w:val="00ED518E"/>
    <w:rsid w:val="00EE49E8"/>
    <w:rsid w:val="00F05A19"/>
    <w:rsid w:val="00F10B59"/>
    <w:rsid w:val="00F16BAB"/>
    <w:rsid w:val="00F2150A"/>
    <w:rsid w:val="00F231D8"/>
    <w:rsid w:val="00F44C00"/>
    <w:rsid w:val="00F45D2C"/>
    <w:rsid w:val="00F46C5F"/>
    <w:rsid w:val="00F53FDC"/>
    <w:rsid w:val="00F576E3"/>
    <w:rsid w:val="00F60F90"/>
    <w:rsid w:val="00F632C0"/>
    <w:rsid w:val="00F74513"/>
    <w:rsid w:val="00F74694"/>
    <w:rsid w:val="00F86596"/>
    <w:rsid w:val="00F93FD4"/>
    <w:rsid w:val="00F94A63"/>
    <w:rsid w:val="00FA1C28"/>
    <w:rsid w:val="00FA4D73"/>
    <w:rsid w:val="00FB1279"/>
    <w:rsid w:val="00FB6B76"/>
    <w:rsid w:val="00FB7596"/>
    <w:rsid w:val="00FC5A93"/>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357D79"/>
  <w15:docId w15:val="{7561728A-B6DD-425D-83F5-93F371EE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table" w:customStyle="1" w:styleId="11">
    <w:name w:val="Сетка таблицы11"/>
    <w:basedOn w:val="TableNormal"/>
    <w:uiPriority w:val="59"/>
    <w:qFormat/>
    <w:rsid w:val="00AB1C22"/>
    <w:rPr>
      <w:rFonts w:ascii="Calibri" w:eastAsia="Calibri" w:hAnsi="Calibri" w:cs="Arial"/>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3000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3000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DA5FBE"/>
    <w:rPr>
      <w:color w:val="605E5C"/>
      <w:shd w:val="clear" w:color="auto" w:fill="E1DFDD"/>
    </w:rPr>
  </w:style>
  <w:style w:type="paragraph" w:customStyle="1" w:styleId="Reasons">
    <w:name w:val="Reasons"/>
    <w:basedOn w:val="Normal"/>
    <w:qFormat/>
    <w:rsid w:val="005537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SG-CIR-0052/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32/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SG-CIR-004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WG-FHR20-TEMPLATE-EXT-contrib%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31a26b5e6a84297540fb9bcd5875ca0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A34D0-59D1-42C5-9AF4-5B30A87EEC4A}">
  <ds:schemaRefs>
    <ds:schemaRef ds:uri="http://schemas.openxmlformats.org/officeDocument/2006/bibliography"/>
  </ds:schemaRefs>
</ds:datastoreItem>
</file>

<file path=customXml/itemProps2.xml><?xml version="1.0" encoding="utf-8"?>
<ds:datastoreItem xmlns:ds="http://schemas.openxmlformats.org/officeDocument/2006/customXml" ds:itemID="{A8A9E961-662F-42AA-8B7F-3A84C250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EBF1F-C913-41FD-9B59-7931E17B88AA}">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1aaea1ea-72e4-4374-b05e-72e2f16fb7ae"/>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8C6CDA3-4386-471A-B091-F0C4CF130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CWG-FHR20-TEMPLATE-EXT-contrib (1).dotx</Template>
  <TotalTime>13</TotalTime>
  <Pages>3</Pages>
  <Words>608</Words>
  <Characters>3468</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Proposals related to the implementation of an alternative project for the new ITU headquarters building</vt:lpstr>
      <vt:lpstr/>
    </vt:vector>
  </TitlesOfParts>
  <Company/>
  <LinksUpToDate>false</LinksUpToDate>
  <CharactersWithSpaces>4068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related to the implementation of an alternative project for the new ITU headquarters building</dc:title>
  <dc:subject>ITU Council Working Group on financial and human resources</dc:subject>
  <cp:keywords>CWG-FHR</cp:keywords>
  <cp:revision>5</cp:revision>
  <dcterms:created xsi:type="dcterms:W3CDTF">2025-02-06T13:27:00Z</dcterms:created>
  <dcterms:modified xsi:type="dcterms:W3CDTF">2025-02-07T17:14:00Z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0x01010041A5AED0024D4C4B908559843DB30158</vt:lpwstr>
  </property>
  <property fmtid="{D5CDD505-2E9C-101B-9397-08002B2CF9AE}" pid="3" name="GrammarlyDocumentId">
    <vt:lpwstr>32964f88f2ac2969e3f43fdad5ee5bd0b4ad865ed13ad3e0bd6f28b63c374454</vt:lpwstr>
  </property>
</Properties>
</file>