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32E289E2" w14:textId="77777777" w:rsidTr="00AD3606">
        <w:trPr>
          <w:cantSplit/>
          <w:trHeight w:val="23"/>
        </w:trPr>
        <w:tc>
          <w:tcPr>
            <w:tcW w:w="3969" w:type="dxa"/>
            <w:vMerge w:val="restart"/>
            <w:tcMar>
              <w:left w:w="0" w:type="dxa"/>
            </w:tcMar>
          </w:tcPr>
          <w:p w14:paraId="72469368"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891F7F7" w14:textId="0B636C74"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proofErr w:type="spellEnd"/>
            <w:r w:rsidR="00A52C84" w:rsidRPr="00301AEE">
              <w:rPr>
                <w:b/>
                <w:lang w:val="fr-FR"/>
              </w:rPr>
              <w:t>-</w:t>
            </w:r>
            <w:proofErr w:type="spellStart"/>
            <w:r w:rsidR="000F6AB8">
              <w:rPr>
                <w:b/>
                <w:lang w:val="fr-FR"/>
              </w:rPr>
              <w:t>FHR</w:t>
            </w:r>
            <w:proofErr w:type="spellEnd"/>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2070B0">
              <w:rPr>
                <w:b/>
                <w:lang w:val="fr-FR"/>
              </w:rPr>
              <w:t>18</w:t>
            </w:r>
          </w:p>
        </w:tc>
      </w:tr>
      <w:tr w:rsidR="00AD3606" w:rsidRPr="00147C54" w14:paraId="6DB4DEB5" w14:textId="77777777" w:rsidTr="00AD3606">
        <w:trPr>
          <w:cantSplit/>
        </w:trPr>
        <w:tc>
          <w:tcPr>
            <w:tcW w:w="3969" w:type="dxa"/>
            <w:vMerge/>
          </w:tcPr>
          <w:p w14:paraId="37D0840F"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55670EF0" w14:textId="40798DF5" w:rsidR="00AD3606" w:rsidRPr="00147C54" w:rsidRDefault="004310ED" w:rsidP="00AD3606">
            <w:pPr>
              <w:tabs>
                <w:tab w:val="left" w:pos="851"/>
              </w:tabs>
              <w:spacing w:before="0"/>
              <w:jc w:val="right"/>
              <w:rPr>
                <w:b/>
              </w:rPr>
            </w:pPr>
            <w:r>
              <w:rPr>
                <w:b/>
              </w:rPr>
              <w:t>10 January 2025</w:t>
            </w:r>
          </w:p>
        </w:tc>
      </w:tr>
      <w:tr w:rsidR="00AD3606" w:rsidRPr="00147C54" w14:paraId="1FE4501A" w14:textId="77777777" w:rsidTr="00AD3606">
        <w:trPr>
          <w:cantSplit/>
          <w:trHeight w:val="23"/>
        </w:trPr>
        <w:tc>
          <w:tcPr>
            <w:tcW w:w="3969" w:type="dxa"/>
            <w:vMerge/>
          </w:tcPr>
          <w:p w14:paraId="4ED0B792"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81F3295"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177CE28" w14:textId="77777777" w:rsidTr="00AD3606">
        <w:trPr>
          <w:cantSplit/>
          <w:trHeight w:val="23"/>
        </w:trPr>
        <w:tc>
          <w:tcPr>
            <w:tcW w:w="3969" w:type="dxa"/>
          </w:tcPr>
          <w:p w14:paraId="14E1C459" w14:textId="77777777" w:rsidR="00472BAD" w:rsidRPr="00147C54" w:rsidRDefault="00472BAD" w:rsidP="00AD3606">
            <w:pPr>
              <w:tabs>
                <w:tab w:val="left" w:pos="851"/>
              </w:tabs>
              <w:spacing w:line="240" w:lineRule="atLeast"/>
              <w:rPr>
                <w:b/>
              </w:rPr>
            </w:pPr>
          </w:p>
        </w:tc>
        <w:tc>
          <w:tcPr>
            <w:tcW w:w="5245" w:type="dxa"/>
          </w:tcPr>
          <w:p w14:paraId="34364813" w14:textId="77777777" w:rsidR="00472BAD" w:rsidRPr="00147C54" w:rsidRDefault="00472BAD" w:rsidP="00AD3606">
            <w:pPr>
              <w:tabs>
                <w:tab w:val="left" w:pos="851"/>
              </w:tabs>
              <w:spacing w:before="0" w:line="240" w:lineRule="atLeast"/>
              <w:jc w:val="right"/>
              <w:rPr>
                <w:b/>
              </w:rPr>
            </w:pPr>
          </w:p>
        </w:tc>
      </w:tr>
      <w:tr w:rsidR="00AD3606" w:rsidRPr="00147C54" w14:paraId="24FA146D" w14:textId="77777777" w:rsidTr="00AD3606">
        <w:trPr>
          <w:cantSplit/>
        </w:trPr>
        <w:tc>
          <w:tcPr>
            <w:tcW w:w="9214" w:type="dxa"/>
            <w:gridSpan w:val="2"/>
            <w:tcMar>
              <w:left w:w="0" w:type="dxa"/>
            </w:tcMar>
          </w:tcPr>
          <w:p w14:paraId="0C2C926D" w14:textId="5505D6C8" w:rsidR="00AD3606" w:rsidRPr="00147C54" w:rsidRDefault="006973C8" w:rsidP="00E4728B">
            <w:pPr>
              <w:pStyle w:val="Source"/>
              <w:framePr w:hSpace="0" w:wrap="auto" w:vAnchor="margin" w:hAnchor="text" w:xAlign="left" w:yAlign="inline"/>
            </w:pPr>
            <w:bookmarkStart w:id="8" w:name="dsource" w:colFirst="0" w:colLast="0"/>
            <w:bookmarkEnd w:id="7"/>
            <w:r w:rsidRPr="00B01BD6">
              <w:t xml:space="preserve">Contribution </w:t>
            </w:r>
            <w:r>
              <w:t>by</w:t>
            </w:r>
            <w:r w:rsidRPr="00B01BD6">
              <w:t xml:space="preserve"> </w:t>
            </w:r>
            <w:r w:rsidR="005C2EC9">
              <w:t>Switzerland</w:t>
            </w:r>
          </w:p>
        </w:tc>
      </w:tr>
      <w:tr w:rsidR="00AD3606" w:rsidRPr="00147C54" w14:paraId="5962FFD3" w14:textId="77777777" w:rsidTr="00AD3606">
        <w:trPr>
          <w:cantSplit/>
        </w:trPr>
        <w:tc>
          <w:tcPr>
            <w:tcW w:w="9214" w:type="dxa"/>
            <w:gridSpan w:val="2"/>
            <w:tcMar>
              <w:left w:w="0" w:type="dxa"/>
            </w:tcMar>
          </w:tcPr>
          <w:p w14:paraId="28EE4F40" w14:textId="590A1FEA" w:rsidR="00AD3606" w:rsidRPr="00147C54" w:rsidRDefault="002070B0" w:rsidP="00E4728B">
            <w:pPr>
              <w:pStyle w:val="Subtitle"/>
              <w:framePr w:hSpace="0" w:wrap="auto" w:xAlign="left" w:yAlign="inline"/>
            </w:pPr>
            <w:bookmarkStart w:id="9" w:name="dtitle1" w:colFirst="0" w:colLast="0"/>
            <w:bookmarkEnd w:id="8"/>
            <w:r w:rsidRPr="00A868EB">
              <w:t>ENSURING THE RETURN TO THE NORMAL REPORTING CYCLE FOR THE 2024 FINANCIAL STATEMENTS</w:t>
            </w:r>
          </w:p>
        </w:tc>
      </w:tr>
      <w:tr w:rsidR="00AD3606" w:rsidRPr="005C2EC9" w14:paraId="113468BE" w14:textId="77777777" w:rsidTr="00AD3606">
        <w:trPr>
          <w:cantSplit/>
        </w:trPr>
        <w:tc>
          <w:tcPr>
            <w:tcW w:w="9214" w:type="dxa"/>
            <w:gridSpan w:val="2"/>
            <w:tcBorders>
              <w:top w:val="single" w:sz="4" w:space="0" w:color="auto"/>
              <w:bottom w:val="single" w:sz="4" w:space="0" w:color="auto"/>
            </w:tcBorders>
            <w:tcMar>
              <w:left w:w="0" w:type="dxa"/>
            </w:tcMar>
          </w:tcPr>
          <w:p w14:paraId="45FD169F" w14:textId="77777777" w:rsidR="00AD3606" w:rsidRPr="00147C54" w:rsidRDefault="00F16BAB" w:rsidP="00F16BAB">
            <w:pPr>
              <w:spacing w:before="160"/>
              <w:rPr>
                <w:b/>
                <w:bCs/>
                <w:sz w:val="26"/>
                <w:szCs w:val="26"/>
              </w:rPr>
            </w:pPr>
            <w:r w:rsidRPr="00147C54">
              <w:rPr>
                <w:b/>
                <w:bCs/>
                <w:sz w:val="26"/>
                <w:szCs w:val="26"/>
              </w:rPr>
              <w:t>Purpose</w:t>
            </w:r>
          </w:p>
          <w:p w14:paraId="1959AADB" w14:textId="2B869299" w:rsidR="00AD3606" w:rsidRPr="00147C54" w:rsidRDefault="00A868EB" w:rsidP="00F16BAB">
            <w:r w:rsidRPr="00BB44D5">
              <w:t xml:space="preserve">The Member States should reiterate the crucial importance they attach </w:t>
            </w:r>
            <w:r w:rsidR="00BB44D5" w:rsidRPr="00BB44D5">
              <w:t xml:space="preserve">to the </w:t>
            </w:r>
            <w:r w:rsidR="00BB44D5">
              <w:t>necessity</w:t>
            </w:r>
            <w:r w:rsidR="00BB44D5" w:rsidRPr="00BB44D5">
              <w:t xml:space="preserve"> that Council performs </w:t>
            </w:r>
            <w:r w:rsidR="00A71DFE">
              <w:t xml:space="preserve">properly </w:t>
            </w:r>
            <w:r w:rsidR="00BB44D5" w:rsidRPr="00BB44D5">
              <w:t xml:space="preserve">its function as </w:t>
            </w:r>
            <w:r w:rsidR="00D102FF" w:rsidRPr="00EE103A">
              <w:t>principal</w:t>
            </w:r>
            <w:r w:rsidR="00BB44D5" w:rsidRPr="00EE103A">
              <w:t xml:space="preserve"> </w:t>
            </w:r>
            <w:r w:rsidR="00BB44D5" w:rsidRPr="00BB44D5">
              <w:t xml:space="preserve">oversight body </w:t>
            </w:r>
            <w:r w:rsidR="00BB44D5">
              <w:t xml:space="preserve">of the Union </w:t>
            </w:r>
            <w:r w:rsidR="00BB44D5" w:rsidRPr="00BB44D5">
              <w:t>between Plenipotentiary Conferences (PP)</w:t>
            </w:r>
            <w:r w:rsidR="00813AD5">
              <w:t>, in particular with respect to the supervision of the finances of the Union</w:t>
            </w:r>
            <w:r w:rsidR="00BB44D5" w:rsidRPr="00BB44D5">
              <w:t xml:space="preserve">. </w:t>
            </w:r>
            <w:r w:rsidR="00D102FF" w:rsidRPr="00BB44D5">
              <w:t xml:space="preserve">Switzerland is of the view that </w:t>
            </w:r>
            <w:r w:rsidR="00D102FF">
              <w:t>d</w:t>
            </w:r>
            <w:r w:rsidR="00BB44D5" w:rsidRPr="00BB44D5">
              <w:t xml:space="preserve">uring the last two years (2023 and 2024) Council could not </w:t>
            </w:r>
            <w:r w:rsidR="00D102FF">
              <w:t>carry out this</w:t>
            </w:r>
            <w:r w:rsidR="00BB44D5" w:rsidRPr="00BB44D5">
              <w:t xml:space="preserve"> task </w:t>
            </w:r>
            <w:r w:rsidR="00D102FF">
              <w:t>correctly</w:t>
            </w:r>
            <w:r w:rsidR="00BB44D5" w:rsidRPr="00BB44D5">
              <w:t xml:space="preserve"> due</w:t>
            </w:r>
            <w:r w:rsidR="00BB44D5">
              <w:t xml:space="preserve"> to</w:t>
            </w:r>
            <w:r w:rsidR="00BB44D5" w:rsidRPr="00BB44D5">
              <w:t>, amongst other things, the unavailability of the necessary document</w:t>
            </w:r>
            <w:r w:rsidR="00BB44D5">
              <w:t>s</w:t>
            </w:r>
            <w:r w:rsidR="00BB44D5" w:rsidRPr="00BB44D5">
              <w:t xml:space="preserve"> on the occasion of the ordinary and additional sessions of Council. This situation is of great concern for th</w:t>
            </w:r>
            <w:r w:rsidR="00D102FF">
              <w:t>e Swiss</w:t>
            </w:r>
            <w:r w:rsidR="00BB44D5" w:rsidRPr="00BB44D5">
              <w:t xml:space="preserve"> administration and a return to the normal reporting cycle in 202</w:t>
            </w:r>
            <w:r w:rsidR="008B3296">
              <w:t>5</w:t>
            </w:r>
            <w:r w:rsidR="00BB44D5" w:rsidRPr="00BB44D5">
              <w:t xml:space="preserve"> is critical.</w:t>
            </w:r>
          </w:p>
          <w:p w14:paraId="1FFC45EA" w14:textId="77777777" w:rsidR="00AD3606" w:rsidRPr="00147C54" w:rsidRDefault="00AD3606" w:rsidP="00F16BAB">
            <w:pPr>
              <w:spacing w:before="160"/>
              <w:rPr>
                <w:b/>
                <w:bCs/>
                <w:sz w:val="26"/>
                <w:szCs w:val="26"/>
              </w:rPr>
            </w:pPr>
            <w:r w:rsidRPr="00147C54">
              <w:rPr>
                <w:b/>
                <w:bCs/>
                <w:sz w:val="26"/>
                <w:szCs w:val="26"/>
              </w:rPr>
              <w:t>Action required</w:t>
            </w:r>
          </w:p>
          <w:p w14:paraId="2C12D7E2" w14:textId="1F6F37B8" w:rsidR="0025570E" w:rsidRPr="004405AB" w:rsidRDefault="006973C8" w:rsidP="000F6AB8">
            <w:pPr>
              <w:spacing w:before="160"/>
            </w:pPr>
            <w:r w:rsidRPr="002D5DBD">
              <w:t>The Council Working Group on financial and human resources is invited to</w:t>
            </w:r>
            <w:r>
              <w:t xml:space="preserve"> </w:t>
            </w:r>
            <w:r w:rsidR="005C2EC9">
              <w:t xml:space="preserve">call upon the Chair of the Working Group to convey to the External Auditor and the Secretary-General the expectations of the </w:t>
            </w:r>
            <w:r w:rsidR="00A868EB">
              <w:t>M</w:t>
            </w:r>
            <w:r w:rsidR="005C2EC9">
              <w:t xml:space="preserve">ember </w:t>
            </w:r>
            <w:r w:rsidR="00A868EB">
              <w:t>S</w:t>
            </w:r>
            <w:r w:rsidR="005C2EC9">
              <w:t xml:space="preserve">tates of CWG-FHR with respect to the </w:t>
            </w:r>
            <w:r w:rsidR="00A868EB">
              <w:t>availability</w:t>
            </w:r>
            <w:r w:rsidR="009D0191">
              <w:t xml:space="preserve"> in due time (i.e. at least 14 days) before the 2025 ordinary session of ITU Council </w:t>
            </w:r>
            <w:r w:rsidR="00A868EB">
              <w:t xml:space="preserve">of the 2024 financial statements, audited by the External Auditor, as well as a </w:t>
            </w:r>
            <w:r w:rsidR="00A868EB" w:rsidRPr="00D102FF">
              <w:rPr>
                <w:i/>
                <w:iCs/>
              </w:rPr>
              <w:t>final and complete</w:t>
            </w:r>
            <w:r w:rsidR="00A868EB">
              <w:t xml:space="preserve"> audit report of the External Auditor</w:t>
            </w:r>
            <w:r>
              <w:t>.</w:t>
            </w:r>
          </w:p>
          <w:p w14:paraId="69F0C394" w14:textId="77777777" w:rsidR="00AD3606" w:rsidRPr="00CD3C91" w:rsidRDefault="00CD3C91" w:rsidP="00CD3C91">
            <w:r>
              <w:t>_______________</w:t>
            </w:r>
          </w:p>
          <w:p w14:paraId="548BF3BC" w14:textId="49C693F4" w:rsidR="00AD3606" w:rsidRPr="00147C54" w:rsidRDefault="00AD3606" w:rsidP="00F16BAB">
            <w:pPr>
              <w:spacing w:before="160"/>
              <w:rPr>
                <w:b/>
                <w:bCs/>
                <w:sz w:val="26"/>
                <w:szCs w:val="26"/>
              </w:rPr>
            </w:pPr>
            <w:r w:rsidRPr="00147C54">
              <w:rPr>
                <w:b/>
                <w:bCs/>
                <w:sz w:val="26"/>
                <w:szCs w:val="26"/>
              </w:rPr>
              <w:t>References</w:t>
            </w:r>
          </w:p>
          <w:p w14:paraId="18124D83" w14:textId="714F6397" w:rsidR="00AD3606" w:rsidRPr="002070B0" w:rsidRDefault="005C2EC9" w:rsidP="005C2EC9">
            <w:pPr>
              <w:spacing w:after="160"/>
              <w:rPr>
                <w:i/>
                <w:iCs/>
                <w:sz w:val="22"/>
                <w:szCs w:val="22"/>
                <w:lang w:val="en-US"/>
              </w:rPr>
            </w:pPr>
            <w:r w:rsidRPr="002070B0">
              <w:rPr>
                <w:i/>
                <w:iCs/>
                <w:sz w:val="22"/>
                <w:szCs w:val="22"/>
                <w:lang w:val="en-US"/>
              </w:rPr>
              <w:t>Document</w:t>
            </w:r>
            <w:r w:rsidR="002070B0">
              <w:rPr>
                <w:i/>
                <w:iCs/>
                <w:sz w:val="22"/>
                <w:szCs w:val="22"/>
                <w:lang w:val="en-US"/>
              </w:rPr>
              <w:t>s</w:t>
            </w:r>
            <w:r w:rsidRPr="002070B0">
              <w:rPr>
                <w:i/>
                <w:iCs/>
                <w:sz w:val="22"/>
                <w:szCs w:val="22"/>
                <w:lang w:val="en-US"/>
              </w:rPr>
              <w:t xml:space="preserve"> </w:t>
            </w:r>
            <w:hyperlink r:id="rId11" w:history="1">
              <w:proofErr w:type="spellStart"/>
              <w:r w:rsidR="002070B0">
                <w:rPr>
                  <w:rStyle w:val="Hyperlink"/>
                  <w:i/>
                  <w:iCs/>
                  <w:sz w:val="22"/>
                  <w:szCs w:val="22"/>
                  <w:lang w:val="en-US"/>
                </w:rPr>
                <w:t>C24</w:t>
              </w:r>
              <w:proofErr w:type="spellEnd"/>
              <w:r w:rsidR="002070B0">
                <w:rPr>
                  <w:rStyle w:val="Hyperlink"/>
                  <w:i/>
                  <w:iCs/>
                  <w:sz w:val="22"/>
                  <w:szCs w:val="22"/>
                  <w:lang w:val="en-US"/>
                </w:rPr>
                <w:t>/109(</w:t>
              </w:r>
              <w:proofErr w:type="spellStart"/>
              <w:r w:rsidR="002070B0">
                <w:rPr>
                  <w:rStyle w:val="Hyperlink"/>
                  <w:i/>
                  <w:iCs/>
                  <w:sz w:val="22"/>
                  <w:szCs w:val="22"/>
                  <w:lang w:val="en-US"/>
                </w:rPr>
                <w:t>Rev.1</w:t>
              </w:r>
              <w:proofErr w:type="spellEnd"/>
              <w:r w:rsidR="002070B0">
                <w:rPr>
                  <w:rStyle w:val="Hyperlink"/>
                  <w:i/>
                  <w:iCs/>
                  <w:sz w:val="22"/>
                  <w:szCs w:val="22"/>
                  <w:lang w:val="en-US"/>
                </w:rPr>
                <w:t>)</w:t>
              </w:r>
            </w:hyperlink>
            <w:r w:rsidR="00A868EB" w:rsidRPr="002070B0">
              <w:rPr>
                <w:i/>
                <w:iCs/>
                <w:sz w:val="22"/>
                <w:szCs w:val="22"/>
                <w:lang w:val="en-US"/>
              </w:rPr>
              <w:t xml:space="preserve"> </w:t>
            </w:r>
            <w:r w:rsidR="002070B0">
              <w:rPr>
                <w:i/>
                <w:iCs/>
                <w:sz w:val="22"/>
                <w:szCs w:val="22"/>
                <w:lang w:val="en-US"/>
              </w:rPr>
              <w:t xml:space="preserve">and </w:t>
            </w:r>
            <w:r w:rsidR="00A868EB" w:rsidRPr="002070B0">
              <w:rPr>
                <w:i/>
                <w:iCs/>
                <w:sz w:val="22"/>
                <w:szCs w:val="22"/>
                <w:lang w:val="en-US"/>
              </w:rPr>
              <w:t xml:space="preserve">Document </w:t>
            </w:r>
            <w:hyperlink r:id="rId12" w:history="1">
              <w:proofErr w:type="spellStart"/>
              <w:r w:rsidR="002070B0">
                <w:rPr>
                  <w:rStyle w:val="Hyperlink"/>
                  <w:i/>
                  <w:iCs/>
                  <w:sz w:val="22"/>
                  <w:szCs w:val="22"/>
                  <w:lang w:val="en-US"/>
                </w:rPr>
                <w:t>C23</w:t>
              </w:r>
              <w:proofErr w:type="spellEnd"/>
              <w:r w:rsidR="002070B0">
                <w:rPr>
                  <w:rStyle w:val="Hyperlink"/>
                  <w:i/>
                  <w:iCs/>
                  <w:sz w:val="22"/>
                  <w:szCs w:val="22"/>
                  <w:lang w:val="en-US"/>
                </w:rPr>
                <w:t>-ADD/9(</w:t>
              </w:r>
              <w:proofErr w:type="spellStart"/>
              <w:r w:rsidR="002070B0">
                <w:rPr>
                  <w:rStyle w:val="Hyperlink"/>
                  <w:i/>
                  <w:iCs/>
                  <w:sz w:val="22"/>
                  <w:szCs w:val="22"/>
                  <w:lang w:val="en-US"/>
                </w:rPr>
                <w:t>Rev.1</w:t>
              </w:r>
              <w:proofErr w:type="spellEnd"/>
              <w:r w:rsidR="002070B0">
                <w:rPr>
                  <w:rStyle w:val="Hyperlink"/>
                  <w:i/>
                  <w:iCs/>
                  <w:sz w:val="22"/>
                  <w:szCs w:val="22"/>
                  <w:lang w:val="en-US"/>
                </w:rPr>
                <w:t>)</w:t>
              </w:r>
            </w:hyperlink>
          </w:p>
        </w:tc>
      </w:tr>
    </w:tbl>
    <w:p w14:paraId="22A305CF" w14:textId="77777777" w:rsidR="00E227F3" w:rsidRPr="00813AD5"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_Hlk133421428"/>
      <w:bookmarkEnd w:id="2"/>
      <w:bookmarkEnd w:id="9"/>
    </w:p>
    <w:bookmarkEnd w:id="3"/>
    <w:bookmarkEnd w:id="4"/>
    <w:p w14:paraId="6322A64C" w14:textId="77777777" w:rsidR="0090147A" w:rsidRPr="00813AD5"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813AD5">
        <w:rPr>
          <w:lang w:val="en-US"/>
        </w:rPr>
        <w:br w:type="page"/>
      </w:r>
    </w:p>
    <w:bookmarkEnd w:id="5"/>
    <w:bookmarkEnd w:id="10"/>
    <w:p w14:paraId="70BE31CD" w14:textId="1A15789D" w:rsidR="009D0191" w:rsidRDefault="009D0191" w:rsidP="002070B0">
      <w:pPr>
        <w:jc w:val="both"/>
      </w:pPr>
      <w:r>
        <w:lastRenderedPageBreak/>
        <w:t>Having in mind (</w:t>
      </w:r>
      <w:proofErr w:type="spellStart"/>
      <w:r>
        <w:t>i</w:t>
      </w:r>
      <w:proofErr w:type="spellEnd"/>
      <w:r>
        <w:t>) the fact that the financial statements of 2022 of ITU could ultimately only be approved by Council at its 2024 ordinary session (</w:t>
      </w:r>
      <w:hyperlink r:id="rId13" w:history="1">
        <w:r w:rsidRPr="003857A5">
          <w:rPr>
            <w:rStyle w:val="Hyperlink"/>
          </w:rPr>
          <w:t>Resolution 1426</w:t>
        </w:r>
      </w:hyperlink>
      <w:r>
        <w:t>) and (ii) the unconventional episodes that led to the consultation by correspondence of Council Member States of ITU on the external auditor’s report and opinion and the financial operating report on the audited accounts 2023 (</w:t>
      </w:r>
      <w:hyperlink r:id="rId14" w:history="1">
        <w:r w:rsidRPr="003857A5">
          <w:rPr>
            <w:rStyle w:val="Hyperlink"/>
          </w:rPr>
          <w:t>DM-24/1006</w:t>
        </w:r>
      </w:hyperlink>
      <w:r>
        <w:t xml:space="preserve"> of 30 October 2024), Switzerland is of the conviction that no regular</w:t>
      </w:r>
      <w:r w:rsidR="00163230">
        <w:t xml:space="preserve"> (i.e. </w:t>
      </w:r>
      <w:r>
        <w:t>thorough and timely</w:t>
      </w:r>
      <w:r w:rsidR="00163230">
        <w:t>)</w:t>
      </w:r>
      <w:r>
        <w:t xml:space="preserve"> debates </w:t>
      </w:r>
      <w:r w:rsidR="002739CC">
        <w:t xml:space="preserve">have taken place in Council plenaries </w:t>
      </w:r>
      <w:r>
        <w:t xml:space="preserve">on ITU’s financial statements for 2022 and 2023. </w:t>
      </w:r>
    </w:p>
    <w:p w14:paraId="717BE1F9" w14:textId="4CC4345A" w:rsidR="009D0191" w:rsidRPr="00C07C7C" w:rsidRDefault="009D0191" w:rsidP="00C07C7C">
      <w:pPr>
        <w:spacing w:before="100"/>
        <w:jc w:val="both"/>
        <w:rPr>
          <w:spacing w:val="-2"/>
          <w:lang w:val="en-US"/>
        </w:rPr>
      </w:pPr>
      <w:r w:rsidRPr="00C07C7C">
        <w:rPr>
          <w:spacing w:val="-2"/>
        </w:rPr>
        <w:t>Now</w:t>
      </w:r>
      <w:r w:rsidRPr="00C07C7C">
        <w:rPr>
          <w:spacing w:val="-2"/>
          <w:lang w:val="en-US"/>
        </w:rPr>
        <w:t xml:space="preserve">, </w:t>
      </w:r>
      <w:r w:rsidR="00EF32AE" w:rsidRPr="00C07C7C">
        <w:rPr>
          <w:spacing w:val="-2"/>
          <w:lang w:val="en-US"/>
        </w:rPr>
        <w:t>the procedures/processes for issuing financial statements are crucial in any company or organization</w:t>
      </w:r>
      <w:r w:rsidR="000D6B3D" w:rsidRPr="00C07C7C">
        <w:rPr>
          <w:spacing w:val="-2"/>
          <w:lang w:val="en-US"/>
        </w:rPr>
        <w:t xml:space="preserve"> as </w:t>
      </w:r>
      <w:r w:rsidR="00813AD5" w:rsidRPr="00C07C7C">
        <w:rPr>
          <w:spacing w:val="-2"/>
          <w:lang w:val="en-US"/>
        </w:rPr>
        <w:t>they generate confidence</w:t>
      </w:r>
      <w:r w:rsidR="00EF32AE" w:rsidRPr="00C07C7C">
        <w:rPr>
          <w:spacing w:val="-2"/>
          <w:lang w:val="en-US"/>
        </w:rPr>
        <w:t>. The submission of the financial statements to the control of an external authority and the opinion that emerges, the recommendations made and the provision of this information to the governing bodies are cardinal</w:t>
      </w:r>
      <w:r w:rsidR="00B96F52" w:rsidRPr="00C07C7C">
        <w:rPr>
          <w:spacing w:val="-2"/>
          <w:lang w:val="en-US"/>
        </w:rPr>
        <w:t xml:space="preserve"> too</w:t>
      </w:r>
      <w:r w:rsidR="00EF32AE" w:rsidRPr="00C07C7C">
        <w:rPr>
          <w:spacing w:val="-2"/>
          <w:lang w:val="en-US"/>
        </w:rPr>
        <w:t xml:space="preserve">. In this sense, the entire procedure must be laid down beforehand, determining the deliverables and setting delivery dates. </w:t>
      </w:r>
      <w:r w:rsidR="00EF32AE" w:rsidRPr="00C07C7C">
        <w:rPr>
          <w:i/>
          <w:iCs/>
          <w:spacing w:val="-2"/>
          <w:lang w:val="en-US"/>
        </w:rPr>
        <w:t>These deadlines</w:t>
      </w:r>
      <w:proofErr w:type="gramStart"/>
      <w:r w:rsidR="00636F38" w:rsidRPr="00C07C7C">
        <w:rPr>
          <w:i/>
          <w:iCs/>
          <w:spacing w:val="-2"/>
          <w:lang w:val="en-US"/>
        </w:rPr>
        <w:t>, in particular,</w:t>
      </w:r>
      <w:r w:rsidR="00EF32AE" w:rsidRPr="00C07C7C">
        <w:rPr>
          <w:i/>
          <w:iCs/>
          <w:spacing w:val="-2"/>
          <w:lang w:val="en-US"/>
        </w:rPr>
        <w:t xml:space="preserve"> must</w:t>
      </w:r>
      <w:proofErr w:type="gramEnd"/>
      <w:r w:rsidR="00EF32AE" w:rsidRPr="00C07C7C">
        <w:rPr>
          <w:i/>
          <w:iCs/>
          <w:spacing w:val="-2"/>
          <w:lang w:val="en-US"/>
        </w:rPr>
        <w:t xml:space="preserve"> allow the governing bodies to have sufficient time to analyze the deliverables and prepare for the debates in committee</w:t>
      </w:r>
      <w:r w:rsidR="006C2E6F" w:rsidRPr="00C07C7C">
        <w:rPr>
          <w:i/>
          <w:iCs/>
          <w:spacing w:val="-2"/>
          <w:lang w:val="en-US"/>
        </w:rPr>
        <w:t>s</w:t>
      </w:r>
      <w:r w:rsidR="00EF32AE" w:rsidRPr="00C07C7C">
        <w:rPr>
          <w:i/>
          <w:iCs/>
          <w:spacing w:val="-2"/>
          <w:lang w:val="en-US"/>
        </w:rPr>
        <w:t xml:space="preserve"> and in ple</w:t>
      </w:r>
      <w:r w:rsidR="006C2E6F" w:rsidRPr="00C07C7C">
        <w:rPr>
          <w:i/>
          <w:iCs/>
          <w:spacing w:val="-2"/>
          <w:lang w:val="en-US"/>
        </w:rPr>
        <w:t>nary</w:t>
      </w:r>
      <w:r w:rsidR="00EF32AE" w:rsidRPr="00C07C7C">
        <w:rPr>
          <w:spacing w:val="-2"/>
          <w:lang w:val="en-US"/>
        </w:rPr>
        <w:t>.</w:t>
      </w:r>
    </w:p>
    <w:p w14:paraId="58BA298B" w14:textId="3F79701C" w:rsidR="009D0191" w:rsidRDefault="009D0191" w:rsidP="00C07C7C">
      <w:pPr>
        <w:spacing w:before="100"/>
        <w:jc w:val="both"/>
      </w:pPr>
      <w:r>
        <w:t>Thus, Switzerland wishes to ensure that in 2025 ITU returns to the normal reporting cycle for the 2024 financial statements.</w:t>
      </w:r>
    </w:p>
    <w:p w14:paraId="289BD047" w14:textId="6427F19B" w:rsidR="009D0191" w:rsidRDefault="009D0191" w:rsidP="00C07C7C">
      <w:pPr>
        <w:spacing w:before="100"/>
        <w:jc w:val="both"/>
      </w:pPr>
      <w:r>
        <w:t xml:space="preserve">Pursuant to No. 53 of the ITU Constitution (CS), the </w:t>
      </w:r>
      <w:r w:rsidR="00EF32AE">
        <w:t>PP</w:t>
      </w:r>
      <w:r>
        <w:t xml:space="preserve">, which is the supreme organ of the Union, has the competence to examine the accounts of the Union and to finally approve them. No. 71 CS disposes that ITU Council, which acts on behalf of the </w:t>
      </w:r>
      <w:r w:rsidR="00EF32AE">
        <w:t>PP</w:t>
      </w:r>
      <w:r>
        <w:t xml:space="preserve">, shall ensure the efficient coordination of the work of the Union and exercise effective financial control over the General Secretariat and the three Sectors. (It is to be </w:t>
      </w:r>
      <w:r w:rsidR="00D102FF">
        <w:t>emphasized</w:t>
      </w:r>
      <w:r>
        <w:t xml:space="preserve"> that IMAC is an advisory body whose valuable opinions on the financial statements and the reports of the external auditors are </w:t>
      </w:r>
      <w:r w:rsidR="008B3296">
        <w:t xml:space="preserve">merely </w:t>
      </w:r>
      <w:r>
        <w:t xml:space="preserve">of </w:t>
      </w:r>
      <w:r w:rsidR="00C07C7C">
        <w:t xml:space="preserve">a </w:t>
      </w:r>
      <w:r>
        <w:t>consultative nature.)</w:t>
      </w:r>
    </w:p>
    <w:p w14:paraId="06397E88" w14:textId="66550CCD" w:rsidR="009D0191" w:rsidRDefault="009D0191" w:rsidP="00C07C7C">
      <w:pPr>
        <w:spacing w:before="100"/>
        <w:jc w:val="both"/>
      </w:pPr>
      <w:r>
        <w:t>In Resolution 77 (Rev. Bucharest, 2022)</w:t>
      </w:r>
      <w:r w:rsidR="00636F38">
        <w:t>,</w:t>
      </w:r>
      <w:r>
        <w:t xml:space="preserve"> </w:t>
      </w:r>
      <w:r w:rsidRPr="00636F38">
        <w:rPr>
          <w:i/>
          <w:iCs/>
        </w:rPr>
        <w:t>noting b)</w:t>
      </w:r>
      <w:r>
        <w:t xml:space="preserve"> states that </w:t>
      </w:r>
      <w:r w:rsidR="008B3296">
        <w:t>“</w:t>
      </w:r>
      <w:r>
        <w:t>the external auditor's reports on the Union's finances should normally be available to the Council in due time prior to its sessions</w:t>
      </w:r>
      <w:r w:rsidR="008B3296">
        <w:t>”</w:t>
      </w:r>
      <w:r>
        <w:t>. Switzerland is of the view that after two years out of the ordinary, in 2025 normality has to return.</w:t>
      </w:r>
    </w:p>
    <w:p w14:paraId="387CC8F2" w14:textId="67E91BC1" w:rsidR="009D0191" w:rsidRDefault="009D0191" w:rsidP="00C07C7C">
      <w:pPr>
        <w:spacing w:before="100"/>
        <w:jc w:val="both"/>
      </w:pPr>
      <w:r>
        <w:t>We recall that in June 2024 Council invited the External Auditor and Secretary-General to resume the regular reporting cycle for the financial statements for 2024 in the 2025 Council session. In this respect</w:t>
      </w:r>
      <w:r w:rsidR="00636F38">
        <w:t>,</w:t>
      </w:r>
      <w:r>
        <w:t xml:space="preserve"> we welcome the secretariat’s commitment </w:t>
      </w:r>
      <w:r w:rsidR="00636F38">
        <w:t>—</w:t>
      </w:r>
      <w:r w:rsidR="00163230">
        <w:t xml:space="preserve">expressed </w:t>
      </w:r>
      <w:r>
        <w:t>on the occasion of Council 2024</w:t>
      </w:r>
      <w:r w:rsidR="00636F38">
        <w:t xml:space="preserve">— </w:t>
      </w:r>
      <w:r>
        <w:t xml:space="preserve">to resuming the normal reporting cycle for the 2024 financial statements. (See Chapter 15 of Document </w:t>
      </w:r>
      <w:hyperlink r:id="rId15" w:history="1">
        <w:r w:rsidRPr="00636F38">
          <w:rPr>
            <w:rStyle w:val="Hyperlink"/>
          </w:rPr>
          <w:t>C24/109</w:t>
        </w:r>
        <w:r w:rsidR="00636F38" w:rsidRPr="00636F38">
          <w:rPr>
            <w:rStyle w:val="Hyperlink"/>
          </w:rPr>
          <w:t>(</w:t>
        </w:r>
        <w:proofErr w:type="spellStart"/>
        <w:r w:rsidR="00636F38" w:rsidRPr="00636F38">
          <w:rPr>
            <w:rStyle w:val="Hyperlink"/>
          </w:rPr>
          <w:t>R</w:t>
        </w:r>
        <w:r w:rsidRPr="00636F38">
          <w:rPr>
            <w:rStyle w:val="Hyperlink"/>
          </w:rPr>
          <w:t>ev</w:t>
        </w:r>
        <w:r w:rsidR="00636F38" w:rsidRPr="00636F38">
          <w:rPr>
            <w:rStyle w:val="Hyperlink"/>
          </w:rPr>
          <w:t>.</w:t>
        </w:r>
        <w:r w:rsidRPr="00636F38">
          <w:rPr>
            <w:rStyle w:val="Hyperlink"/>
          </w:rPr>
          <w:t>1</w:t>
        </w:r>
        <w:proofErr w:type="spellEnd"/>
        <w:r w:rsidR="00636F38" w:rsidRPr="00636F38">
          <w:rPr>
            <w:rStyle w:val="Hyperlink"/>
          </w:rPr>
          <w:t>)</w:t>
        </w:r>
      </w:hyperlink>
      <w:r>
        <w:t>.)</w:t>
      </w:r>
    </w:p>
    <w:p w14:paraId="744738F1" w14:textId="24933E6A" w:rsidR="009D0191" w:rsidRDefault="009D0191" w:rsidP="00C07C7C">
      <w:pPr>
        <w:spacing w:before="100"/>
        <w:jc w:val="both"/>
      </w:pPr>
      <w:r>
        <w:t xml:space="preserve">We press for the submission to the 2025 session of the Council by the External Audit of his </w:t>
      </w:r>
      <w:r w:rsidRPr="00EF32AE">
        <w:rPr>
          <w:i/>
          <w:iCs/>
        </w:rPr>
        <w:t>complet</w:t>
      </w:r>
      <w:r w:rsidR="00EF32AE">
        <w:rPr>
          <w:i/>
          <w:iCs/>
        </w:rPr>
        <w:t>e and final</w:t>
      </w:r>
      <w:r>
        <w:t xml:space="preserve"> report regarding the 2024 </w:t>
      </w:r>
      <w:r w:rsidR="00163230">
        <w:t xml:space="preserve">financial </w:t>
      </w:r>
      <w:r>
        <w:t>statement</w:t>
      </w:r>
      <w:r w:rsidR="00163230">
        <w:t>s</w:t>
      </w:r>
      <w:r>
        <w:t xml:space="preserve">. In particular, his recommendations should be exhaustive (pro </w:t>
      </w:r>
      <w:proofErr w:type="spellStart"/>
      <w:r>
        <w:t>memoria</w:t>
      </w:r>
      <w:proofErr w:type="spellEnd"/>
      <w:r>
        <w:t>: “The External Auditor had made limited recommendations that year [2024] because of the ongoing review of all extant audit recommendations” (see § 15.9 of Document C24/109</w:t>
      </w:r>
      <w:r w:rsidR="00636F38">
        <w:t>(</w:t>
      </w:r>
      <w:proofErr w:type="spellStart"/>
      <w:r w:rsidR="00636F38">
        <w:t>R</w:t>
      </w:r>
      <w:r>
        <w:t>ev</w:t>
      </w:r>
      <w:r w:rsidR="00636F38">
        <w:t>.</w:t>
      </w:r>
      <w:r>
        <w:t>1</w:t>
      </w:r>
      <w:proofErr w:type="spellEnd"/>
      <w:r>
        <w:t>)).</w:t>
      </w:r>
    </w:p>
    <w:p w14:paraId="4352921E" w14:textId="4E293AC1" w:rsidR="00A514A4" w:rsidRDefault="009D0191" w:rsidP="00C07C7C">
      <w:pPr>
        <w:spacing w:before="100"/>
        <w:jc w:val="both"/>
      </w:pPr>
      <w:r>
        <w:t>In conclusion</w:t>
      </w:r>
      <w:r w:rsidR="00EF32AE">
        <w:t>, Switzerland proposes that i</w:t>
      </w:r>
      <w:r>
        <w:t xml:space="preserve">n order to give substance to the Council’s </w:t>
      </w:r>
      <w:r w:rsidR="00EF32AE">
        <w:t xml:space="preserve">above-mentioned </w:t>
      </w:r>
      <w:r>
        <w:t xml:space="preserve">invitation, the Chair of CWG-FHR should </w:t>
      </w:r>
      <w:r w:rsidR="00EF32AE">
        <w:t xml:space="preserve">on behalf of CWG-FHR </w:t>
      </w:r>
      <w:r w:rsidR="006C2E6F">
        <w:t>invite</w:t>
      </w:r>
      <w:r w:rsidR="00EF32AE">
        <w:t xml:space="preserve"> </w:t>
      </w:r>
      <w:r>
        <w:t xml:space="preserve">the External Auditor to provide to Council 2025 </w:t>
      </w:r>
      <w:r w:rsidR="006C2E6F">
        <w:t xml:space="preserve">with </w:t>
      </w:r>
      <w:r>
        <w:t xml:space="preserve">his </w:t>
      </w:r>
      <w:r w:rsidRPr="00EF32AE">
        <w:rPr>
          <w:i/>
          <w:iCs/>
        </w:rPr>
        <w:t>complete and final</w:t>
      </w:r>
      <w:r>
        <w:t xml:space="preserve"> report on ITU's 2024 financial statements and 2024 financial operating report </w:t>
      </w:r>
      <w:r w:rsidRPr="006C2E6F">
        <w:rPr>
          <w:i/>
          <w:iCs/>
        </w:rPr>
        <w:t xml:space="preserve">to the latest 14 calendar days prior to the </w:t>
      </w:r>
      <w:r w:rsidR="006C2E6F">
        <w:rPr>
          <w:i/>
          <w:iCs/>
        </w:rPr>
        <w:t xml:space="preserve">opening of the </w:t>
      </w:r>
      <w:r w:rsidRPr="006C2E6F">
        <w:rPr>
          <w:i/>
          <w:iCs/>
        </w:rPr>
        <w:t>ordinary Council session</w:t>
      </w:r>
      <w:r>
        <w:t xml:space="preserve">. The Chair of CWG-FHR should also </w:t>
      </w:r>
      <w:r w:rsidR="00EF32AE">
        <w:t>ask the</w:t>
      </w:r>
      <w:r>
        <w:t xml:space="preserve"> Secretary-General to undertake all efforts in form of the secretariat’s collaboration with the external auditor in order to keep to this deadline.</w:t>
      </w:r>
    </w:p>
    <w:p w14:paraId="79D2714B" w14:textId="3169F3C4" w:rsidR="002070B0" w:rsidRPr="00147C54" w:rsidRDefault="002070B0" w:rsidP="00C07C7C">
      <w:pPr>
        <w:spacing w:before="0"/>
        <w:jc w:val="center"/>
      </w:pPr>
      <w:r>
        <w:t>______________</w:t>
      </w:r>
    </w:p>
    <w:sectPr w:rsidR="002070B0" w:rsidRPr="00147C54"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8BDF" w14:textId="77777777" w:rsidR="004E11BA" w:rsidRDefault="004E11BA">
      <w:r>
        <w:separator/>
      </w:r>
    </w:p>
  </w:endnote>
  <w:endnote w:type="continuationSeparator" w:id="0">
    <w:p w14:paraId="1F0DA3C3" w14:textId="77777777" w:rsidR="004E11BA" w:rsidRDefault="004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504A87F2" w14:textId="77777777" w:rsidTr="0042469C">
      <w:trPr>
        <w:jc w:val="center"/>
      </w:trPr>
      <w:tc>
        <w:tcPr>
          <w:tcW w:w="1803" w:type="dxa"/>
          <w:vAlign w:val="center"/>
        </w:tcPr>
        <w:p w14:paraId="13609DED" w14:textId="77777777" w:rsidR="00EE49E8" w:rsidRDefault="00EE49E8" w:rsidP="00EE49E8">
          <w:pPr>
            <w:pStyle w:val="Header"/>
            <w:jc w:val="left"/>
            <w:rPr>
              <w:noProof/>
            </w:rPr>
          </w:pPr>
        </w:p>
      </w:tc>
      <w:tc>
        <w:tcPr>
          <w:tcW w:w="8261" w:type="dxa"/>
        </w:tcPr>
        <w:p w14:paraId="7C9737F4" w14:textId="6EE28F26"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0F6AB8">
            <w:rPr>
              <w:bCs/>
              <w:lang w:val="fr-CH"/>
            </w:rPr>
            <w:t>FHR</w:t>
          </w:r>
          <w:proofErr w:type="spellEnd"/>
          <w:r w:rsidR="00A52C84" w:rsidRPr="00BA3A51">
            <w:rPr>
              <w:bCs/>
              <w:lang w:val="fr-CH"/>
            </w:rPr>
            <w:t>-</w:t>
          </w:r>
          <w:r w:rsidR="0025570E">
            <w:rPr>
              <w:bCs/>
              <w:lang w:val="fr-CH"/>
            </w:rPr>
            <w:t>2</w:t>
          </w:r>
          <w:r w:rsidR="000F6AB8">
            <w:rPr>
              <w:bCs/>
              <w:lang w:val="fr-CH"/>
            </w:rPr>
            <w:t>0/</w:t>
          </w:r>
          <w:r w:rsidR="002070B0">
            <w:rPr>
              <w:bCs/>
              <w:lang w:val="fr-CH"/>
            </w:rPr>
            <w:t>18</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64E35F0"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72DE821B" w14:textId="77777777" w:rsidTr="00A52C84">
      <w:trPr>
        <w:jc w:val="center"/>
      </w:trPr>
      <w:tc>
        <w:tcPr>
          <w:tcW w:w="3107" w:type="dxa"/>
          <w:vAlign w:val="center"/>
        </w:tcPr>
        <w:p w14:paraId="32433DF5" w14:textId="77777777" w:rsidR="00EE49E8" w:rsidRPr="00191EA3" w:rsidRDefault="0025570E" w:rsidP="00EE49E8">
          <w:pPr>
            <w:pStyle w:val="Header"/>
            <w:jc w:val="left"/>
            <w:rPr>
              <w:noProof/>
            </w:rPr>
          </w:pPr>
          <w:hyperlink r:id="rId1" w:history="1">
            <w:r w:rsidRPr="00191EA3">
              <w:rPr>
                <w:rStyle w:val="Hyperlink"/>
                <w:u w:val="none"/>
              </w:rPr>
              <w:t>https://council.itu.int/working-groups</w:t>
            </w:r>
          </w:hyperlink>
        </w:p>
      </w:tc>
      <w:tc>
        <w:tcPr>
          <w:tcW w:w="6957" w:type="dxa"/>
        </w:tcPr>
        <w:p w14:paraId="58ACA90F" w14:textId="60B79EC3"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proofErr w:type="spellStart"/>
          <w:r w:rsidRPr="000F6AB8">
            <w:rPr>
              <w:bCs/>
              <w:lang w:val="es-ES"/>
            </w:rPr>
            <w:t>C</w:t>
          </w:r>
          <w:r w:rsidR="00A52C84" w:rsidRPr="000F6AB8">
            <w:rPr>
              <w:bCs/>
              <w:lang w:val="es-ES"/>
            </w:rPr>
            <w:t>WG</w:t>
          </w:r>
          <w:proofErr w:type="spellEnd"/>
          <w:r w:rsidR="00A52C84" w:rsidRPr="000F6AB8">
            <w:rPr>
              <w:bCs/>
              <w:lang w:val="es-ES"/>
            </w:rPr>
            <w:t>-</w:t>
          </w:r>
          <w:proofErr w:type="spellStart"/>
          <w:r w:rsidR="000F6AB8" w:rsidRPr="000F6AB8">
            <w:rPr>
              <w:bCs/>
              <w:lang w:val="es-ES"/>
            </w:rPr>
            <w:t>FHR</w:t>
          </w:r>
          <w:proofErr w:type="spellEnd"/>
          <w:r w:rsidR="00A52C84" w:rsidRPr="000F6AB8">
            <w:rPr>
              <w:bCs/>
              <w:lang w:val="es-ES"/>
            </w:rPr>
            <w:t>-</w:t>
          </w:r>
          <w:r w:rsidR="0025570E" w:rsidRPr="000F6AB8">
            <w:rPr>
              <w:bCs/>
              <w:lang w:val="es-ES"/>
            </w:rPr>
            <w:t>2</w:t>
          </w:r>
          <w:r w:rsidR="000F6AB8">
            <w:rPr>
              <w:bCs/>
              <w:lang w:val="es-ES"/>
            </w:rPr>
            <w:t>0</w:t>
          </w:r>
          <w:r w:rsidRPr="000F6AB8">
            <w:rPr>
              <w:bCs/>
              <w:lang w:val="es-ES"/>
            </w:rPr>
            <w:t>/</w:t>
          </w:r>
          <w:r w:rsidR="002070B0">
            <w:rPr>
              <w:bCs/>
              <w:lang w:val="es-ES"/>
            </w:rPr>
            <w:t>18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D3247F5"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BD3F" w14:textId="77777777" w:rsidR="004E11BA" w:rsidRDefault="004E11BA">
      <w:r>
        <w:t>____________________</w:t>
      </w:r>
    </w:p>
  </w:footnote>
  <w:footnote w:type="continuationSeparator" w:id="0">
    <w:p w14:paraId="4B74D0ED" w14:textId="77777777" w:rsidR="004E11BA" w:rsidRDefault="004E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11DCE26" w14:textId="77777777" w:rsidTr="00F74694">
      <w:trPr>
        <w:trHeight w:val="1304"/>
        <w:jc w:val="center"/>
      </w:trPr>
      <w:tc>
        <w:tcPr>
          <w:tcW w:w="6546" w:type="dxa"/>
        </w:tcPr>
        <w:p w14:paraId="4AB0D62A" w14:textId="77777777" w:rsidR="00AD3606" w:rsidRPr="009621F8" w:rsidRDefault="00191EA3"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B5A80D3" wp14:editId="2A0CDBF2">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754CF64C"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B17995">
                                  <w:rPr>
                                    <w:sz w:val="20"/>
                                  </w:rPr>
                                  <w:t>19</w:t>
                                </w:r>
                                <w:r>
                                  <w:rPr>
                                    <w:sz w:val="20"/>
                                  </w:rPr>
                                  <w:t xml:space="preserve"> February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5A80D3"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754CF64C"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B17995">
                            <w:rPr>
                              <w:sz w:val="20"/>
                            </w:rPr>
                            <w:t>19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4A5E9CB8" wp14:editId="2AAF157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D14F30E" w14:textId="77777777" w:rsidR="00AD3606" w:rsidRDefault="00AD3606" w:rsidP="00AD3606">
          <w:pPr>
            <w:pStyle w:val="Header"/>
            <w:jc w:val="right"/>
            <w:rPr>
              <w:rFonts w:ascii="Arial" w:hAnsi="Arial" w:cs="Arial"/>
              <w:b/>
              <w:bCs/>
              <w:color w:val="009CD6"/>
              <w:szCs w:val="18"/>
            </w:rPr>
          </w:pPr>
        </w:p>
        <w:p w14:paraId="27BD4C36" w14:textId="77777777" w:rsidR="00AD3606" w:rsidRDefault="00AD3606" w:rsidP="00AD3606">
          <w:pPr>
            <w:pStyle w:val="Header"/>
            <w:jc w:val="right"/>
            <w:rPr>
              <w:rFonts w:ascii="Arial" w:hAnsi="Arial" w:cs="Arial"/>
              <w:b/>
              <w:bCs/>
              <w:color w:val="009CD6"/>
              <w:szCs w:val="18"/>
            </w:rPr>
          </w:pPr>
        </w:p>
        <w:p w14:paraId="24216B4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F7A6098"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D728CF" wp14:editId="6E4557F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76E0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U/QEAANkDAAAOAAAAZHJzL2Uyb0RvYy54bWysU9uO0zAQfUfiHyy/0yS9wDZqulq1WoS0&#10;sCsWPsB1nMTC8Zix27R8PWOnWwq8IV4sj2fm+Jzj8er22Bt2UOg12IoXk5wzZSXU2rYV//rl/s0N&#10;Zz4IWwsDVlX8pDy/Xb9+tRpcqabQgakVMgKxvhxcxbsQXJllXnaqF34CTllKNoC9CBRim9UoBkLv&#10;TTbN87fZAFg7BKm8p9PtmOTrhN80SobHpvEqMFNx4hbSimndxTVbr0TZonCdlmca4h9Y9EJbuvQC&#10;tRVBsD3qv6B6LRE8NGEioc+gabRUSQOpKfI/1Dx3wqmkhczx7mKT/3+w8tPhCZmuK77gzIqenugz&#10;mSZsaxRbRHsG50uqenZPGAV69wDym2cWNh1VqTtEGDolaiJVxPrst4YYeGplu+Ej1IQu9gGSU8cG&#10;+whIHrBjepDT5UHUMTBJh8vZbE68JGXms+ImT++VifKl16EP7xX0LG4qjsQ8YYvDgw+RiyhfShJ3&#10;MLq+18akANvdxiA7iDga+XKzTXKpxV+XGRuLLcS2ETGeJJFR1+jPDuoTaUQY54v+A206wB+cDTRb&#10;Ffff9wIVZ+aDJZ+WxXwehzEF88W7KQV4ndldZ4SVBFXxwNm43YRxgPcOddvRTUUSbeGOvG10Eh59&#10;H1mdydL8JD/Osx4H9DpOVb9+5PonAAAA//8DAFBLAwQUAAYACAAAACEA2Aas1N8AAAAHAQAADwAA&#10;AGRycy9kb3ducmV2LnhtbEyPQU/CQBCF7yb8h82QeJMtNbWkdkuM0QPBgyAXbkt3aAvd2dpdoPjr&#10;HU56epm8l/e+yeeDbcUZe984UjCdRCCQSmcaqhRsvt4fZiB80GR06wgVXNHDvBjd5Toz7kIrPK9D&#10;JbiEfKYV1CF0mZS+rNFqP3EdEnt711sd+OwraXp94XLbyjiKnqTVDfFCrTt8rbE8rk9WQdjGVXr9&#10;XIZ487b8/jgsFs2P2Sp1Px5enkEEHMJfGG74jA4FM+3ciYwXrYL4kYMKZmkC4man/NmONUkSkEUu&#10;//MXvwAAAP//AwBQSwECLQAUAAYACAAAACEAtoM4kv4AAADhAQAAEwAAAAAAAAAAAAAAAAAAAAAA&#10;W0NvbnRlbnRfVHlwZXNdLnhtbFBLAQItABQABgAIAAAAIQA4/SH/1gAAAJQBAAALAAAAAAAAAAAA&#10;AAAAAC8BAABfcmVscy8ucmVsc1BLAQItABQABgAIAAAAIQCvT/YU/QEAANkDAAAOAAAAAAAAAAAA&#10;AAAAAC4CAABkcnMvZTJvRG9jLnhtbFBLAQItABQABgAIAAAAIQDYBqzU3wAAAAcBAAAPAAAAAAAA&#10;AAAAAAAAAFcEAABkcnMvZG93bnJldi54bWxQSwUGAAAAAAQABADzAAAAYw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6196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C9"/>
    <w:rsid w:val="000120E4"/>
    <w:rsid w:val="000210D4"/>
    <w:rsid w:val="00063016"/>
    <w:rsid w:val="00066795"/>
    <w:rsid w:val="00076AF6"/>
    <w:rsid w:val="00085CF2"/>
    <w:rsid w:val="000A0F8E"/>
    <w:rsid w:val="000B1705"/>
    <w:rsid w:val="000D6B3D"/>
    <w:rsid w:val="000D75B2"/>
    <w:rsid w:val="000F6AB8"/>
    <w:rsid w:val="001121F5"/>
    <w:rsid w:val="00130599"/>
    <w:rsid w:val="001400DC"/>
    <w:rsid w:val="00140CE1"/>
    <w:rsid w:val="001463A7"/>
    <w:rsid w:val="00147C54"/>
    <w:rsid w:val="00163230"/>
    <w:rsid w:val="0017539C"/>
    <w:rsid w:val="00175AC2"/>
    <w:rsid w:val="0017609F"/>
    <w:rsid w:val="00191EA3"/>
    <w:rsid w:val="001A7D1D"/>
    <w:rsid w:val="001B51DD"/>
    <w:rsid w:val="001C628E"/>
    <w:rsid w:val="001D526B"/>
    <w:rsid w:val="001E0F7B"/>
    <w:rsid w:val="001E0FBE"/>
    <w:rsid w:val="001E5FE7"/>
    <w:rsid w:val="001F4987"/>
    <w:rsid w:val="002070B0"/>
    <w:rsid w:val="002119FD"/>
    <w:rsid w:val="002130E0"/>
    <w:rsid w:val="00244F7F"/>
    <w:rsid w:val="0025570E"/>
    <w:rsid w:val="002608B7"/>
    <w:rsid w:val="00264425"/>
    <w:rsid w:val="00265875"/>
    <w:rsid w:val="0027303B"/>
    <w:rsid w:val="002739CC"/>
    <w:rsid w:val="0028109B"/>
    <w:rsid w:val="002A2188"/>
    <w:rsid w:val="002B1F58"/>
    <w:rsid w:val="002C1C7A"/>
    <w:rsid w:val="002C54E2"/>
    <w:rsid w:val="002E0AC3"/>
    <w:rsid w:val="0030160F"/>
    <w:rsid w:val="00301AEE"/>
    <w:rsid w:val="00306AF6"/>
    <w:rsid w:val="00312534"/>
    <w:rsid w:val="003145DF"/>
    <w:rsid w:val="00320223"/>
    <w:rsid w:val="00322D0D"/>
    <w:rsid w:val="00355345"/>
    <w:rsid w:val="00361465"/>
    <w:rsid w:val="003857A5"/>
    <w:rsid w:val="003877F5"/>
    <w:rsid w:val="003942D4"/>
    <w:rsid w:val="0039514F"/>
    <w:rsid w:val="003958A8"/>
    <w:rsid w:val="003B29C2"/>
    <w:rsid w:val="003C20CA"/>
    <w:rsid w:val="003C2533"/>
    <w:rsid w:val="003D5A7F"/>
    <w:rsid w:val="003D635C"/>
    <w:rsid w:val="004016E2"/>
    <w:rsid w:val="0040435A"/>
    <w:rsid w:val="00416A24"/>
    <w:rsid w:val="0042059E"/>
    <w:rsid w:val="004310ED"/>
    <w:rsid w:val="00431D9E"/>
    <w:rsid w:val="00433CE8"/>
    <w:rsid w:val="00434A5C"/>
    <w:rsid w:val="004544D9"/>
    <w:rsid w:val="00472BAD"/>
    <w:rsid w:val="004749FB"/>
    <w:rsid w:val="00484009"/>
    <w:rsid w:val="00490E72"/>
    <w:rsid w:val="00491157"/>
    <w:rsid w:val="004921C8"/>
    <w:rsid w:val="00495B0B"/>
    <w:rsid w:val="004A1B8B"/>
    <w:rsid w:val="004B59DB"/>
    <w:rsid w:val="004D1851"/>
    <w:rsid w:val="004D599D"/>
    <w:rsid w:val="004E11BA"/>
    <w:rsid w:val="004E2EA5"/>
    <w:rsid w:val="004E3AEB"/>
    <w:rsid w:val="004F3819"/>
    <w:rsid w:val="0050223C"/>
    <w:rsid w:val="005243FF"/>
    <w:rsid w:val="005311D6"/>
    <w:rsid w:val="00536422"/>
    <w:rsid w:val="00564FBC"/>
    <w:rsid w:val="005800BC"/>
    <w:rsid w:val="00582442"/>
    <w:rsid w:val="00590405"/>
    <w:rsid w:val="005A335D"/>
    <w:rsid w:val="005A730D"/>
    <w:rsid w:val="005C13D4"/>
    <w:rsid w:val="005C2EC9"/>
    <w:rsid w:val="005E2BD5"/>
    <w:rsid w:val="005F3269"/>
    <w:rsid w:val="00615961"/>
    <w:rsid w:val="00623AE3"/>
    <w:rsid w:val="0062548D"/>
    <w:rsid w:val="006261F4"/>
    <w:rsid w:val="00636F38"/>
    <w:rsid w:val="0064737F"/>
    <w:rsid w:val="006535F1"/>
    <w:rsid w:val="0065557D"/>
    <w:rsid w:val="00660D50"/>
    <w:rsid w:val="00662984"/>
    <w:rsid w:val="006716BB"/>
    <w:rsid w:val="00693450"/>
    <w:rsid w:val="006973C8"/>
    <w:rsid w:val="006B1859"/>
    <w:rsid w:val="006B6680"/>
    <w:rsid w:val="006B6DCC"/>
    <w:rsid w:val="006C2E6F"/>
    <w:rsid w:val="00702DEF"/>
    <w:rsid w:val="00702F2A"/>
    <w:rsid w:val="00706861"/>
    <w:rsid w:val="00726B8C"/>
    <w:rsid w:val="0075051B"/>
    <w:rsid w:val="00775655"/>
    <w:rsid w:val="00793188"/>
    <w:rsid w:val="00794D34"/>
    <w:rsid w:val="00806E3C"/>
    <w:rsid w:val="00813AD5"/>
    <w:rsid w:val="00813E5E"/>
    <w:rsid w:val="00816C2C"/>
    <w:rsid w:val="0083581B"/>
    <w:rsid w:val="00860EED"/>
    <w:rsid w:val="00863874"/>
    <w:rsid w:val="00864AFF"/>
    <w:rsid w:val="00865925"/>
    <w:rsid w:val="00891503"/>
    <w:rsid w:val="008B3296"/>
    <w:rsid w:val="008B4A6A"/>
    <w:rsid w:val="008C7E27"/>
    <w:rsid w:val="008F3822"/>
    <w:rsid w:val="008F7448"/>
    <w:rsid w:val="00900D7C"/>
    <w:rsid w:val="0090147A"/>
    <w:rsid w:val="0090389B"/>
    <w:rsid w:val="009173EF"/>
    <w:rsid w:val="00932906"/>
    <w:rsid w:val="00961860"/>
    <w:rsid w:val="00961B0B"/>
    <w:rsid w:val="00962D33"/>
    <w:rsid w:val="009B38C3"/>
    <w:rsid w:val="009D0191"/>
    <w:rsid w:val="009D6CA6"/>
    <w:rsid w:val="009E17BD"/>
    <w:rsid w:val="009E485A"/>
    <w:rsid w:val="00A04CEC"/>
    <w:rsid w:val="00A27F92"/>
    <w:rsid w:val="00A32257"/>
    <w:rsid w:val="00A36D20"/>
    <w:rsid w:val="00A43C03"/>
    <w:rsid w:val="00A46CD0"/>
    <w:rsid w:val="00A514A4"/>
    <w:rsid w:val="00A52C84"/>
    <w:rsid w:val="00A534C9"/>
    <w:rsid w:val="00A55622"/>
    <w:rsid w:val="00A65151"/>
    <w:rsid w:val="00A71DFE"/>
    <w:rsid w:val="00A82C8B"/>
    <w:rsid w:val="00A83502"/>
    <w:rsid w:val="00A868EB"/>
    <w:rsid w:val="00AD15B3"/>
    <w:rsid w:val="00AD3606"/>
    <w:rsid w:val="00AD4A3D"/>
    <w:rsid w:val="00AF6386"/>
    <w:rsid w:val="00AF6E49"/>
    <w:rsid w:val="00B04A67"/>
    <w:rsid w:val="00B0583C"/>
    <w:rsid w:val="00B16E67"/>
    <w:rsid w:val="00B17995"/>
    <w:rsid w:val="00B248BC"/>
    <w:rsid w:val="00B358B2"/>
    <w:rsid w:val="00B40A81"/>
    <w:rsid w:val="00B44910"/>
    <w:rsid w:val="00B72267"/>
    <w:rsid w:val="00B73DD1"/>
    <w:rsid w:val="00B76EB6"/>
    <w:rsid w:val="00B7737B"/>
    <w:rsid w:val="00B824C8"/>
    <w:rsid w:val="00B849D3"/>
    <w:rsid w:val="00B84B9D"/>
    <w:rsid w:val="00B96F52"/>
    <w:rsid w:val="00BA3A51"/>
    <w:rsid w:val="00BB44D5"/>
    <w:rsid w:val="00BC251A"/>
    <w:rsid w:val="00BD032B"/>
    <w:rsid w:val="00BD0614"/>
    <w:rsid w:val="00BD094B"/>
    <w:rsid w:val="00BE0897"/>
    <w:rsid w:val="00BE2640"/>
    <w:rsid w:val="00BF06F0"/>
    <w:rsid w:val="00C01189"/>
    <w:rsid w:val="00C07C7C"/>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0777D"/>
    <w:rsid w:val="00D102FF"/>
    <w:rsid w:val="00D22C42"/>
    <w:rsid w:val="00D45669"/>
    <w:rsid w:val="00D46480"/>
    <w:rsid w:val="00D464CC"/>
    <w:rsid w:val="00D517FF"/>
    <w:rsid w:val="00D522F6"/>
    <w:rsid w:val="00D65041"/>
    <w:rsid w:val="00DB00D5"/>
    <w:rsid w:val="00DB1936"/>
    <w:rsid w:val="00DB384B"/>
    <w:rsid w:val="00DF0189"/>
    <w:rsid w:val="00E03FA7"/>
    <w:rsid w:val="00E06FD5"/>
    <w:rsid w:val="00E10E80"/>
    <w:rsid w:val="00E124F0"/>
    <w:rsid w:val="00E227F3"/>
    <w:rsid w:val="00E4728B"/>
    <w:rsid w:val="00E545C6"/>
    <w:rsid w:val="00E60F04"/>
    <w:rsid w:val="00E6380C"/>
    <w:rsid w:val="00E63EFF"/>
    <w:rsid w:val="00E65B24"/>
    <w:rsid w:val="00E7795E"/>
    <w:rsid w:val="00E854E4"/>
    <w:rsid w:val="00E86DBF"/>
    <w:rsid w:val="00EB0D6F"/>
    <w:rsid w:val="00EB2232"/>
    <w:rsid w:val="00EC5337"/>
    <w:rsid w:val="00EE103A"/>
    <w:rsid w:val="00EE49E8"/>
    <w:rsid w:val="00EF32AE"/>
    <w:rsid w:val="00F10B59"/>
    <w:rsid w:val="00F16BAB"/>
    <w:rsid w:val="00F2150A"/>
    <w:rsid w:val="00F21AA6"/>
    <w:rsid w:val="00F231D8"/>
    <w:rsid w:val="00F4315D"/>
    <w:rsid w:val="00F44C00"/>
    <w:rsid w:val="00F45D2C"/>
    <w:rsid w:val="00F46C5F"/>
    <w:rsid w:val="00F632C0"/>
    <w:rsid w:val="00F74694"/>
    <w:rsid w:val="00F86596"/>
    <w:rsid w:val="00F93FD4"/>
    <w:rsid w:val="00F94A63"/>
    <w:rsid w:val="00FA1C28"/>
    <w:rsid w:val="00FB1279"/>
    <w:rsid w:val="00FB6B76"/>
    <w:rsid w:val="00FB7596"/>
    <w:rsid w:val="00FC5D96"/>
    <w:rsid w:val="00FE4077"/>
    <w:rsid w:val="00FE500D"/>
    <w:rsid w:val="00FE77D2"/>
    <w:rsid w:val="00FF4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BE32A"/>
  <w15:docId w15:val="{18E897BE-9BB7-41D1-9EF8-EFB9E36C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character" w:styleId="CommentReference">
    <w:name w:val="annotation reference"/>
    <w:basedOn w:val="DefaultParagraphFont"/>
    <w:semiHidden/>
    <w:unhideWhenUsed/>
    <w:rsid w:val="000D6B3D"/>
    <w:rPr>
      <w:sz w:val="16"/>
      <w:szCs w:val="16"/>
    </w:rPr>
  </w:style>
  <w:style w:type="paragraph" w:styleId="CommentText">
    <w:name w:val="annotation text"/>
    <w:basedOn w:val="Normal"/>
    <w:link w:val="CommentTextChar"/>
    <w:semiHidden/>
    <w:unhideWhenUsed/>
    <w:rsid w:val="000D6B3D"/>
    <w:rPr>
      <w:sz w:val="20"/>
    </w:rPr>
  </w:style>
  <w:style w:type="character" w:customStyle="1" w:styleId="CommentTextChar">
    <w:name w:val="Comment Text Char"/>
    <w:basedOn w:val="DefaultParagraphFont"/>
    <w:link w:val="CommentText"/>
    <w:semiHidden/>
    <w:rsid w:val="000D6B3D"/>
    <w:rPr>
      <w:rFonts w:ascii="Calibri" w:hAnsi="Calibri"/>
      <w:lang w:val="en-GB" w:eastAsia="en-US"/>
    </w:rPr>
  </w:style>
  <w:style w:type="paragraph" w:styleId="CommentSubject">
    <w:name w:val="annotation subject"/>
    <w:basedOn w:val="CommentText"/>
    <w:next w:val="CommentText"/>
    <w:link w:val="CommentSubjectChar"/>
    <w:semiHidden/>
    <w:unhideWhenUsed/>
    <w:rsid w:val="000D6B3D"/>
    <w:rPr>
      <w:b/>
      <w:bCs/>
    </w:rPr>
  </w:style>
  <w:style w:type="character" w:customStyle="1" w:styleId="CommentSubjectChar">
    <w:name w:val="Comment Subject Char"/>
    <w:basedOn w:val="CommentTextChar"/>
    <w:link w:val="CommentSubject"/>
    <w:semiHidden/>
    <w:rsid w:val="000D6B3D"/>
    <w:rPr>
      <w:rFonts w:ascii="Calibri" w:hAnsi="Calibri"/>
      <w:b/>
      <w:bCs/>
      <w:lang w:val="en-GB" w:eastAsia="en-US"/>
    </w:rPr>
  </w:style>
  <w:style w:type="paragraph" w:customStyle="1" w:styleId="Reasons">
    <w:name w:val="Reasons"/>
    <w:basedOn w:val="Normal"/>
    <w:qFormat/>
    <w:rsid w:val="002070B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9234">
      <w:bodyDiv w:val="1"/>
      <w:marLeft w:val="0"/>
      <w:marRight w:val="0"/>
      <w:marTop w:val="0"/>
      <w:marBottom w:val="0"/>
      <w:divBdr>
        <w:top w:val="none" w:sz="0" w:space="0" w:color="auto"/>
        <w:left w:val="none" w:sz="0" w:space="0" w:color="auto"/>
        <w:bottom w:val="none" w:sz="0" w:space="0" w:color="auto"/>
        <w:right w:val="none" w:sz="0" w:space="0" w:color="auto"/>
      </w:divBdr>
      <w:divsChild>
        <w:div w:id="650183916">
          <w:marLeft w:val="0"/>
          <w:marRight w:val="0"/>
          <w:marTop w:val="0"/>
          <w:marBottom w:val="0"/>
          <w:divBdr>
            <w:top w:val="none" w:sz="0" w:space="0" w:color="auto"/>
            <w:left w:val="none" w:sz="0" w:space="0" w:color="auto"/>
            <w:bottom w:val="none" w:sz="0" w:space="0" w:color="auto"/>
            <w:right w:val="none" w:sz="0" w:space="0" w:color="auto"/>
          </w:divBdr>
          <w:divsChild>
            <w:div w:id="774981321">
              <w:marLeft w:val="0"/>
              <w:marRight w:val="0"/>
              <w:marTop w:val="0"/>
              <w:marBottom w:val="0"/>
              <w:divBdr>
                <w:top w:val="none" w:sz="0" w:space="0" w:color="auto"/>
                <w:left w:val="none" w:sz="0" w:space="0" w:color="auto"/>
                <w:bottom w:val="none" w:sz="0" w:space="0" w:color="auto"/>
                <w:right w:val="none" w:sz="0" w:space="0" w:color="auto"/>
              </w:divBdr>
              <w:divsChild>
                <w:div w:id="789907471">
                  <w:marLeft w:val="0"/>
                  <w:marRight w:val="0"/>
                  <w:marTop w:val="0"/>
                  <w:marBottom w:val="0"/>
                  <w:divBdr>
                    <w:top w:val="none" w:sz="0" w:space="0" w:color="auto"/>
                    <w:left w:val="none" w:sz="0" w:space="0" w:color="auto"/>
                    <w:bottom w:val="none" w:sz="0" w:space="0" w:color="auto"/>
                    <w:right w:val="none" w:sz="0" w:space="0" w:color="auto"/>
                  </w:divBdr>
                  <w:divsChild>
                    <w:div w:id="1015763371">
                      <w:marLeft w:val="0"/>
                      <w:marRight w:val="0"/>
                      <w:marTop w:val="0"/>
                      <w:marBottom w:val="0"/>
                      <w:divBdr>
                        <w:top w:val="none" w:sz="0" w:space="0" w:color="auto"/>
                        <w:left w:val="none" w:sz="0" w:space="0" w:color="auto"/>
                        <w:bottom w:val="none" w:sz="0" w:space="0" w:color="auto"/>
                        <w:right w:val="none" w:sz="0" w:space="0" w:color="auto"/>
                      </w:divBdr>
                      <w:divsChild>
                        <w:div w:id="805397803">
                          <w:marLeft w:val="0"/>
                          <w:marRight w:val="0"/>
                          <w:marTop w:val="0"/>
                          <w:marBottom w:val="0"/>
                          <w:divBdr>
                            <w:top w:val="none" w:sz="0" w:space="0" w:color="auto"/>
                            <w:left w:val="none" w:sz="0" w:space="0" w:color="auto"/>
                            <w:bottom w:val="none" w:sz="0" w:space="0" w:color="auto"/>
                            <w:right w:val="none" w:sz="0" w:space="0" w:color="auto"/>
                          </w:divBdr>
                          <w:divsChild>
                            <w:div w:id="1795560264">
                              <w:marLeft w:val="0"/>
                              <w:marRight w:val="0"/>
                              <w:marTop w:val="0"/>
                              <w:marBottom w:val="0"/>
                              <w:divBdr>
                                <w:top w:val="none" w:sz="0" w:space="0" w:color="auto"/>
                                <w:left w:val="none" w:sz="0" w:space="0" w:color="auto"/>
                                <w:bottom w:val="none" w:sz="0" w:space="0" w:color="auto"/>
                                <w:right w:val="none" w:sz="0" w:space="0" w:color="auto"/>
                              </w:divBdr>
                              <w:divsChild>
                                <w:div w:id="186334458">
                                  <w:marLeft w:val="0"/>
                                  <w:marRight w:val="0"/>
                                  <w:marTop w:val="0"/>
                                  <w:marBottom w:val="0"/>
                                  <w:divBdr>
                                    <w:top w:val="none" w:sz="0" w:space="0" w:color="auto"/>
                                    <w:left w:val="none" w:sz="0" w:space="0" w:color="auto"/>
                                    <w:bottom w:val="none" w:sz="0" w:space="0" w:color="auto"/>
                                    <w:right w:val="none" w:sz="0" w:space="0" w:color="auto"/>
                                  </w:divBdr>
                                  <w:divsChild>
                                    <w:div w:id="798689713">
                                      <w:marLeft w:val="0"/>
                                      <w:marRight w:val="0"/>
                                      <w:marTop w:val="0"/>
                                      <w:marBottom w:val="0"/>
                                      <w:divBdr>
                                        <w:top w:val="none" w:sz="0" w:space="0" w:color="auto"/>
                                        <w:left w:val="none" w:sz="0" w:space="0" w:color="auto"/>
                                        <w:bottom w:val="none" w:sz="0" w:space="0" w:color="auto"/>
                                        <w:right w:val="none" w:sz="0" w:space="0" w:color="auto"/>
                                      </w:divBdr>
                                    </w:div>
                                    <w:div w:id="352532337">
                                      <w:marLeft w:val="0"/>
                                      <w:marRight w:val="0"/>
                                      <w:marTop w:val="0"/>
                                      <w:marBottom w:val="0"/>
                                      <w:divBdr>
                                        <w:top w:val="none" w:sz="0" w:space="0" w:color="auto"/>
                                        <w:left w:val="none" w:sz="0" w:space="0" w:color="auto"/>
                                        <w:bottom w:val="none" w:sz="0" w:space="0" w:color="auto"/>
                                        <w:right w:val="none" w:sz="0" w:space="0" w:color="auto"/>
                                      </w:divBdr>
                                      <w:divsChild>
                                        <w:div w:id="386344543">
                                          <w:marLeft w:val="0"/>
                                          <w:marRight w:val="165"/>
                                          <w:marTop w:val="150"/>
                                          <w:marBottom w:val="0"/>
                                          <w:divBdr>
                                            <w:top w:val="none" w:sz="0" w:space="0" w:color="auto"/>
                                            <w:left w:val="none" w:sz="0" w:space="0" w:color="auto"/>
                                            <w:bottom w:val="none" w:sz="0" w:space="0" w:color="auto"/>
                                            <w:right w:val="none" w:sz="0" w:space="0" w:color="auto"/>
                                          </w:divBdr>
                                          <w:divsChild>
                                            <w:div w:id="659965520">
                                              <w:marLeft w:val="0"/>
                                              <w:marRight w:val="0"/>
                                              <w:marTop w:val="0"/>
                                              <w:marBottom w:val="0"/>
                                              <w:divBdr>
                                                <w:top w:val="none" w:sz="0" w:space="0" w:color="auto"/>
                                                <w:left w:val="none" w:sz="0" w:space="0" w:color="auto"/>
                                                <w:bottom w:val="none" w:sz="0" w:space="0" w:color="auto"/>
                                                <w:right w:val="none" w:sz="0" w:space="0" w:color="auto"/>
                                              </w:divBdr>
                                              <w:divsChild>
                                                <w:div w:id="1724283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3/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23ADD-C-0009/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09/en" TargetMode="External"/><Relationship Id="rId5" Type="http://schemas.openxmlformats.org/officeDocument/2006/relationships/numbering" Target="numbering.xml"/><Relationship Id="rId15" Type="http://schemas.openxmlformats.org/officeDocument/2006/relationships/hyperlink" Target="https://www.itu.int/md/S24-CL-C-0109/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DM-CIR-1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31a26b5e6a84297540fb9bcd5875ca0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6CDA3-4386-471A-B091-F0C4CF13004D}">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B4EBF1F-C913-41FD-9B59-7931E17B88AA}">
  <ds:schemaRefs>
    <ds:schemaRef ds:uri="http://schemas.microsoft.com/sharepoint/v3"/>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1aaea1ea-72e4-4374-b05e-72e2f16fb7ae"/>
    <ds:schemaRef ds:uri="http://schemas.microsoft.com/office/2006/metadata/properties"/>
  </ds:schemaRefs>
</ds:datastoreItem>
</file>

<file path=customXml/itemProps4.xml><?xml version="1.0" encoding="utf-8"?>
<ds:datastoreItem xmlns:ds="http://schemas.openxmlformats.org/officeDocument/2006/customXml" ds:itemID="{A8A9E961-662F-42AA-8B7F-3A84C250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4320</Characters>
  <Application>Microsoft Office Word</Application>
  <DocSecurity>0</DocSecurity>
  <Lines>77</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5108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return to the normal reporting cycle for the 2024 financial statements</dc:title>
  <dc:subject>ITU Council Working Group on financial and human resources</dc:subject>
  <cp:keywords>CWG-FHR</cp:keywords>
  <dc:description/>
  <dcterms:created xsi:type="dcterms:W3CDTF">2025-01-10T08:21:00Z</dcterms:created>
  <dcterms:modified xsi:type="dcterms:W3CDTF">2025-01-10T08:28:00Z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0x01010041A5AED0024D4C4B908559843DB30158</vt:lpwstr>
  </property>
  <property fmtid="{D5CDD505-2E9C-101B-9397-08002B2CF9AE}" pid="3" name="GrammarlyDocumentId">
    <vt:lpwstr>bb0cbb53ca4c53a299e2c672c92c0f4c41b283aeebce5d944a4fe65c59ea5ed1</vt:lpwstr>
  </property>
</Properties>
</file>