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280D9B" w14:paraId="1060EB57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A658C38" w14:textId="77777777" w:rsidR="00AD3606" w:rsidRPr="00280D9B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54C122CD" w14:textId="412FCF57" w:rsidR="00AD3606" w:rsidRPr="00280D9B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280D9B">
              <w:rPr>
                <w:b/>
              </w:rPr>
              <w:t>Document C</w:t>
            </w:r>
            <w:r w:rsidR="00A52C84" w:rsidRPr="00280D9B">
              <w:rPr>
                <w:b/>
              </w:rPr>
              <w:t>WG-</w:t>
            </w:r>
            <w:r w:rsidR="000F6AB8" w:rsidRPr="00280D9B">
              <w:rPr>
                <w:b/>
              </w:rPr>
              <w:t>FHR</w:t>
            </w:r>
            <w:r w:rsidR="00A52C84" w:rsidRPr="00280D9B">
              <w:rPr>
                <w:b/>
              </w:rPr>
              <w:t>-</w:t>
            </w:r>
            <w:r w:rsidR="0025570E" w:rsidRPr="00280D9B">
              <w:rPr>
                <w:b/>
              </w:rPr>
              <w:t>2</w:t>
            </w:r>
            <w:r w:rsidR="000F6AB8" w:rsidRPr="00280D9B">
              <w:rPr>
                <w:b/>
              </w:rPr>
              <w:t>0</w:t>
            </w:r>
            <w:r w:rsidR="00301AEE" w:rsidRPr="00280D9B">
              <w:rPr>
                <w:b/>
              </w:rPr>
              <w:t>/</w:t>
            </w:r>
            <w:r w:rsidR="007E7C29" w:rsidRPr="00280D9B">
              <w:rPr>
                <w:b/>
              </w:rPr>
              <w:t>15</w:t>
            </w:r>
          </w:p>
        </w:tc>
      </w:tr>
      <w:tr w:rsidR="00AD3606" w:rsidRPr="00280D9B" w14:paraId="3BC04687" w14:textId="77777777" w:rsidTr="00AD3606">
        <w:trPr>
          <w:cantSplit/>
        </w:trPr>
        <w:tc>
          <w:tcPr>
            <w:tcW w:w="3969" w:type="dxa"/>
            <w:vMerge/>
          </w:tcPr>
          <w:p w14:paraId="71312C6A" w14:textId="77777777" w:rsidR="00AD3606" w:rsidRPr="00280D9B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0681C71D" w14:textId="22A120B0" w:rsidR="00AD3606" w:rsidRPr="00280D9B" w:rsidRDefault="007106CB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280D9B">
              <w:rPr>
                <w:b/>
              </w:rPr>
              <w:t>2</w:t>
            </w:r>
            <w:r w:rsidR="00D14D0B" w:rsidRPr="00280D9B">
              <w:rPr>
                <w:b/>
              </w:rPr>
              <w:t>1</w:t>
            </w:r>
            <w:r w:rsidRPr="00280D9B">
              <w:rPr>
                <w:b/>
              </w:rPr>
              <w:t xml:space="preserve"> </w:t>
            </w:r>
            <w:r w:rsidR="00752AD4" w:rsidRPr="00280D9B">
              <w:rPr>
                <w:b/>
              </w:rPr>
              <w:t>January 2025</w:t>
            </w:r>
          </w:p>
        </w:tc>
      </w:tr>
      <w:tr w:rsidR="00AD3606" w:rsidRPr="00280D9B" w14:paraId="4ACD5A0D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5A5E7C36" w14:textId="77777777" w:rsidR="00AD3606" w:rsidRPr="00280D9B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75D01548" w14:textId="77777777" w:rsidR="00AD3606" w:rsidRPr="00280D9B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280D9B">
              <w:rPr>
                <w:b/>
              </w:rPr>
              <w:t>English only</w:t>
            </w:r>
          </w:p>
        </w:tc>
      </w:tr>
      <w:tr w:rsidR="00472BAD" w:rsidRPr="00280D9B" w14:paraId="1B07D590" w14:textId="77777777" w:rsidTr="00AD3606">
        <w:trPr>
          <w:cantSplit/>
          <w:trHeight w:val="23"/>
        </w:trPr>
        <w:tc>
          <w:tcPr>
            <w:tcW w:w="3969" w:type="dxa"/>
          </w:tcPr>
          <w:p w14:paraId="430477F8" w14:textId="77777777" w:rsidR="00472BAD" w:rsidRPr="00280D9B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D7B375E" w14:textId="77777777" w:rsidR="00472BAD" w:rsidRPr="00280D9B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280D9B" w14:paraId="78A189C9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698A292" w14:textId="7BC6C465" w:rsidR="00AD3606" w:rsidRPr="00280D9B" w:rsidRDefault="007013DD" w:rsidP="007013DD">
            <w:pPr>
              <w:pStyle w:val="Source"/>
              <w:framePr w:hSpace="0" w:wrap="auto" w:vAnchor="margin" w:hAnchor="text" w:xAlign="left" w:yAlign="inline"/>
            </w:pPr>
            <w:bookmarkStart w:id="8" w:name="dsource" w:colFirst="0" w:colLast="0"/>
            <w:bookmarkEnd w:id="7"/>
            <w:r w:rsidRPr="00280D9B">
              <w:t>Report by the Secretary-General</w:t>
            </w:r>
          </w:p>
        </w:tc>
      </w:tr>
      <w:tr w:rsidR="00AD3606" w:rsidRPr="00280D9B" w14:paraId="0FC656B8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82FE08C" w14:textId="51CD841A" w:rsidR="00AD3606" w:rsidRPr="00280D9B" w:rsidRDefault="007E7C29" w:rsidP="007013DD">
            <w:pPr>
              <w:pStyle w:val="Subtitle"/>
              <w:framePr w:hSpace="0" w:wrap="auto" w:xAlign="left" w:yAlign="inline"/>
            </w:pPr>
            <w:bookmarkStart w:id="9" w:name="dtitle1" w:colFirst="0" w:colLast="0"/>
            <w:bookmarkEnd w:id="8"/>
            <w:r w:rsidRPr="00280D9B">
              <w:t>PREPARATION OF THE DRAFT BUDGET OF THE UNION FOR 2026-2027</w:t>
            </w:r>
          </w:p>
        </w:tc>
      </w:tr>
      <w:tr w:rsidR="00AD3606" w:rsidRPr="00280D9B" w14:paraId="4A237936" w14:textId="77777777" w:rsidTr="00AD3606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46F98DFC" w14:textId="77777777" w:rsidR="00AD3606" w:rsidRPr="00280D9B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280D9B">
              <w:rPr>
                <w:b/>
                <w:bCs/>
                <w:sz w:val="26"/>
                <w:szCs w:val="26"/>
              </w:rPr>
              <w:t>Purpose</w:t>
            </w:r>
          </w:p>
          <w:p w14:paraId="6EC8DEC6" w14:textId="0939AEFC" w:rsidR="00AD3606" w:rsidRPr="00280D9B" w:rsidRDefault="00752AD4" w:rsidP="00F16BAB">
            <w:r w:rsidRPr="00280D9B">
              <w:t xml:space="preserve">The purpose of this document is to </w:t>
            </w:r>
            <w:r w:rsidR="008C59BD" w:rsidRPr="00280D9B">
              <w:t xml:space="preserve">present </w:t>
            </w:r>
            <w:r w:rsidR="007710F6" w:rsidRPr="00280D9B">
              <w:t xml:space="preserve">an update on the process for development of the </w:t>
            </w:r>
            <w:r w:rsidR="008C59BD" w:rsidRPr="00280D9B">
              <w:t xml:space="preserve">budget for 2026-2027. </w:t>
            </w:r>
          </w:p>
          <w:p w14:paraId="2B175727" w14:textId="77777777" w:rsidR="00AD3606" w:rsidRPr="00280D9B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280D9B">
              <w:rPr>
                <w:b/>
                <w:bCs/>
                <w:sz w:val="26"/>
                <w:szCs w:val="26"/>
              </w:rPr>
              <w:t>Action required</w:t>
            </w:r>
          </w:p>
          <w:p w14:paraId="39774B5C" w14:textId="0204C4FE" w:rsidR="0025570E" w:rsidRPr="00280D9B" w:rsidRDefault="006973C8" w:rsidP="00FA22FC">
            <w:pPr>
              <w:spacing w:before="160"/>
              <w:jc w:val="both"/>
            </w:pPr>
            <w:r w:rsidRPr="00280D9B">
              <w:t xml:space="preserve">The Council Working Group on financial and human resources is invited to </w:t>
            </w:r>
            <w:r w:rsidR="00F057DA" w:rsidRPr="00280D9B">
              <w:t xml:space="preserve">note </w:t>
            </w:r>
            <w:r w:rsidRPr="00280D9B">
              <w:t>this document</w:t>
            </w:r>
            <w:r w:rsidR="007710F6" w:rsidRPr="00280D9B">
              <w:t>,</w:t>
            </w:r>
            <w:r w:rsidR="008C59BD" w:rsidRPr="00280D9B">
              <w:t xml:space="preserve"> </w:t>
            </w:r>
            <w:r w:rsidR="00F057DA" w:rsidRPr="00280D9B">
              <w:t xml:space="preserve">and </w:t>
            </w:r>
            <w:r w:rsidR="00156AAE" w:rsidRPr="00280D9B">
              <w:t>the</w:t>
            </w:r>
            <w:r w:rsidR="00F057DA" w:rsidRPr="00280D9B">
              <w:t xml:space="preserve"> approaches </w:t>
            </w:r>
            <w:r w:rsidR="00156AAE" w:rsidRPr="00280D9B">
              <w:t xml:space="preserve">take by ITU </w:t>
            </w:r>
            <w:r w:rsidR="00F057DA" w:rsidRPr="00280D9B">
              <w:t>to fund it</w:t>
            </w:r>
            <w:r w:rsidR="00156AAE" w:rsidRPr="00280D9B">
              <w:t>s</w:t>
            </w:r>
            <w:r w:rsidR="00F057DA" w:rsidRPr="00280D9B">
              <w:t xml:space="preserve"> activities</w:t>
            </w:r>
            <w:r w:rsidR="00156AAE" w:rsidRPr="00280D9B">
              <w:t xml:space="preserve"> within the </w:t>
            </w:r>
            <w:r w:rsidR="00D127EF" w:rsidRPr="00280D9B">
              <w:t>agreed</w:t>
            </w:r>
            <w:r w:rsidR="00156AAE" w:rsidRPr="00280D9B">
              <w:t xml:space="preserve"> resources available through ITU’s regular budget</w:t>
            </w:r>
            <w:r w:rsidRPr="00280D9B">
              <w:t>.</w:t>
            </w:r>
          </w:p>
          <w:p w14:paraId="655B3B16" w14:textId="77777777" w:rsidR="005160BD" w:rsidRPr="00280D9B" w:rsidRDefault="005160BD" w:rsidP="005160BD">
            <w:r w:rsidRPr="00280D9B">
              <w:t>_______________</w:t>
            </w:r>
          </w:p>
          <w:p w14:paraId="399A6F5E" w14:textId="77777777" w:rsidR="005160BD" w:rsidRPr="00280D9B" w:rsidRDefault="005160BD" w:rsidP="005160BD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280D9B">
              <w:rPr>
                <w:b/>
                <w:bCs/>
                <w:sz w:val="26"/>
                <w:szCs w:val="26"/>
              </w:rPr>
              <w:t xml:space="preserve">References </w:t>
            </w:r>
          </w:p>
          <w:p w14:paraId="71C2682D" w14:textId="2D0AB28A" w:rsidR="00AD3606" w:rsidRPr="00280D9B" w:rsidRDefault="005160BD" w:rsidP="005160BD">
            <w:pPr>
              <w:spacing w:before="160"/>
              <w:rPr>
                <w:i/>
                <w:iCs/>
                <w:sz w:val="22"/>
                <w:szCs w:val="22"/>
              </w:rPr>
            </w:pPr>
            <w:r w:rsidRPr="00280D9B">
              <w:rPr>
                <w:i/>
                <w:iCs/>
                <w:sz w:val="22"/>
                <w:szCs w:val="22"/>
              </w:rPr>
              <w:t xml:space="preserve">Decision </w:t>
            </w:r>
            <w:hyperlink r:id="rId11" w:history="1">
              <w:r w:rsidRPr="00280D9B">
                <w:rPr>
                  <w:rStyle w:val="Hyperlink"/>
                  <w:i/>
                  <w:iCs/>
                  <w:sz w:val="22"/>
                  <w:szCs w:val="22"/>
                </w:rPr>
                <w:t>5 (Rev. Bucharest, 2022)</w:t>
              </w:r>
            </w:hyperlink>
            <w:r w:rsidRPr="00280D9B">
              <w:rPr>
                <w:i/>
                <w:iCs/>
                <w:sz w:val="22"/>
                <w:szCs w:val="22"/>
              </w:rPr>
              <w:t xml:space="preserve">; CV </w:t>
            </w:r>
            <w:hyperlink r:id="rId12" w:history="1">
              <w:r w:rsidRPr="00280D9B">
                <w:rPr>
                  <w:rStyle w:val="Hyperlink"/>
                  <w:i/>
                  <w:iCs/>
                  <w:sz w:val="22"/>
                  <w:szCs w:val="22"/>
                </w:rPr>
                <w:t>Article 5</w:t>
              </w:r>
            </w:hyperlink>
            <w:r w:rsidRPr="00280D9B">
              <w:rPr>
                <w:i/>
                <w:iCs/>
                <w:sz w:val="22"/>
                <w:szCs w:val="22"/>
              </w:rPr>
              <w:t>, provision 100</w:t>
            </w:r>
          </w:p>
        </w:tc>
      </w:tr>
    </w:tbl>
    <w:p w14:paraId="4DEDF7FD" w14:textId="77777777" w:rsidR="00E227F3" w:rsidRPr="00280D9B" w:rsidRDefault="00E227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bookmarkStart w:id="10" w:name="_Hlk133421428"/>
      <w:bookmarkEnd w:id="2"/>
      <w:bookmarkEnd w:id="9"/>
    </w:p>
    <w:bookmarkEnd w:id="3"/>
    <w:bookmarkEnd w:id="4"/>
    <w:p w14:paraId="3D4F89EA" w14:textId="77777777" w:rsidR="0090147A" w:rsidRPr="00280D9B" w:rsidRDefault="009014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</w:rPr>
      </w:pPr>
      <w:r w:rsidRPr="00280D9B">
        <w:br w:type="page"/>
      </w:r>
    </w:p>
    <w:bookmarkEnd w:id="5"/>
    <w:bookmarkEnd w:id="10"/>
    <w:p w14:paraId="0D6BE615" w14:textId="7DCA56B3" w:rsidR="00752AD4" w:rsidRPr="00280D9B" w:rsidRDefault="003D24C7" w:rsidP="00E402FA">
      <w:pPr>
        <w:jc w:val="both"/>
      </w:pPr>
      <w:r w:rsidRPr="00280D9B">
        <w:lastRenderedPageBreak/>
        <w:t>1</w:t>
      </w:r>
      <w:r w:rsidRPr="00280D9B">
        <w:tab/>
        <w:t>This document presents the status of the draft biennial Budget for the years 2026-2027</w:t>
      </w:r>
      <w:r w:rsidR="00CB5B8E" w:rsidRPr="00280D9B">
        <w:t xml:space="preserve">, as </w:t>
      </w:r>
      <w:r w:rsidR="007013DD" w:rsidRPr="00280D9B">
        <w:t>of</w:t>
      </w:r>
      <w:r w:rsidR="00CB5B8E" w:rsidRPr="00280D9B">
        <w:t xml:space="preserve"> 20 January 2025</w:t>
      </w:r>
      <w:r w:rsidRPr="00280D9B">
        <w:t>. At this stage of the preparation of the draft budget for 2026-2027, expenses and revenue are not balanced and indicate</w:t>
      </w:r>
      <w:r w:rsidR="00156AAE" w:rsidRPr="00280D9B">
        <w:t>s</w:t>
      </w:r>
      <w:r w:rsidRPr="00280D9B">
        <w:t xml:space="preserve"> a deficit of some </w:t>
      </w:r>
      <w:proofErr w:type="spellStart"/>
      <w:r w:rsidRPr="00280D9B">
        <w:t>MCHF</w:t>
      </w:r>
      <w:proofErr w:type="spellEnd"/>
      <w:r w:rsidRPr="00280D9B">
        <w:t xml:space="preserve"> </w:t>
      </w:r>
      <w:r w:rsidR="00D14D0B" w:rsidRPr="00280D9B">
        <w:t>18.1</w:t>
      </w:r>
      <w:r w:rsidRPr="00280D9B">
        <w:t>.</w:t>
      </w:r>
      <w:r w:rsidR="00156AAE" w:rsidRPr="00280D9B">
        <w:t xml:space="preserve"> </w:t>
      </w:r>
      <w:r w:rsidR="00652D44" w:rsidRPr="00280D9B">
        <w:t>The Secretariat</w:t>
      </w:r>
      <w:r w:rsidR="00156AAE" w:rsidRPr="00280D9B">
        <w:t xml:space="preserve"> will </w:t>
      </w:r>
      <w:r w:rsidR="00C74621" w:rsidRPr="00280D9B">
        <w:t>continue</w:t>
      </w:r>
      <w:r w:rsidR="00156AAE" w:rsidRPr="00280D9B">
        <w:t xml:space="preserve"> </w:t>
      </w:r>
      <w:r w:rsidR="00652D44" w:rsidRPr="00280D9B">
        <w:t xml:space="preserve">the </w:t>
      </w:r>
      <w:r w:rsidR="00156AAE" w:rsidRPr="00280D9B">
        <w:t xml:space="preserve">preparation of the Biennial </w:t>
      </w:r>
      <w:r w:rsidR="00652D44" w:rsidRPr="00280D9B">
        <w:t>Budget and</w:t>
      </w:r>
      <w:r w:rsidR="00156AAE" w:rsidRPr="00280D9B">
        <w:t xml:space="preserve"> expects to </w:t>
      </w:r>
      <w:r w:rsidR="00652D44" w:rsidRPr="00280D9B">
        <w:t>finalize a</w:t>
      </w:r>
      <w:r w:rsidR="00156AAE" w:rsidRPr="00280D9B">
        <w:t xml:space="preserve"> balanced budget </w:t>
      </w:r>
      <w:r w:rsidR="00652D44" w:rsidRPr="00280D9B">
        <w:t xml:space="preserve">in time for the </w:t>
      </w:r>
      <w:r w:rsidR="00CB5B8E" w:rsidRPr="00280D9B">
        <w:t>submission to Council 2025.</w:t>
      </w:r>
    </w:p>
    <w:p w14:paraId="67B5ED72" w14:textId="77777777" w:rsidR="003D24C7" w:rsidRPr="00280D9B" w:rsidRDefault="003D24C7" w:rsidP="00F8458F">
      <w:pPr>
        <w:pStyle w:val="Headingb"/>
      </w:pPr>
      <w:r w:rsidRPr="00280D9B">
        <w:t>Background</w:t>
      </w:r>
    </w:p>
    <w:p w14:paraId="689008CB" w14:textId="1B9217DC" w:rsidR="0037745C" w:rsidRPr="00280D9B" w:rsidRDefault="003D24C7" w:rsidP="00E402FA">
      <w:pPr>
        <w:jc w:val="both"/>
      </w:pPr>
      <w:r w:rsidRPr="00280D9B">
        <w:t>2</w:t>
      </w:r>
      <w:r w:rsidRPr="00280D9B">
        <w:tab/>
        <w:t xml:space="preserve">In accordance with number 100 of Article 5 of the Convention, </w:t>
      </w:r>
      <w:r w:rsidR="00CB5B8E" w:rsidRPr="00280D9B">
        <w:t>t</w:t>
      </w:r>
      <w:r w:rsidR="00FA656B" w:rsidRPr="00280D9B">
        <w:t xml:space="preserve">he Secretary General shall </w:t>
      </w:r>
      <w:r w:rsidR="008E7314" w:rsidRPr="00280D9B">
        <w:t>after consultation with the Coordination Committee and making all possible economies,</w:t>
      </w:r>
      <w:r w:rsidR="00962F64" w:rsidRPr="00280D9B">
        <w:t xml:space="preserve"> </w:t>
      </w:r>
      <w:r w:rsidR="00FA656B" w:rsidRPr="00280D9B">
        <w:t xml:space="preserve">prepare and submit to the Council </w:t>
      </w:r>
      <w:r w:rsidRPr="00280D9B">
        <w:t>a biennial draft budget covering the expen</w:t>
      </w:r>
      <w:r w:rsidR="00F51FE7" w:rsidRPr="00280D9B">
        <w:t>ditures</w:t>
      </w:r>
      <w:r w:rsidRPr="00280D9B">
        <w:t xml:space="preserve"> of the Union</w:t>
      </w:r>
      <w:r w:rsidR="00962F64" w:rsidRPr="00280D9B">
        <w:t xml:space="preserve">, taking account of the financial </w:t>
      </w:r>
      <w:r w:rsidRPr="00280D9B">
        <w:t>limits laid down by the Plenipotentiary Conference.</w:t>
      </w:r>
      <w:r w:rsidR="0037745C" w:rsidRPr="00280D9B">
        <w:t xml:space="preserve"> </w:t>
      </w:r>
    </w:p>
    <w:p w14:paraId="708B49BD" w14:textId="31FBE359" w:rsidR="003B5944" w:rsidRPr="00280D9B" w:rsidRDefault="0037745C" w:rsidP="00E402FA">
      <w:pPr>
        <w:jc w:val="both"/>
      </w:pPr>
      <w:r w:rsidRPr="00280D9B">
        <w:t>3</w:t>
      </w:r>
      <w:r w:rsidRPr="00280D9B">
        <w:tab/>
        <w:t>By Decision 5 (Rev. Bucharest, 2022) on revenue and expenses for the Union for the period 2024-2027, the Plenipotentiary Conference established the framework and</w:t>
      </w:r>
      <w:r w:rsidR="000712E7" w:rsidRPr="00280D9B">
        <w:t xml:space="preserve"> the financial limits within</w:t>
      </w:r>
      <w:r w:rsidRPr="00280D9B">
        <w:t xml:space="preserve"> which the budget of the Union for 2026-2027 should be </w:t>
      </w:r>
      <w:r w:rsidR="000712E7" w:rsidRPr="00280D9B">
        <w:t>prepared</w:t>
      </w:r>
      <w:r w:rsidRPr="00280D9B">
        <w:t>.</w:t>
      </w:r>
      <w:r w:rsidR="003B5944" w:rsidRPr="00280D9B">
        <w:t xml:space="preserve"> </w:t>
      </w:r>
      <w:r w:rsidR="009434DD" w:rsidRPr="00280D9B">
        <w:t>The</w:t>
      </w:r>
      <w:r w:rsidR="00F8458F">
        <w:t> </w:t>
      </w:r>
      <w:r w:rsidR="009434DD" w:rsidRPr="00280D9B">
        <w:t xml:space="preserve">decision also </w:t>
      </w:r>
      <w:r w:rsidR="003B5944" w:rsidRPr="00280D9B">
        <w:t>instructs the Secretary General:</w:t>
      </w:r>
    </w:p>
    <w:p w14:paraId="20E3B6C8" w14:textId="328E4276" w:rsidR="00A262B3" w:rsidRPr="00F8458F" w:rsidRDefault="00F8458F" w:rsidP="0012209E">
      <w:pPr>
        <w:pStyle w:val="enumlev1"/>
        <w:jc w:val="both"/>
        <w:rPr>
          <w:i/>
          <w:iCs/>
        </w:rPr>
      </w:pPr>
      <w:r w:rsidRPr="00F8458F">
        <w:rPr>
          <w:i/>
          <w:iCs/>
        </w:rPr>
        <w:tab/>
      </w:r>
      <w:r w:rsidR="009C5372" w:rsidRPr="00F8458F">
        <w:rPr>
          <w:i/>
          <w:iCs/>
        </w:rPr>
        <w:t>1</w:t>
      </w:r>
      <w:r w:rsidR="009C5372" w:rsidRPr="00F8458F">
        <w:rPr>
          <w:i/>
          <w:iCs/>
        </w:rPr>
        <w:tab/>
      </w:r>
      <w:r w:rsidR="009434DD" w:rsidRPr="00F8458F">
        <w:rPr>
          <w:i/>
          <w:iCs/>
        </w:rPr>
        <w:t>t</w:t>
      </w:r>
      <w:r w:rsidR="00A262B3" w:rsidRPr="00F8458F">
        <w:rPr>
          <w:i/>
          <w:iCs/>
        </w:rPr>
        <w:t xml:space="preserve">o </w:t>
      </w:r>
      <w:r w:rsidR="003B5944" w:rsidRPr="00F8458F">
        <w:rPr>
          <w:i/>
          <w:iCs/>
        </w:rPr>
        <w:t>provide to the Council, no less than seven weeks before its 2023 and 2025 ordinary sessions, complete and accurate data as needed for the development, consideration and establishment of a balanced biennial budget.</w:t>
      </w:r>
      <w:r w:rsidR="00A262B3" w:rsidRPr="00F8458F">
        <w:rPr>
          <w:i/>
          <w:iCs/>
        </w:rPr>
        <w:t xml:space="preserve"> </w:t>
      </w:r>
    </w:p>
    <w:p w14:paraId="5A0BEA2A" w14:textId="169865F0" w:rsidR="00A262B3" w:rsidRPr="00F8458F" w:rsidRDefault="00F8458F" w:rsidP="0012209E">
      <w:pPr>
        <w:pStyle w:val="enumlev1"/>
        <w:jc w:val="both"/>
        <w:rPr>
          <w:i/>
          <w:iCs/>
        </w:rPr>
      </w:pPr>
      <w:r w:rsidRPr="00F8458F">
        <w:rPr>
          <w:i/>
          <w:iCs/>
        </w:rPr>
        <w:tab/>
      </w:r>
      <w:r w:rsidR="009C5372" w:rsidRPr="00F8458F">
        <w:rPr>
          <w:i/>
          <w:iCs/>
        </w:rPr>
        <w:t>2</w:t>
      </w:r>
      <w:r w:rsidR="009C5372" w:rsidRPr="00F8458F">
        <w:rPr>
          <w:i/>
          <w:iCs/>
        </w:rPr>
        <w:tab/>
      </w:r>
      <w:r w:rsidR="00A262B3" w:rsidRPr="00F8458F">
        <w:rPr>
          <w:i/>
          <w:iCs/>
        </w:rPr>
        <w:t>…</w:t>
      </w:r>
    </w:p>
    <w:p w14:paraId="016D89BF" w14:textId="6F8B5D16" w:rsidR="00A262B3" w:rsidRPr="00F8458F" w:rsidRDefault="00F8458F" w:rsidP="0012209E">
      <w:pPr>
        <w:pStyle w:val="enumlev1"/>
        <w:jc w:val="both"/>
        <w:rPr>
          <w:i/>
          <w:iCs/>
        </w:rPr>
      </w:pPr>
      <w:r w:rsidRPr="00F8458F">
        <w:rPr>
          <w:i/>
          <w:iCs/>
        </w:rPr>
        <w:tab/>
      </w:r>
      <w:r w:rsidR="009C5372" w:rsidRPr="00F8458F">
        <w:rPr>
          <w:i/>
          <w:iCs/>
        </w:rPr>
        <w:t>3</w:t>
      </w:r>
      <w:r w:rsidR="009C5372" w:rsidRPr="00F8458F">
        <w:rPr>
          <w:i/>
          <w:iCs/>
        </w:rPr>
        <w:tab/>
      </w:r>
      <w:r w:rsidR="003B5944" w:rsidRPr="00F8458F">
        <w:rPr>
          <w:i/>
          <w:iCs/>
        </w:rPr>
        <w:t>to make every effort to achieve balanced biennial budgets, and to bring to the attention of the membership, through the Council Working Group on financial and human resources (CWG-FHR), any of its decisions that may have a financial impact likely to affect the achievement of such a balance, and to report annually to the Council</w:t>
      </w:r>
      <w:r w:rsidR="009E0D6E" w:rsidRPr="00F8458F">
        <w:rPr>
          <w:i/>
          <w:iCs/>
        </w:rPr>
        <w:t>.</w:t>
      </w:r>
    </w:p>
    <w:p w14:paraId="0BCC8424" w14:textId="0BAB7699" w:rsidR="00F057DA" w:rsidRPr="00280D9B" w:rsidRDefault="00A262B3" w:rsidP="00E402FA">
      <w:pPr>
        <w:jc w:val="both"/>
      </w:pPr>
      <w:r w:rsidRPr="00280D9B">
        <w:t>4</w:t>
      </w:r>
      <w:r w:rsidRPr="00280D9B">
        <w:tab/>
      </w:r>
      <w:r w:rsidR="00F057DA" w:rsidRPr="00280D9B">
        <w:t xml:space="preserve">The process adopted by </w:t>
      </w:r>
      <w:r w:rsidR="009E0D6E" w:rsidRPr="00280D9B">
        <w:t>the Secretariat</w:t>
      </w:r>
      <w:r w:rsidR="00F057DA" w:rsidRPr="00280D9B">
        <w:t xml:space="preserve"> for </w:t>
      </w:r>
      <w:r w:rsidR="009E0D6E" w:rsidRPr="00280D9B">
        <w:t xml:space="preserve">the </w:t>
      </w:r>
      <w:r w:rsidR="00F057DA" w:rsidRPr="00280D9B">
        <w:t xml:space="preserve">development of </w:t>
      </w:r>
      <w:r w:rsidR="009E0D6E" w:rsidRPr="00280D9B">
        <w:t>ITU’s</w:t>
      </w:r>
      <w:r w:rsidR="00F057DA" w:rsidRPr="00280D9B">
        <w:t xml:space="preserve"> </w:t>
      </w:r>
      <w:r w:rsidR="0037745C" w:rsidRPr="00280D9B">
        <w:t xml:space="preserve">biennial </w:t>
      </w:r>
      <w:r w:rsidR="00F057DA" w:rsidRPr="00280D9B">
        <w:t>budget</w:t>
      </w:r>
      <w:r w:rsidR="0037745C" w:rsidRPr="00280D9B">
        <w:t xml:space="preserve"> </w:t>
      </w:r>
      <w:r w:rsidRPr="00280D9B">
        <w:t xml:space="preserve">for the period 2026-2027, </w:t>
      </w:r>
      <w:r w:rsidR="0037745C" w:rsidRPr="00280D9B">
        <w:t>comprise</w:t>
      </w:r>
      <w:r w:rsidR="00DE03A6" w:rsidRPr="00280D9B">
        <w:t>s</w:t>
      </w:r>
      <w:r w:rsidR="0037745C" w:rsidRPr="00280D9B">
        <w:t xml:space="preserve"> the following steps</w:t>
      </w:r>
      <w:r w:rsidRPr="00280D9B">
        <w:t xml:space="preserve"> in compliance with the foregoing and other relevant directives</w:t>
      </w:r>
      <w:r w:rsidR="0037745C" w:rsidRPr="00280D9B">
        <w:t>:</w:t>
      </w:r>
    </w:p>
    <w:p w14:paraId="73009C47" w14:textId="6971F063" w:rsidR="0037745C" w:rsidRPr="00280D9B" w:rsidRDefault="009C5372" w:rsidP="0012209E">
      <w:pPr>
        <w:pStyle w:val="enumlev1"/>
        <w:jc w:val="both"/>
      </w:pPr>
      <w:proofErr w:type="spellStart"/>
      <w:r w:rsidRPr="00280D9B">
        <w:t>i</w:t>
      </w:r>
      <w:proofErr w:type="spellEnd"/>
      <w:r w:rsidR="00F8458F">
        <w:t>)</w:t>
      </w:r>
      <w:r w:rsidRPr="00280D9B">
        <w:tab/>
      </w:r>
      <w:r w:rsidR="000D773E" w:rsidRPr="00280D9B">
        <w:t>On</w:t>
      </w:r>
      <w:r w:rsidR="00CB2C81" w:rsidRPr="00280D9B">
        <w:t xml:space="preserve"> 18 September 2024, t</w:t>
      </w:r>
      <w:r w:rsidR="00EC3A61" w:rsidRPr="00280D9B">
        <w:t xml:space="preserve">he </w:t>
      </w:r>
      <w:r w:rsidR="004D1BA9" w:rsidRPr="00280D9B">
        <w:t xml:space="preserve">guidelines for the preparation of the budget </w:t>
      </w:r>
      <w:r w:rsidR="0020649A" w:rsidRPr="00280D9B">
        <w:t xml:space="preserve">were transmitted on behalf of the Secretary General </w:t>
      </w:r>
      <w:r w:rsidR="004D1BA9" w:rsidRPr="00280D9B">
        <w:t>to the Bureaus and the Departments in the General Secretariat</w:t>
      </w:r>
      <w:r w:rsidR="00A41E6E" w:rsidRPr="00280D9B">
        <w:t>.</w:t>
      </w:r>
    </w:p>
    <w:p w14:paraId="52EF3B73" w14:textId="0B663628" w:rsidR="00C40A32" w:rsidRPr="00280D9B" w:rsidRDefault="009C5372" w:rsidP="0012209E">
      <w:pPr>
        <w:pStyle w:val="enumlev1"/>
        <w:jc w:val="both"/>
      </w:pPr>
      <w:r w:rsidRPr="00280D9B">
        <w:t>ii</w:t>
      </w:r>
      <w:r w:rsidR="00F8458F">
        <w:t>)</w:t>
      </w:r>
      <w:r w:rsidRPr="00280D9B">
        <w:tab/>
      </w:r>
      <w:r w:rsidR="00310C67" w:rsidRPr="00280D9B">
        <w:t>Each of t</w:t>
      </w:r>
      <w:r w:rsidR="00EC3A61" w:rsidRPr="00280D9B">
        <w:t xml:space="preserve">he </w:t>
      </w:r>
      <w:r w:rsidR="00C40A32" w:rsidRPr="00280D9B">
        <w:t xml:space="preserve">Bureaus and </w:t>
      </w:r>
      <w:r w:rsidR="00310C67" w:rsidRPr="00280D9B">
        <w:t xml:space="preserve">the </w:t>
      </w:r>
      <w:r w:rsidR="00C40A32" w:rsidRPr="00280D9B">
        <w:t xml:space="preserve">Departments of the General Secretariat </w:t>
      </w:r>
      <w:r w:rsidR="004F4B63" w:rsidRPr="00280D9B">
        <w:t>submitted</w:t>
      </w:r>
      <w:r w:rsidR="00310C67" w:rsidRPr="00280D9B">
        <w:t xml:space="preserve"> </w:t>
      </w:r>
      <w:r w:rsidR="00AA6075" w:rsidRPr="00280D9B">
        <w:t>its cost-based budget estimate</w:t>
      </w:r>
      <w:r w:rsidR="0080057B" w:rsidRPr="00280D9B">
        <w:t xml:space="preserve"> </w:t>
      </w:r>
      <w:r w:rsidR="00B47D2C" w:rsidRPr="00280D9B">
        <w:t>to the Financial Resources Management Department</w:t>
      </w:r>
      <w:r w:rsidR="00AA6075" w:rsidRPr="00280D9B">
        <w:t xml:space="preserve"> (</w:t>
      </w:r>
      <w:proofErr w:type="spellStart"/>
      <w:r w:rsidR="00AA6075" w:rsidRPr="00280D9B">
        <w:t>FRMD</w:t>
      </w:r>
      <w:proofErr w:type="spellEnd"/>
      <w:r w:rsidR="00AA6075" w:rsidRPr="00280D9B">
        <w:t>)</w:t>
      </w:r>
      <w:r w:rsidR="00B47D2C" w:rsidRPr="00280D9B">
        <w:t xml:space="preserve">, </w:t>
      </w:r>
      <w:r w:rsidR="008F7311" w:rsidRPr="00280D9B">
        <w:t>based on</w:t>
      </w:r>
      <w:r w:rsidR="00B47D2C" w:rsidRPr="00280D9B">
        <w:t xml:space="preserve"> which the</w:t>
      </w:r>
      <w:r w:rsidR="00F80F94" w:rsidRPr="00280D9B">
        <w:t xml:space="preserve"> first</w:t>
      </w:r>
      <w:r w:rsidR="00B47D2C" w:rsidRPr="00280D9B">
        <w:t xml:space="preserve"> draft budget </w:t>
      </w:r>
      <w:r w:rsidR="00F80F94" w:rsidRPr="00280D9B">
        <w:t>was</w:t>
      </w:r>
      <w:r w:rsidR="00B47D2C" w:rsidRPr="00280D9B">
        <w:t xml:space="preserve"> prepared</w:t>
      </w:r>
      <w:r w:rsidR="00A41E6E" w:rsidRPr="00280D9B">
        <w:t>.</w:t>
      </w:r>
      <w:r w:rsidR="00DE03A6" w:rsidRPr="00280D9B">
        <w:t xml:space="preserve"> The draft budget</w:t>
      </w:r>
      <w:r w:rsidR="00881117" w:rsidRPr="00280D9B">
        <w:t xml:space="preserve"> 2026-2027</w:t>
      </w:r>
      <w:r w:rsidR="00DE03A6" w:rsidRPr="00280D9B">
        <w:t xml:space="preserve">, </w:t>
      </w:r>
      <w:r w:rsidR="00FE10BB" w:rsidRPr="00280D9B">
        <w:t xml:space="preserve">produced </w:t>
      </w:r>
      <w:r w:rsidR="00DE03A6" w:rsidRPr="00280D9B">
        <w:t xml:space="preserve">based on the </w:t>
      </w:r>
      <w:r w:rsidR="00FE10BB" w:rsidRPr="00280D9B">
        <w:t xml:space="preserve">estimates </w:t>
      </w:r>
      <w:r w:rsidR="00DE03A6" w:rsidRPr="00280D9B">
        <w:t>received</w:t>
      </w:r>
      <w:r w:rsidR="00FE10BB" w:rsidRPr="00280D9B">
        <w:t xml:space="preserve"> resulted in a budgetary deficit of </w:t>
      </w:r>
      <w:proofErr w:type="spellStart"/>
      <w:r w:rsidR="00FE10BB" w:rsidRPr="00280D9B">
        <w:t>MCHF</w:t>
      </w:r>
      <w:proofErr w:type="spellEnd"/>
      <w:r w:rsidR="00FE10BB" w:rsidRPr="00280D9B">
        <w:t xml:space="preserve"> </w:t>
      </w:r>
      <w:r w:rsidR="00D127EF" w:rsidRPr="00280D9B">
        <w:t>71</w:t>
      </w:r>
      <w:r w:rsidR="00FE10BB" w:rsidRPr="00280D9B">
        <w:t xml:space="preserve"> for the period.</w:t>
      </w:r>
    </w:p>
    <w:p w14:paraId="361280DD" w14:textId="1FB65F4D" w:rsidR="00AD413D" w:rsidRPr="00280D9B" w:rsidRDefault="009C5372" w:rsidP="0012209E">
      <w:pPr>
        <w:pStyle w:val="enumlev1"/>
        <w:jc w:val="both"/>
      </w:pPr>
      <w:r w:rsidRPr="00280D9B">
        <w:t>iii</w:t>
      </w:r>
      <w:r w:rsidR="00F8458F">
        <w:t>)</w:t>
      </w:r>
      <w:r w:rsidRPr="00280D9B">
        <w:tab/>
      </w:r>
      <w:proofErr w:type="spellStart"/>
      <w:r w:rsidR="00AD413D" w:rsidRPr="00280D9B">
        <w:t>FRMD</w:t>
      </w:r>
      <w:proofErr w:type="spellEnd"/>
      <w:r w:rsidR="00D41F0E" w:rsidRPr="00280D9B">
        <w:t xml:space="preserve">, </w:t>
      </w:r>
      <w:r w:rsidR="00F80F94" w:rsidRPr="00280D9B">
        <w:t xml:space="preserve">in collaboration with </w:t>
      </w:r>
      <w:r w:rsidR="00AD413D" w:rsidRPr="00280D9B">
        <w:t>the Bureau</w:t>
      </w:r>
      <w:r w:rsidR="00F8458F">
        <w:t>x</w:t>
      </w:r>
      <w:r w:rsidR="00AD413D" w:rsidRPr="00280D9B">
        <w:t xml:space="preserve"> and </w:t>
      </w:r>
      <w:r w:rsidR="00D41F0E" w:rsidRPr="00280D9B">
        <w:t xml:space="preserve">the </w:t>
      </w:r>
      <w:r w:rsidR="00AD413D" w:rsidRPr="00280D9B">
        <w:t>Departments of the General Secretariat</w:t>
      </w:r>
      <w:r w:rsidR="00D41F0E" w:rsidRPr="00280D9B">
        <w:t>,</w:t>
      </w:r>
      <w:r w:rsidR="00AD413D" w:rsidRPr="00280D9B">
        <w:t xml:space="preserve"> </w:t>
      </w:r>
      <w:r w:rsidR="00705CAC" w:rsidRPr="00280D9B">
        <w:t xml:space="preserve">is </w:t>
      </w:r>
      <w:r w:rsidR="00833598" w:rsidRPr="00280D9B">
        <w:t>incorporat</w:t>
      </w:r>
      <w:r w:rsidR="00705CAC" w:rsidRPr="00280D9B">
        <w:t xml:space="preserve">ing </w:t>
      </w:r>
      <w:r w:rsidR="00833598" w:rsidRPr="00280D9B">
        <w:t xml:space="preserve">such economies and adjustments </w:t>
      </w:r>
      <w:r w:rsidR="00615F5A" w:rsidRPr="00280D9B">
        <w:t xml:space="preserve">as are </w:t>
      </w:r>
      <w:r w:rsidR="002207BC" w:rsidRPr="00280D9B">
        <w:t>necessary</w:t>
      </w:r>
      <w:r w:rsidR="00833598" w:rsidRPr="00280D9B">
        <w:t xml:space="preserve"> </w:t>
      </w:r>
      <w:r w:rsidR="00AD413D" w:rsidRPr="00280D9B">
        <w:t xml:space="preserve">to </w:t>
      </w:r>
      <w:r w:rsidR="00230657" w:rsidRPr="00280D9B">
        <w:t xml:space="preserve">bring the requests within the financial limits </w:t>
      </w:r>
      <w:r w:rsidR="00D41F0E" w:rsidRPr="00280D9B">
        <w:t xml:space="preserve">for the period as </w:t>
      </w:r>
      <w:r w:rsidR="00230657" w:rsidRPr="00280D9B">
        <w:t>set by the Plenipotentiary Conference</w:t>
      </w:r>
      <w:r w:rsidR="001441E6" w:rsidRPr="00280D9B">
        <w:t xml:space="preserve">, and to balance the </w:t>
      </w:r>
      <w:r w:rsidR="00A41E6E" w:rsidRPr="00280D9B">
        <w:t>expen</w:t>
      </w:r>
      <w:r w:rsidR="00615F5A" w:rsidRPr="00280D9B">
        <w:t>ditures</w:t>
      </w:r>
      <w:r w:rsidR="00A41E6E" w:rsidRPr="00280D9B">
        <w:t xml:space="preserve"> of the Union with the </w:t>
      </w:r>
      <w:r w:rsidR="001441E6" w:rsidRPr="00280D9B">
        <w:t xml:space="preserve">anticipated revenues </w:t>
      </w:r>
      <w:r w:rsidR="00A41E6E" w:rsidRPr="00280D9B">
        <w:t>during the period (i.e. to balance the budget)</w:t>
      </w:r>
      <w:r w:rsidR="002207BC" w:rsidRPr="00280D9B">
        <w:t>, while still maintaining ITU’s ability to meet its mandate</w:t>
      </w:r>
      <w:r w:rsidR="00A41E6E" w:rsidRPr="00280D9B">
        <w:t>.</w:t>
      </w:r>
      <w:r w:rsidR="002207BC" w:rsidRPr="00280D9B">
        <w:t xml:space="preserve"> </w:t>
      </w:r>
      <w:r w:rsidR="006C0B4E" w:rsidRPr="00280D9B">
        <w:t xml:space="preserve">Based on this ongoing process the current budget shortfall has decreased to </w:t>
      </w:r>
      <w:proofErr w:type="spellStart"/>
      <w:r w:rsidR="006C0B4E" w:rsidRPr="00280D9B">
        <w:t>MCHF</w:t>
      </w:r>
      <w:proofErr w:type="spellEnd"/>
      <w:r w:rsidR="006C0B4E" w:rsidRPr="00280D9B">
        <w:t xml:space="preserve"> </w:t>
      </w:r>
      <w:r w:rsidR="00D14D0B" w:rsidRPr="00280D9B">
        <w:t>18.1</w:t>
      </w:r>
      <w:r w:rsidR="006C0B4E" w:rsidRPr="00280D9B">
        <w:t xml:space="preserve">. </w:t>
      </w:r>
      <w:r w:rsidR="002207BC" w:rsidRPr="00280D9B">
        <w:t xml:space="preserve">This process </w:t>
      </w:r>
      <w:r w:rsidR="006C0B4E" w:rsidRPr="00280D9B">
        <w:t>will continue</w:t>
      </w:r>
      <w:r w:rsidR="00F6531E" w:rsidRPr="00280D9B">
        <w:t xml:space="preserve"> and be completed in time to submit </w:t>
      </w:r>
      <w:r w:rsidR="006C0B4E" w:rsidRPr="00280D9B">
        <w:t>a</w:t>
      </w:r>
      <w:r w:rsidR="00F6531E" w:rsidRPr="00280D9B">
        <w:t xml:space="preserve"> final</w:t>
      </w:r>
      <w:r w:rsidR="006C0B4E" w:rsidRPr="00280D9B">
        <w:t xml:space="preserve"> balanced</w:t>
      </w:r>
      <w:r w:rsidR="00F6531E" w:rsidRPr="00280D9B">
        <w:t xml:space="preserve"> budget to Council 2025</w:t>
      </w:r>
      <w:r w:rsidR="007106CB" w:rsidRPr="00280D9B">
        <w:t>. T</w:t>
      </w:r>
      <w:r w:rsidR="002207BC" w:rsidRPr="00280D9B">
        <w:t>his document reports on the current situation.</w:t>
      </w:r>
    </w:p>
    <w:p w14:paraId="06B5245D" w14:textId="1C377F2A" w:rsidR="003D24C7" w:rsidRPr="00280D9B" w:rsidRDefault="003D24C7" w:rsidP="00F8458F">
      <w:pPr>
        <w:pStyle w:val="Headingb"/>
      </w:pPr>
      <w:r w:rsidRPr="00280D9B">
        <w:lastRenderedPageBreak/>
        <w:t xml:space="preserve">Revenue and </w:t>
      </w:r>
      <w:r w:rsidR="00F8458F" w:rsidRPr="00280D9B">
        <w:t xml:space="preserve">expenses </w:t>
      </w:r>
      <w:r w:rsidRPr="00280D9B">
        <w:t xml:space="preserve">estimates </w:t>
      </w:r>
      <w:r w:rsidR="00F8458F">
        <w:t>–</w:t>
      </w:r>
      <w:r w:rsidRPr="00280D9B">
        <w:t xml:space="preserve"> Overview</w:t>
      </w:r>
    </w:p>
    <w:p w14:paraId="24B6FA5F" w14:textId="1E5E4890" w:rsidR="008178FE" w:rsidRPr="00280D9B" w:rsidRDefault="004F4B63" w:rsidP="00E402FA">
      <w:pPr>
        <w:jc w:val="both"/>
      </w:pPr>
      <w:r w:rsidRPr="00280D9B">
        <w:t>5</w:t>
      </w:r>
      <w:r w:rsidR="003D24C7" w:rsidRPr="00280D9B">
        <w:tab/>
        <w:t xml:space="preserve">Table 1 </w:t>
      </w:r>
      <w:r w:rsidR="007106CB" w:rsidRPr="00280D9B">
        <w:t xml:space="preserve">below </w:t>
      </w:r>
      <w:r w:rsidR="003D24C7" w:rsidRPr="00280D9B">
        <w:t xml:space="preserve">presents the </w:t>
      </w:r>
      <w:r w:rsidR="0071661F" w:rsidRPr="00280D9B">
        <w:t xml:space="preserve">level of </w:t>
      </w:r>
      <w:r w:rsidR="003D24C7" w:rsidRPr="00280D9B">
        <w:t xml:space="preserve">planned expenses by sector </w:t>
      </w:r>
      <w:r w:rsidR="0071661F" w:rsidRPr="00280D9B">
        <w:t>included in the current draft budget</w:t>
      </w:r>
      <w:r w:rsidR="003D24C7" w:rsidRPr="00280D9B">
        <w:t xml:space="preserve">. The </w:t>
      </w:r>
      <w:r w:rsidR="00134B7E" w:rsidRPr="00280D9B">
        <w:t>expenses are</w:t>
      </w:r>
      <w:r w:rsidR="003D24C7" w:rsidRPr="00280D9B">
        <w:t xml:space="preserve"> based on the programme of activities of the Union for this timeframe, which includes two major events, the Plenipotentiary Conference in 2026 </w:t>
      </w:r>
      <w:r w:rsidR="007148A2" w:rsidRPr="00280D9B">
        <w:t>(PP</w:t>
      </w:r>
      <w:r w:rsidR="007148A2">
        <w:t>-</w:t>
      </w:r>
      <w:r w:rsidR="007148A2" w:rsidRPr="00280D9B">
        <w:t xml:space="preserve">26) </w:t>
      </w:r>
      <w:r w:rsidR="003D24C7" w:rsidRPr="00280D9B">
        <w:t>and the World Radiocommunication Conference in 2027</w:t>
      </w:r>
      <w:r w:rsidR="007148A2">
        <w:t xml:space="preserve"> </w:t>
      </w:r>
      <w:r w:rsidR="007148A2" w:rsidRPr="00280D9B">
        <w:t>(WRC</w:t>
      </w:r>
      <w:r w:rsidR="007148A2">
        <w:t>-</w:t>
      </w:r>
      <w:r w:rsidR="007148A2" w:rsidRPr="00280D9B">
        <w:t>27)</w:t>
      </w:r>
      <w:r w:rsidR="003D24C7" w:rsidRPr="00280D9B">
        <w:t xml:space="preserve">. </w:t>
      </w:r>
      <w:r w:rsidR="001F1182" w:rsidRPr="00280D9B">
        <w:t xml:space="preserve">At this stage of the budget preparation process, </w:t>
      </w:r>
      <w:r w:rsidR="003D24C7" w:rsidRPr="00280D9B">
        <w:t xml:space="preserve">the planned expenses for 2026-2027 are </w:t>
      </w:r>
      <w:proofErr w:type="spellStart"/>
      <w:r w:rsidR="00D14D0B" w:rsidRPr="00280D9B">
        <w:t>MCHF</w:t>
      </w:r>
      <w:proofErr w:type="spellEnd"/>
      <w:r w:rsidR="00D14D0B" w:rsidRPr="00280D9B">
        <w:t xml:space="preserve"> </w:t>
      </w:r>
      <w:r w:rsidR="008B3EA3" w:rsidRPr="00280D9B">
        <w:t>2.9 above</w:t>
      </w:r>
      <w:r w:rsidR="003D24C7" w:rsidRPr="00280D9B">
        <w:t xml:space="preserve"> the limits set by the Plenipotentiary Conference.</w:t>
      </w:r>
      <w:r w:rsidR="00E100A4" w:rsidRPr="00280D9B">
        <w:t xml:space="preserve"> The reductions</w:t>
      </w:r>
      <w:r w:rsidR="00E86D35" w:rsidRPr="00280D9B">
        <w:t>, however,</w:t>
      </w:r>
      <w:r w:rsidR="00E100A4" w:rsidRPr="00280D9B">
        <w:t xml:space="preserve"> are </w:t>
      </w:r>
      <w:r w:rsidR="00E86D35" w:rsidRPr="00280D9B">
        <w:t xml:space="preserve">still </w:t>
      </w:r>
      <w:r w:rsidR="00E100A4" w:rsidRPr="00280D9B">
        <w:t xml:space="preserve">in the process of being </w:t>
      </w:r>
      <w:r w:rsidR="00E86D35" w:rsidRPr="00280D9B">
        <w:t xml:space="preserve">reviewed </w:t>
      </w:r>
      <w:r w:rsidR="00E100A4" w:rsidRPr="00280D9B">
        <w:t>through engagement with the Bureaus.</w:t>
      </w:r>
      <w:r w:rsidR="00134B7E" w:rsidRPr="00280D9B">
        <w:t xml:space="preserve"> </w:t>
      </w:r>
      <w:r w:rsidR="00E86D35" w:rsidRPr="00280D9B">
        <w:t>T</w:t>
      </w:r>
      <w:r w:rsidR="00642B40" w:rsidRPr="00280D9B">
        <w:t>he draft budget does</w:t>
      </w:r>
      <w:r w:rsidR="004815D6" w:rsidRPr="00280D9B">
        <w:t xml:space="preserve"> not include</w:t>
      </w:r>
      <w:r w:rsidR="00674C2E" w:rsidRPr="00280D9B">
        <w:t xml:space="preserve"> proposals that would result in increases in </w:t>
      </w:r>
      <w:r w:rsidR="00642B40" w:rsidRPr="00280D9B">
        <w:t xml:space="preserve">the number of </w:t>
      </w:r>
      <w:r w:rsidR="00674C2E" w:rsidRPr="00280D9B">
        <w:t xml:space="preserve">ITU’s </w:t>
      </w:r>
      <w:r w:rsidR="007C4940" w:rsidRPr="00280D9B">
        <w:t>fixed or continuing</w:t>
      </w:r>
      <w:r w:rsidR="00674C2E" w:rsidRPr="00280D9B">
        <w:t xml:space="preserve"> staff, except </w:t>
      </w:r>
      <w:r w:rsidR="004815D6" w:rsidRPr="00280D9B">
        <w:t>in relation to</w:t>
      </w:r>
      <w:r w:rsidR="00674C2E" w:rsidRPr="00280D9B">
        <w:t xml:space="preserve"> </w:t>
      </w:r>
      <w:r w:rsidR="00F6247A" w:rsidRPr="00280D9B">
        <w:t xml:space="preserve">additional posts approved by </w:t>
      </w:r>
      <w:r w:rsidR="00674C2E" w:rsidRPr="00280D9B">
        <w:t xml:space="preserve">Council </w:t>
      </w:r>
      <w:r w:rsidR="00F6247A" w:rsidRPr="00280D9B">
        <w:t xml:space="preserve">during </w:t>
      </w:r>
      <w:r w:rsidR="007106CB" w:rsidRPr="00280D9B">
        <w:t>its 2023 and 2024 sessions</w:t>
      </w:r>
      <w:r w:rsidR="00E42910" w:rsidRPr="00280D9B">
        <w:t xml:space="preserve">. </w:t>
      </w:r>
    </w:p>
    <w:p w14:paraId="2DAB4188" w14:textId="77C3560B" w:rsidR="003D24C7" w:rsidRPr="00280D9B" w:rsidRDefault="00FB75BE" w:rsidP="00E402FA">
      <w:pPr>
        <w:jc w:val="both"/>
      </w:pPr>
      <w:r w:rsidRPr="00280D9B">
        <w:t>6</w:t>
      </w:r>
      <w:r w:rsidRPr="00280D9B">
        <w:tab/>
      </w:r>
      <w:r w:rsidR="009E2FBE" w:rsidRPr="00280D9B">
        <w:t>T</w:t>
      </w:r>
      <w:r w:rsidR="00D2315D" w:rsidRPr="00280D9B">
        <w:t xml:space="preserve">o ensure delivery of a balanced budget by Council 2025, </w:t>
      </w:r>
      <w:r w:rsidR="00C772E3" w:rsidRPr="00280D9B">
        <w:t>t</w:t>
      </w:r>
      <w:r w:rsidR="009E2FBE" w:rsidRPr="00280D9B">
        <w:t xml:space="preserve">he Secretariat will </w:t>
      </w:r>
      <w:r w:rsidR="00ED5A31" w:rsidRPr="00280D9B">
        <w:t xml:space="preserve">need to </w:t>
      </w:r>
      <w:r w:rsidR="009E2FBE" w:rsidRPr="00280D9B">
        <w:t xml:space="preserve">make the necessary economies </w:t>
      </w:r>
      <w:r w:rsidRPr="00280D9B">
        <w:t>to bring the budget</w:t>
      </w:r>
      <w:r w:rsidR="0091782F" w:rsidRPr="00280D9B">
        <w:t xml:space="preserve">ed expenses within the </w:t>
      </w:r>
      <w:r w:rsidR="00ED5A31" w:rsidRPr="00280D9B">
        <w:t>anticipated revenues</w:t>
      </w:r>
      <w:r w:rsidR="0091782F" w:rsidRPr="00280D9B">
        <w:t xml:space="preserve"> </w:t>
      </w:r>
      <w:r w:rsidR="009E2FBE" w:rsidRPr="00280D9B">
        <w:t xml:space="preserve">through </w:t>
      </w:r>
      <w:r w:rsidR="0091782F" w:rsidRPr="00280D9B">
        <w:t xml:space="preserve">additional </w:t>
      </w:r>
      <w:r w:rsidR="009E2FBE" w:rsidRPr="00280D9B">
        <w:t>r</w:t>
      </w:r>
      <w:r w:rsidR="00134B7E" w:rsidRPr="00280D9B">
        <w:t xml:space="preserve">eductions in expenses </w:t>
      </w:r>
      <w:r w:rsidR="009E2FBE" w:rsidRPr="00280D9B">
        <w:t>pertaining to ITU’s</w:t>
      </w:r>
      <w:r w:rsidR="00134B7E" w:rsidRPr="00280D9B">
        <w:t xml:space="preserve"> overhead costs</w:t>
      </w:r>
      <w:r w:rsidR="000201DD" w:rsidRPr="00280D9B">
        <w:t>, delaying low</w:t>
      </w:r>
      <w:r w:rsidR="004232ED" w:rsidRPr="00280D9B">
        <w:t>er</w:t>
      </w:r>
      <w:r w:rsidR="000201DD" w:rsidRPr="00280D9B">
        <w:t xml:space="preserve"> </w:t>
      </w:r>
      <w:r w:rsidR="004232ED" w:rsidRPr="00280D9B">
        <w:t xml:space="preserve">priority </w:t>
      </w:r>
      <w:r w:rsidR="000201DD" w:rsidRPr="00280D9B">
        <w:t xml:space="preserve">activities, </w:t>
      </w:r>
      <w:r w:rsidR="0074420B" w:rsidRPr="00280D9B">
        <w:t>carefully managing</w:t>
      </w:r>
      <w:r w:rsidR="009E2FBE" w:rsidRPr="00280D9B">
        <w:t xml:space="preserve"> recruitment timelines </w:t>
      </w:r>
      <w:r w:rsidR="00CB0297" w:rsidRPr="00280D9B">
        <w:t xml:space="preserve">to </w:t>
      </w:r>
      <w:r w:rsidR="009E2FBE" w:rsidRPr="00280D9B">
        <w:t>achieve staff cost savings</w:t>
      </w:r>
      <w:r w:rsidR="0074420B" w:rsidRPr="00280D9B">
        <w:t xml:space="preserve">, and other </w:t>
      </w:r>
      <w:r w:rsidR="00674C2E" w:rsidRPr="00280D9B">
        <w:t xml:space="preserve">efficiencies that do not </w:t>
      </w:r>
      <w:r w:rsidR="004232ED" w:rsidRPr="00280D9B">
        <w:t xml:space="preserve">substantially </w:t>
      </w:r>
      <w:r w:rsidR="00674C2E" w:rsidRPr="00280D9B">
        <w:t>impact ITU’s overall achievement of its mandate</w:t>
      </w:r>
      <w:r w:rsidR="004834F8" w:rsidRPr="00280D9B">
        <w:t xml:space="preserve">. </w:t>
      </w:r>
      <w:r w:rsidR="00ED5A31" w:rsidRPr="00280D9B">
        <w:t xml:space="preserve">Alternatively, steps would need to be taken </w:t>
      </w:r>
      <w:r w:rsidR="003112D5" w:rsidRPr="00280D9B">
        <w:t xml:space="preserve">with support of membership </w:t>
      </w:r>
      <w:r w:rsidR="00ED5A31" w:rsidRPr="00280D9B">
        <w:t>to inc</w:t>
      </w:r>
      <w:r w:rsidR="00EC2C2E" w:rsidRPr="00280D9B">
        <w:t>rease revenues, which have also been subject to reductions below the levels anticipated in the Financial Plan 2024-2027, as discussed below.</w:t>
      </w:r>
    </w:p>
    <w:p w14:paraId="6807EE8C" w14:textId="7CA175D3" w:rsidR="00925455" w:rsidRPr="00280D9B" w:rsidRDefault="00925455" w:rsidP="00280D9B">
      <w:pPr>
        <w:pStyle w:val="FigureNo"/>
      </w:pPr>
      <w:r w:rsidRPr="00280D9B">
        <w:t>Table 1</w:t>
      </w:r>
      <w:bookmarkStart w:id="11" w:name="Table1"/>
      <w:bookmarkEnd w:id="11"/>
    </w:p>
    <w:p w14:paraId="29311CAD" w14:textId="0F7D442E" w:rsidR="00925455" w:rsidRPr="00280D9B" w:rsidRDefault="008B3EA3" w:rsidP="00280D9B">
      <w:pPr>
        <w:pStyle w:val="Figure"/>
      </w:pPr>
      <w:r w:rsidRPr="00280D9B">
        <w:drawing>
          <wp:inline distT="0" distB="0" distL="0" distR="0" wp14:anchorId="10753983" wp14:editId="4A89AE58">
            <wp:extent cx="5760085" cy="1619885"/>
            <wp:effectExtent l="0" t="0" r="5715" b="5715"/>
            <wp:docPr id="1905916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9166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C9FA1" w14:textId="45C30A07" w:rsidR="00925455" w:rsidRPr="00280D9B" w:rsidRDefault="00BE3BBA" w:rsidP="00E402FA">
      <w:pPr>
        <w:jc w:val="both"/>
      </w:pPr>
      <w:r w:rsidRPr="007148A2">
        <w:t>7</w:t>
      </w:r>
      <w:r w:rsidR="00925455" w:rsidRPr="007148A2">
        <w:tab/>
      </w:r>
      <w:hyperlink w:anchor="Table2" w:history="1">
        <w:r w:rsidR="00925455" w:rsidRPr="007148A2">
          <w:rPr>
            <w:rStyle w:val="Hyperlink"/>
          </w:rPr>
          <w:t>Table 2</w:t>
        </w:r>
      </w:hyperlink>
      <w:r w:rsidR="00925455" w:rsidRPr="007148A2">
        <w:t xml:space="preserve"> provides the revenue forecast for 2026-2027. </w:t>
      </w:r>
      <w:r w:rsidR="00CE54F0" w:rsidRPr="007148A2">
        <w:t>Anticipated revenues for the</w:t>
      </w:r>
      <w:r w:rsidR="00CE54F0" w:rsidRPr="00280D9B">
        <w:t xml:space="preserve"> period</w:t>
      </w:r>
      <w:r w:rsidR="005A43E6" w:rsidRPr="00280D9B">
        <w:t xml:space="preserve"> 2026-2027 are </w:t>
      </w:r>
      <w:proofErr w:type="spellStart"/>
      <w:r w:rsidR="005A43E6" w:rsidRPr="00280D9B">
        <w:t>MCHF</w:t>
      </w:r>
      <w:proofErr w:type="spellEnd"/>
      <w:r w:rsidR="005A43E6" w:rsidRPr="00280D9B">
        <w:t xml:space="preserve"> 15.2 below the </w:t>
      </w:r>
      <w:r w:rsidR="00DE47D5" w:rsidRPr="00280D9B">
        <w:t xml:space="preserve">anticipated revenue foreseen </w:t>
      </w:r>
      <w:r w:rsidR="005A43E6" w:rsidRPr="00280D9B">
        <w:t>by the Plenipotentiary Conference</w:t>
      </w:r>
      <w:r w:rsidR="00DE47D5" w:rsidRPr="00280D9B">
        <w:t xml:space="preserve"> when the 2024-2027 Financial Plan was approved</w:t>
      </w:r>
      <w:r w:rsidR="00925455" w:rsidRPr="00280D9B">
        <w:t>.</w:t>
      </w:r>
    </w:p>
    <w:p w14:paraId="321C9D03" w14:textId="7A176584" w:rsidR="00925455" w:rsidRPr="00280D9B" w:rsidRDefault="00925455" w:rsidP="00280D9B">
      <w:pPr>
        <w:pStyle w:val="FigureNo"/>
      </w:pPr>
      <w:r w:rsidRPr="00280D9B">
        <w:t>Table 2</w:t>
      </w:r>
      <w:bookmarkStart w:id="12" w:name="Table2"/>
      <w:bookmarkEnd w:id="12"/>
    </w:p>
    <w:p w14:paraId="4EE2F8FD" w14:textId="1BC8DA29" w:rsidR="00925455" w:rsidRPr="00280D9B" w:rsidRDefault="00EA764A" w:rsidP="00280D9B">
      <w:pPr>
        <w:pStyle w:val="Figure"/>
        <w:rPr>
          <w:rFonts w:eastAsia="Calibri"/>
        </w:rPr>
      </w:pPr>
      <w:r w:rsidRPr="00280D9B">
        <w:t xml:space="preserve"> </w:t>
      </w:r>
      <w:r w:rsidRPr="00280D9B">
        <w:rPr>
          <w:rFonts w:eastAsia="Calibri"/>
        </w:rPr>
        <w:drawing>
          <wp:inline distT="0" distB="0" distL="0" distR="0" wp14:anchorId="49D0DC8C" wp14:editId="5F72ADD0">
            <wp:extent cx="5760085" cy="1348105"/>
            <wp:effectExtent l="0" t="0" r="5715" b="0"/>
            <wp:docPr id="15164613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461388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34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0E591" w14:textId="4936697B" w:rsidR="00A90F85" w:rsidRPr="00280D9B" w:rsidRDefault="00BE3BBA" w:rsidP="00E402FA">
      <w:pPr>
        <w:jc w:val="both"/>
      </w:pPr>
      <w:r w:rsidRPr="00280D9B">
        <w:lastRenderedPageBreak/>
        <w:t>8</w:t>
      </w:r>
      <w:r w:rsidR="00A90F85" w:rsidRPr="00280D9B">
        <w:tab/>
      </w:r>
      <w:r w:rsidR="005B307C" w:rsidRPr="00280D9B">
        <w:t>Assessed contributions</w:t>
      </w:r>
      <w:r w:rsidR="00B67769" w:rsidRPr="00280D9B">
        <w:t xml:space="preserve"> increase marginally by </w:t>
      </w:r>
      <w:r w:rsidR="00A86D1F" w:rsidRPr="00280D9B">
        <w:t>CHF 564</w:t>
      </w:r>
      <w:r w:rsidR="007148A2">
        <w:t> </w:t>
      </w:r>
      <w:r w:rsidR="00A86D1F" w:rsidRPr="00280D9B">
        <w:t>000</w:t>
      </w:r>
      <w:r w:rsidR="00B67769" w:rsidRPr="00280D9B">
        <w:t xml:space="preserve">, although the </w:t>
      </w:r>
      <w:r w:rsidR="004A56CE" w:rsidRPr="00280D9B">
        <w:t xml:space="preserve">value of the </w:t>
      </w:r>
      <w:r w:rsidR="00B67769" w:rsidRPr="00280D9B">
        <w:t xml:space="preserve">contributory unit has </w:t>
      </w:r>
      <w:r w:rsidR="00A86D1F" w:rsidRPr="00280D9B">
        <w:t xml:space="preserve">been maintained </w:t>
      </w:r>
      <w:r w:rsidR="004A56CE" w:rsidRPr="00280D9B">
        <w:t>at CHF 318</w:t>
      </w:r>
      <w:r w:rsidR="007148A2">
        <w:t> </w:t>
      </w:r>
      <w:r w:rsidR="004A56CE" w:rsidRPr="00280D9B">
        <w:t xml:space="preserve">000 </w:t>
      </w:r>
      <w:r w:rsidR="00CF60AD" w:rsidRPr="00280D9B">
        <w:t>in accordance with Decision 5 (Rev.</w:t>
      </w:r>
      <w:r w:rsidR="007148A2">
        <w:t> </w:t>
      </w:r>
      <w:r w:rsidR="00CF60AD" w:rsidRPr="00280D9B">
        <w:t xml:space="preserve">Bucharest, 2022). </w:t>
      </w:r>
      <w:r w:rsidR="00A90F85" w:rsidRPr="00280D9B">
        <w:t xml:space="preserve">As </w:t>
      </w:r>
      <w:r w:rsidR="001B28AE" w:rsidRPr="00280D9B">
        <w:t>presented</w:t>
      </w:r>
      <w:r w:rsidR="00A90F85" w:rsidRPr="00280D9B">
        <w:t xml:space="preserve"> in </w:t>
      </w:r>
      <w:hyperlink w:anchor="Table3" w:history="1">
        <w:r w:rsidR="00A90F85" w:rsidRPr="007148A2">
          <w:rPr>
            <w:rStyle w:val="Hyperlink"/>
          </w:rPr>
          <w:t>Table 3</w:t>
        </w:r>
      </w:hyperlink>
      <w:r w:rsidR="00A90F85" w:rsidRPr="00280D9B">
        <w:t xml:space="preserve">, the </w:t>
      </w:r>
      <w:r w:rsidR="00105A00" w:rsidRPr="00280D9B">
        <w:t xml:space="preserve">anticipated </w:t>
      </w:r>
      <w:r w:rsidR="00A90F85" w:rsidRPr="00280D9B">
        <w:t xml:space="preserve">increase in assessed contributions </w:t>
      </w:r>
      <w:r w:rsidR="001B28AE" w:rsidRPr="00280D9B">
        <w:t xml:space="preserve">as compared with the financial plan </w:t>
      </w:r>
      <w:r w:rsidR="00A90F85" w:rsidRPr="00280D9B">
        <w:t xml:space="preserve">is mainly on account of the increase in </w:t>
      </w:r>
      <w:r w:rsidR="00105A00" w:rsidRPr="00280D9B">
        <w:t xml:space="preserve">the number of </w:t>
      </w:r>
      <w:r w:rsidR="00A90F85" w:rsidRPr="00280D9B">
        <w:t>Associate</w:t>
      </w:r>
      <w:r w:rsidR="00105A00" w:rsidRPr="00280D9B">
        <w:t xml:space="preserve"> members</w:t>
      </w:r>
      <w:r w:rsidR="00E7443F" w:rsidRPr="00280D9B">
        <w:t>, with small</w:t>
      </w:r>
      <w:r w:rsidR="00A247D0" w:rsidRPr="00280D9B">
        <w:t>er</w:t>
      </w:r>
      <w:r w:rsidR="00E7443F" w:rsidRPr="00280D9B">
        <w:t xml:space="preserve"> increases </w:t>
      </w:r>
      <w:r w:rsidR="00A247D0" w:rsidRPr="00280D9B">
        <w:t xml:space="preserve">also expected </w:t>
      </w:r>
      <w:r w:rsidR="00E7443F" w:rsidRPr="00280D9B">
        <w:t xml:space="preserve">from additional Sector </w:t>
      </w:r>
      <w:r w:rsidR="007148A2" w:rsidRPr="00280D9B">
        <w:t>Members</w:t>
      </w:r>
      <w:r w:rsidR="00E7443F" w:rsidRPr="00280D9B">
        <w:t xml:space="preserve">, Academia and </w:t>
      </w:r>
      <w:r w:rsidR="00250326" w:rsidRPr="00280D9B">
        <w:t>the additional by ITU of a</w:t>
      </w:r>
      <w:r w:rsidR="00E7443F" w:rsidRPr="00280D9B">
        <w:t xml:space="preserve"> new Member State</w:t>
      </w:r>
      <w:r w:rsidR="001B28AE" w:rsidRPr="00280D9B">
        <w:t>.</w:t>
      </w:r>
      <w:r w:rsidR="00A90F85" w:rsidRPr="00280D9B">
        <w:t xml:space="preserve"> </w:t>
      </w:r>
    </w:p>
    <w:p w14:paraId="4416C6D1" w14:textId="0967DD37" w:rsidR="001B28AE" w:rsidRPr="00280D9B" w:rsidRDefault="001B28AE" w:rsidP="00280D9B">
      <w:pPr>
        <w:pStyle w:val="FigureNo"/>
      </w:pPr>
      <w:r w:rsidRPr="00280D9B">
        <w:t>Table 3</w:t>
      </w:r>
      <w:bookmarkStart w:id="13" w:name="Table3"/>
      <w:bookmarkEnd w:id="13"/>
    </w:p>
    <w:p w14:paraId="364C6214" w14:textId="39D189E0" w:rsidR="00925455" w:rsidRPr="00280D9B" w:rsidRDefault="009D514D" w:rsidP="00280D9B">
      <w:pPr>
        <w:pStyle w:val="Figure"/>
      </w:pPr>
      <w:r w:rsidRPr="00280D9B">
        <w:drawing>
          <wp:inline distT="0" distB="0" distL="0" distR="0" wp14:anchorId="76793F97" wp14:editId="31CC334C">
            <wp:extent cx="5760085" cy="1449070"/>
            <wp:effectExtent l="0" t="0" r="5715" b="0"/>
            <wp:docPr id="16801238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12384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44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D9944" w14:textId="17262D21" w:rsidR="001B28AE" w:rsidRPr="00280D9B" w:rsidRDefault="00BE3BBA" w:rsidP="00E402FA">
      <w:pPr>
        <w:jc w:val="both"/>
      </w:pPr>
      <w:r w:rsidRPr="00280D9B">
        <w:t>9</w:t>
      </w:r>
      <w:r w:rsidR="008F5880" w:rsidRPr="00280D9B">
        <w:tab/>
      </w:r>
      <w:r w:rsidR="00EB3CFB" w:rsidRPr="00280D9B">
        <w:t>F</w:t>
      </w:r>
      <w:r w:rsidR="001B28AE" w:rsidRPr="00280D9B">
        <w:t xml:space="preserve">or </w:t>
      </w:r>
      <w:r w:rsidR="00250326" w:rsidRPr="00280D9B">
        <w:t xml:space="preserve">Satellite Network </w:t>
      </w:r>
      <w:r w:rsidR="00A54501" w:rsidRPr="00280D9B">
        <w:t>F</w:t>
      </w:r>
      <w:r w:rsidR="00250326" w:rsidRPr="00280D9B">
        <w:t xml:space="preserve">ilings </w:t>
      </w:r>
      <w:r w:rsidR="00A54501" w:rsidRPr="00280D9B">
        <w:t>(</w:t>
      </w:r>
      <w:proofErr w:type="spellStart"/>
      <w:r w:rsidR="00A54501" w:rsidRPr="00280D9B">
        <w:t>SNF</w:t>
      </w:r>
      <w:proofErr w:type="spellEnd"/>
      <w:r w:rsidR="00A54501" w:rsidRPr="00280D9B">
        <w:t xml:space="preserve">), </w:t>
      </w:r>
      <w:r w:rsidR="00C15A4E" w:rsidRPr="00280D9B">
        <w:t xml:space="preserve">as shown in </w:t>
      </w:r>
      <w:hyperlink w:anchor="Table4" w:history="1">
        <w:r w:rsidR="00C15A4E" w:rsidRPr="007148A2">
          <w:rPr>
            <w:rStyle w:val="Hyperlink"/>
          </w:rPr>
          <w:t xml:space="preserve">Table </w:t>
        </w:r>
        <w:r w:rsidR="000427B4" w:rsidRPr="007148A2">
          <w:rPr>
            <w:rStyle w:val="Hyperlink"/>
          </w:rPr>
          <w:t>4</w:t>
        </w:r>
      </w:hyperlink>
      <w:r w:rsidR="00237536" w:rsidRPr="00280D9B">
        <w:t xml:space="preserve">, </w:t>
      </w:r>
      <w:r w:rsidR="00A54501" w:rsidRPr="00280D9B">
        <w:t xml:space="preserve">ITU’s revenues </w:t>
      </w:r>
      <w:r w:rsidR="00C15A4E" w:rsidRPr="00280D9B">
        <w:t>since 20</w:t>
      </w:r>
      <w:r w:rsidR="008F47F8" w:rsidRPr="00280D9B">
        <w:t>21</w:t>
      </w:r>
      <w:r w:rsidR="00C15A4E" w:rsidRPr="00280D9B">
        <w:t xml:space="preserve"> </w:t>
      </w:r>
      <w:r w:rsidR="00A54501" w:rsidRPr="00280D9B">
        <w:t xml:space="preserve">have </w:t>
      </w:r>
      <w:r w:rsidR="001C6C42" w:rsidRPr="00280D9B">
        <w:t xml:space="preserve">been consistently below the </w:t>
      </w:r>
      <w:r w:rsidR="00DF26FF" w:rsidRPr="00280D9B">
        <w:t>level estimated in the Financial Plan</w:t>
      </w:r>
      <w:r w:rsidR="0056096E" w:rsidRPr="00280D9B">
        <w:t>,</w:t>
      </w:r>
      <w:r w:rsidR="00DF26FF" w:rsidRPr="00280D9B">
        <w:t xml:space="preserve"> and currently</w:t>
      </w:r>
      <w:r w:rsidR="00052B8E" w:rsidRPr="00280D9B">
        <w:t xml:space="preserve"> </w:t>
      </w:r>
      <w:r w:rsidR="00F85DF1" w:rsidRPr="00280D9B">
        <w:t xml:space="preserve">ITU’s </w:t>
      </w:r>
      <w:proofErr w:type="spellStart"/>
      <w:r w:rsidR="00F85DF1" w:rsidRPr="00280D9B">
        <w:t>SNF</w:t>
      </w:r>
      <w:proofErr w:type="spellEnd"/>
      <w:r w:rsidR="00F85DF1" w:rsidRPr="00280D9B">
        <w:t xml:space="preserve"> </w:t>
      </w:r>
      <w:r w:rsidR="00DF26FF" w:rsidRPr="00280D9B">
        <w:t xml:space="preserve">fees do </w:t>
      </w:r>
      <w:r w:rsidR="00052B8E" w:rsidRPr="00280D9B">
        <w:t xml:space="preserve">not result in </w:t>
      </w:r>
      <w:r w:rsidR="00904F16" w:rsidRPr="00280D9B">
        <w:t xml:space="preserve">full </w:t>
      </w:r>
      <w:r w:rsidR="00DF26FF" w:rsidRPr="00280D9B">
        <w:t xml:space="preserve">recovery of the </w:t>
      </w:r>
      <w:r w:rsidR="00904F16" w:rsidRPr="00280D9B">
        <w:t>cost</w:t>
      </w:r>
      <w:r w:rsidR="00DF26FF" w:rsidRPr="00280D9B">
        <w:t>s</w:t>
      </w:r>
      <w:r w:rsidR="00904F16" w:rsidRPr="00280D9B">
        <w:t xml:space="preserve"> </w:t>
      </w:r>
      <w:r w:rsidR="00DF26FF" w:rsidRPr="00280D9B">
        <w:t>expended by ITU</w:t>
      </w:r>
      <w:r w:rsidR="00F85DF1" w:rsidRPr="00280D9B">
        <w:t xml:space="preserve">. </w:t>
      </w:r>
      <w:r w:rsidR="00601615" w:rsidRPr="00280D9B">
        <w:t>Based on recent results, f</w:t>
      </w:r>
      <w:r w:rsidR="00237536" w:rsidRPr="00280D9B">
        <w:t xml:space="preserve">or 2026-2027 the shortfall is estimated to be </w:t>
      </w:r>
      <w:r w:rsidR="00601615" w:rsidRPr="00280D9B">
        <w:t xml:space="preserve">approximately </w:t>
      </w:r>
      <w:proofErr w:type="spellStart"/>
      <w:r w:rsidR="00237536" w:rsidRPr="00280D9B">
        <w:t>MCHF</w:t>
      </w:r>
      <w:proofErr w:type="spellEnd"/>
      <w:r w:rsidR="00237536" w:rsidRPr="00280D9B">
        <w:t xml:space="preserve"> 6</w:t>
      </w:r>
      <w:r w:rsidR="00601615" w:rsidRPr="00280D9B">
        <w:t>.</w:t>
      </w:r>
      <w:r w:rsidR="000427B4" w:rsidRPr="00280D9B">
        <w:t xml:space="preserve"> It should be noted that the total direct and indirect costs of </w:t>
      </w:r>
      <w:proofErr w:type="spellStart"/>
      <w:r w:rsidR="000427B4" w:rsidRPr="00280D9B">
        <w:t>SNF</w:t>
      </w:r>
      <w:proofErr w:type="spellEnd"/>
      <w:r w:rsidR="000427B4" w:rsidRPr="00280D9B">
        <w:t xml:space="preserve"> is estimated at CHF </w:t>
      </w:r>
      <w:r w:rsidR="6D85C99B" w:rsidRPr="00280D9B">
        <w:t>22.810 million</w:t>
      </w:r>
      <w:r w:rsidR="00750C83" w:rsidRPr="00280D9B">
        <w:t xml:space="preserve">, leading to expected CHF </w:t>
      </w:r>
      <w:proofErr w:type="spellStart"/>
      <w:r w:rsidR="00750C83" w:rsidRPr="00280D9B">
        <w:t>11.8m</w:t>
      </w:r>
      <w:proofErr w:type="spellEnd"/>
      <w:r w:rsidR="00750C83" w:rsidRPr="00280D9B">
        <w:t xml:space="preserve"> of unrecovered costs annually (on the basis on the current </w:t>
      </w:r>
      <w:proofErr w:type="spellStart"/>
      <w:r w:rsidR="00750C83" w:rsidRPr="00280D9B">
        <w:t>SNF</w:t>
      </w:r>
      <w:proofErr w:type="spellEnd"/>
      <w:r w:rsidR="00750C83" w:rsidRPr="00280D9B">
        <w:t xml:space="preserve"> fees)</w:t>
      </w:r>
      <w:r w:rsidR="000427B4" w:rsidRPr="00280D9B">
        <w:t>.</w:t>
      </w:r>
      <w:r w:rsidR="00601615" w:rsidRPr="00280D9B">
        <w:t xml:space="preserve"> </w:t>
      </w:r>
      <w:r w:rsidR="00750C83" w:rsidRPr="00280D9B">
        <w:t xml:space="preserve">Decisions at Council 2025, based on recommendations of the Expert Group on Decision 482 and CWG-FHR, </w:t>
      </w:r>
      <w:r w:rsidR="005849E2" w:rsidRPr="00280D9B">
        <w:t>will be</w:t>
      </w:r>
      <w:r w:rsidR="00A54501" w:rsidRPr="00280D9B">
        <w:t xml:space="preserve"> instrumental in </w:t>
      </w:r>
      <w:r w:rsidR="00237536" w:rsidRPr="00280D9B">
        <w:t>determining whether</w:t>
      </w:r>
      <w:r w:rsidR="00A54501" w:rsidRPr="00280D9B">
        <w:t xml:space="preserve"> these shortfalls</w:t>
      </w:r>
      <w:r w:rsidR="00237536" w:rsidRPr="00280D9B">
        <w:t xml:space="preserve"> are addressed or whether</w:t>
      </w:r>
      <w:r w:rsidR="005849E2" w:rsidRPr="00280D9B">
        <w:t xml:space="preserve"> ITU will need to find other sources of revenue</w:t>
      </w:r>
      <w:r w:rsidR="00237536" w:rsidRPr="00280D9B">
        <w:t>, or reduce costs</w:t>
      </w:r>
      <w:r w:rsidR="00750C83" w:rsidRPr="00280D9B">
        <w:t xml:space="preserve"> in other areas</w:t>
      </w:r>
      <w:r w:rsidR="00237536" w:rsidRPr="00280D9B">
        <w:t>,</w:t>
      </w:r>
      <w:r w:rsidR="005849E2" w:rsidRPr="00280D9B">
        <w:t xml:space="preserve"> to meet this deficit</w:t>
      </w:r>
      <w:r w:rsidR="00A54501" w:rsidRPr="00280D9B">
        <w:t>.</w:t>
      </w:r>
    </w:p>
    <w:p w14:paraId="409C5335" w14:textId="42269342" w:rsidR="000427B4" w:rsidRPr="00280D9B" w:rsidRDefault="000427B4" w:rsidP="00280D9B">
      <w:pPr>
        <w:pStyle w:val="FigureNo"/>
      </w:pPr>
      <w:r w:rsidRPr="00280D9B">
        <w:t>Table 4</w:t>
      </w:r>
      <w:bookmarkStart w:id="14" w:name="Table4"/>
      <w:bookmarkEnd w:id="14"/>
    </w:p>
    <w:p w14:paraId="3D46FDE2" w14:textId="107D0DFE" w:rsidR="00A961A7" w:rsidRPr="00280D9B" w:rsidRDefault="00D35D1D" w:rsidP="00280D9B">
      <w:pPr>
        <w:pStyle w:val="Figure"/>
      </w:pPr>
      <w:r w:rsidRPr="00280D9B">
        <w:drawing>
          <wp:inline distT="0" distB="0" distL="0" distR="0" wp14:anchorId="5650A871" wp14:editId="5E02410C">
            <wp:extent cx="5760085" cy="1593215"/>
            <wp:effectExtent l="0" t="0" r="5715" b="0"/>
            <wp:docPr id="10082457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245764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59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ED884" w14:textId="5019F529" w:rsidR="00A961A7" w:rsidRPr="00280D9B" w:rsidRDefault="008F47F8" w:rsidP="00E402FA">
      <w:pPr>
        <w:jc w:val="both"/>
      </w:pPr>
      <w:r w:rsidRPr="00280D9B">
        <w:t>10</w:t>
      </w:r>
      <w:r w:rsidR="00A961A7" w:rsidRPr="00280D9B">
        <w:tab/>
        <w:t>Based on the above trends,</w:t>
      </w:r>
      <w:r w:rsidR="00A961A7" w:rsidRPr="00280D9B">
        <w:rPr>
          <w:b/>
          <w:bCs/>
        </w:rPr>
        <w:t xml:space="preserve"> </w:t>
      </w:r>
      <w:hyperlink w:anchor="Table5" w:history="1">
        <w:r w:rsidR="00A961A7" w:rsidRPr="00132FB9">
          <w:rPr>
            <w:rStyle w:val="Hyperlink"/>
          </w:rPr>
          <w:t xml:space="preserve">Table </w:t>
        </w:r>
        <w:r w:rsidR="000427B4" w:rsidRPr="00132FB9">
          <w:rPr>
            <w:rStyle w:val="Hyperlink"/>
          </w:rPr>
          <w:t>5</w:t>
        </w:r>
      </w:hyperlink>
      <w:r w:rsidR="00A961A7" w:rsidRPr="00280D9B">
        <w:rPr>
          <w:b/>
          <w:bCs/>
        </w:rPr>
        <w:t xml:space="preserve"> </w:t>
      </w:r>
      <w:r w:rsidR="00A961A7" w:rsidRPr="00280D9B">
        <w:t>below</w:t>
      </w:r>
      <w:r w:rsidR="00A961A7" w:rsidRPr="00280D9B">
        <w:rPr>
          <w:b/>
          <w:bCs/>
        </w:rPr>
        <w:t xml:space="preserve"> </w:t>
      </w:r>
      <w:r w:rsidR="00A961A7" w:rsidRPr="00280D9B">
        <w:t>provides the breakdown of</w:t>
      </w:r>
      <w:r w:rsidR="00A961A7" w:rsidRPr="00280D9B">
        <w:rPr>
          <w:b/>
          <w:bCs/>
        </w:rPr>
        <w:t xml:space="preserve"> </w:t>
      </w:r>
      <w:r w:rsidR="00A961A7" w:rsidRPr="00280D9B">
        <w:t>ITU’s expected</w:t>
      </w:r>
      <w:r w:rsidR="00A961A7" w:rsidRPr="00280D9B">
        <w:rPr>
          <w:b/>
          <w:bCs/>
        </w:rPr>
        <w:t xml:space="preserve"> </w:t>
      </w:r>
      <w:r w:rsidR="00A961A7" w:rsidRPr="00280D9B">
        <w:t xml:space="preserve">cost recovery revenue for 2026-2027. </w:t>
      </w:r>
    </w:p>
    <w:p w14:paraId="7C2D6ED4" w14:textId="783191AF" w:rsidR="00904F16" w:rsidRPr="00280D9B" w:rsidRDefault="00904F16" w:rsidP="00280D9B">
      <w:pPr>
        <w:pStyle w:val="FigureNo"/>
      </w:pPr>
      <w:r w:rsidRPr="00280D9B">
        <w:lastRenderedPageBreak/>
        <w:t xml:space="preserve">Table </w:t>
      </w:r>
      <w:r w:rsidR="000427B4" w:rsidRPr="00280D9B">
        <w:t>5</w:t>
      </w:r>
      <w:bookmarkStart w:id="15" w:name="Table5"/>
      <w:bookmarkEnd w:id="15"/>
    </w:p>
    <w:p w14:paraId="2AD25344" w14:textId="24F6C155" w:rsidR="00904F16" w:rsidRPr="00280D9B" w:rsidRDefault="00FF58C3" w:rsidP="00280D9B">
      <w:pPr>
        <w:pStyle w:val="Figure"/>
      </w:pPr>
      <w:r w:rsidRPr="00280D9B">
        <w:drawing>
          <wp:inline distT="0" distB="0" distL="0" distR="0" wp14:anchorId="4C475FB0" wp14:editId="00835684">
            <wp:extent cx="5760085" cy="1588135"/>
            <wp:effectExtent l="0" t="0" r="5715" b="0"/>
            <wp:docPr id="10714600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46008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58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8DDA4" w14:textId="0D09AEAE" w:rsidR="00904F16" w:rsidRPr="00280D9B" w:rsidRDefault="008F47F8" w:rsidP="00E402FA">
      <w:pPr>
        <w:jc w:val="both"/>
      </w:pPr>
      <w:r w:rsidRPr="00280D9B">
        <w:t>11</w:t>
      </w:r>
      <w:r w:rsidR="00904F16" w:rsidRPr="00280D9B">
        <w:tab/>
        <w:t xml:space="preserve">As presented in </w:t>
      </w:r>
      <w:hyperlink w:anchor="Table6" w:history="1">
        <w:r w:rsidR="00904F16" w:rsidRPr="00132FB9">
          <w:rPr>
            <w:rStyle w:val="Hyperlink"/>
          </w:rPr>
          <w:t xml:space="preserve">Table </w:t>
        </w:r>
        <w:r w:rsidR="008368FB" w:rsidRPr="00132FB9">
          <w:rPr>
            <w:rStyle w:val="Hyperlink"/>
          </w:rPr>
          <w:t>6</w:t>
        </w:r>
      </w:hyperlink>
      <w:r w:rsidR="00C74621" w:rsidRPr="00280D9B">
        <w:rPr>
          <w:b/>
          <w:bCs/>
        </w:rPr>
        <w:t xml:space="preserve"> </w:t>
      </w:r>
      <w:r w:rsidR="00904F16" w:rsidRPr="00280D9B">
        <w:t xml:space="preserve">below, </w:t>
      </w:r>
      <w:r w:rsidR="008368FB" w:rsidRPr="00280D9B">
        <w:t xml:space="preserve">anticipated </w:t>
      </w:r>
      <w:r w:rsidR="00EF14F0" w:rsidRPr="00280D9B">
        <w:t xml:space="preserve">interest and other revenue have been adjusted </w:t>
      </w:r>
      <w:r w:rsidR="000D162D" w:rsidRPr="00280D9B">
        <w:t xml:space="preserve">based on the results achieved in </w:t>
      </w:r>
      <w:r w:rsidR="00EF14F0" w:rsidRPr="00280D9B">
        <w:t>recent years. Based on the Secretariat’s work to</w:t>
      </w:r>
      <w:r w:rsidR="000D162D" w:rsidRPr="00280D9B">
        <w:t xml:space="preserve"> improve its investment </w:t>
      </w:r>
      <w:r w:rsidR="00353BB5" w:rsidRPr="00280D9B">
        <w:t>decision-making</w:t>
      </w:r>
      <w:r w:rsidR="000D162D" w:rsidRPr="00280D9B">
        <w:t xml:space="preserve">, </w:t>
      </w:r>
      <w:r w:rsidR="00904F16" w:rsidRPr="00280D9B">
        <w:t xml:space="preserve">revenue from interest </w:t>
      </w:r>
      <w:r w:rsidR="000D162D" w:rsidRPr="00280D9B">
        <w:t xml:space="preserve">is estimated to </w:t>
      </w:r>
      <w:r w:rsidR="00904F16" w:rsidRPr="00280D9B">
        <w:t xml:space="preserve">increase </w:t>
      </w:r>
      <w:r w:rsidR="000D162D" w:rsidRPr="00280D9B">
        <w:t xml:space="preserve">by </w:t>
      </w:r>
      <w:proofErr w:type="spellStart"/>
      <w:r w:rsidR="00904F16" w:rsidRPr="00280D9B">
        <w:t>MCHF</w:t>
      </w:r>
      <w:proofErr w:type="spellEnd"/>
      <w:r w:rsidR="00904F16" w:rsidRPr="00280D9B">
        <w:t xml:space="preserve"> 1.1</w:t>
      </w:r>
      <w:r w:rsidR="006C714E" w:rsidRPr="00280D9B">
        <w:t xml:space="preserve"> </w:t>
      </w:r>
      <w:r w:rsidR="00AD5C3D" w:rsidRPr="00280D9B">
        <w:t xml:space="preserve">to </w:t>
      </w:r>
      <w:proofErr w:type="spellStart"/>
      <w:r w:rsidR="00AD5C3D" w:rsidRPr="00280D9B">
        <w:t>MCHF</w:t>
      </w:r>
      <w:proofErr w:type="spellEnd"/>
      <w:r w:rsidR="00AD5C3D" w:rsidRPr="00280D9B">
        <w:t xml:space="preserve"> 1.5 for the period</w:t>
      </w:r>
      <w:r w:rsidR="000D162D" w:rsidRPr="00280D9B">
        <w:t>,</w:t>
      </w:r>
      <w:r w:rsidR="00904F16" w:rsidRPr="00280D9B">
        <w:t xml:space="preserve"> while other revenue</w:t>
      </w:r>
      <w:r w:rsidR="00AD5C3D" w:rsidRPr="00280D9B">
        <w:t xml:space="preserve"> is anticipated to</w:t>
      </w:r>
      <w:r w:rsidR="00904F16" w:rsidRPr="00280D9B">
        <w:t xml:space="preserve"> increase by </w:t>
      </w:r>
      <w:proofErr w:type="spellStart"/>
      <w:r w:rsidR="00904F16" w:rsidRPr="00280D9B">
        <w:t>MCHF</w:t>
      </w:r>
      <w:proofErr w:type="spellEnd"/>
      <w:r w:rsidR="00132FB9">
        <w:t> </w:t>
      </w:r>
      <w:r w:rsidR="00904F16" w:rsidRPr="00280D9B">
        <w:t xml:space="preserve">0.3 million. </w:t>
      </w:r>
    </w:p>
    <w:p w14:paraId="762AC9AA" w14:textId="3AD1462A" w:rsidR="00904F16" w:rsidRPr="00280D9B" w:rsidRDefault="00904F16" w:rsidP="00280D9B">
      <w:pPr>
        <w:pStyle w:val="FigureNo"/>
      </w:pPr>
      <w:r w:rsidRPr="00280D9B">
        <w:t xml:space="preserve">Table </w:t>
      </w:r>
      <w:r w:rsidR="008368FB" w:rsidRPr="00280D9B">
        <w:t>6</w:t>
      </w:r>
      <w:bookmarkStart w:id="16" w:name="Table6"/>
      <w:bookmarkEnd w:id="16"/>
    </w:p>
    <w:p w14:paraId="7CDA7BB6" w14:textId="69DA9032" w:rsidR="00904F16" w:rsidRPr="00280D9B" w:rsidRDefault="003226C2" w:rsidP="00280D9B">
      <w:pPr>
        <w:pStyle w:val="Figure"/>
      </w:pPr>
      <w:r w:rsidRPr="00280D9B">
        <w:drawing>
          <wp:inline distT="0" distB="0" distL="0" distR="0" wp14:anchorId="005A8249" wp14:editId="2CCAF590">
            <wp:extent cx="5760085" cy="1182370"/>
            <wp:effectExtent l="0" t="0" r="5715" b="0"/>
            <wp:docPr id="4320984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098444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E17A9" w14:textId="1A0AA463" w:rsidR="00E129A8" w:rsidRPr="00280D9B" w:rsidRDefault="008F47F8" w:rsidP="00E402FA">
      <w:pPr>
        <w:jc w:val="both"/>
        <w:rPr>
          <w:szCs w:val="24"/>
        </w:rPr>
      </w:pPr>
      <w:r w:rsidRPr="00280D9B">
        <w:rPr>
          <w:szCs w:val="24"/>
        </w:rPr>
        <w:t>12</w:t>
      </w:r>
      <w:r w:rsidR="00904F16" w:rsidRPr="00280D9B">
        <w:rPr>
          <w:szCs w:val="24"/>
        </w:rPr>
        <w:tab/>
      </w:r>
      <w:r w:rsidR="00D66EEF" w:rsidRPr="00280D9B">
        <w:rPr>
          <w:szCs w:val="24"/>
        </w:rPr>
        <w:t xml:space="preserve">The draft budget is based on the conditions of employment that prevailed as of 1 August 2024 and will subsequently be re-calculated </w:t>
      </w:r>
      <w:proofErr w:type="gramStart"/>
      <w:r w:rsidR="00132FB9">
        <w:rPr>
          <w:szCs w:val="24"/>
        </w:rPr>
        <w:t>at</w:t>
      </w:r>
      <w:proofErr w:type="gramEnd"/>
      <w:r w:rsidR="00132FB9">
        <w:rPr>
          <w:szCs w:val="24"/>
        </w:rPr>
        <w:t xml:space="preserve"> </w:t>
      </w:r>
      <w:r w:rsidR="00D66EEF" w:rsidRPr="00280D9B">
        <w:rPr>
          <w:szCs w:val="24"/>
        </w:rPr>
        <w:t>1 January 2025 rates</w:t>
      </w:r>
      <w:r w:rsidR="00FD16CD" w:rsidRPr="00280D9B">
        <w:rPr>
          <w:szCs w:val="24"/>
        </w:rPr>
        <w:t>, adjusted for inflation during the period</w:t>
      </w:r>
      <w:r w:rsidR="00090E27" w:rsidRPr="00280D9B">
        <w:rPr>
          <w:szCs w:val="24"/>
        </w:rPr>
        <w:t xml:space="preserve">. </w:t>
      </w:r>
      <w:r w:rsidR="00FD15BC" w:rsidRPr="00280D9B">
        <w:rPr>
          <w:szCs w:val="24"/>
        </w:rPr>
        <w:t xml:space="preserve">Staff costs for the period have been adjusted </w:t>
      </w:r>
      <w:r w:rsidR="00074C92" w:rsidRPr="00280D9B">
        <w:rPr>
          <w:szCs w:val="24"/>
        </w:rPr>
        <w:t xml:space="preserve">downward </w:t>
      </w:r>
      <w:r w:rsidR="00FD16CD" w:rsidRPr="00280D9B">
        <w:rPr>
          <w:szCs w:val="24"/>
        </w:rPr>
        <w:t>to account for</w:t>
      </w:r>
      <w:r w:rsidR="00E129A8" w:rsidRPr="00280D9B">
        <w:rPr>
          <w:szCs w:val="24"/>
        </w:rPr>
        <w:t xml:space="preserve"> </w:t>
      </w:r>
      <w:r w:rsidR="00074C92" w:rsidRPr="00280D9B">
        <w:rPr>
          <w:szCs w:val="24"/>
        </w:rPr>
        <w:t xml:space="preserve">the </w:t>
      </w:r>
      <w:r w:rsidR="00845F9C" w:rsidRPr="00280D9B">
        <w:t>reduced</w:t>
      </w:r>
      <w:r w:rsidR="00845F9C" w:rsidRPr="00280D9B">
        <w:rPr>
          <w:szCs w:val="24"/>
        </w:rPr>
        <w:t xml:space="preserve"> annual costs experienced due to </w:t>
      </w:r>
      <w:r w:rsidR="00E129A8" w:rsidRPr="00280D9B">
        <w:rPr>
          <w:szCs w:val="24"/>
        </w:rPr>
        <w:t>recruitment delays and staff turnover</w:t>
      </w:r>
      <w:r w:rsidR="00FD16CD" w:rsidRPr="00280D9B">
        <w:rPr>
          <w:szCs w:val="24"/>
        </w:rPr>
        <w:t xml:space="preserve">, based on the </w:t>
      </w:r>
      <w:r w:rsidR="00090E27" w:rsidRPr="00280D9B">
        <w:rPr>
          <w:szCs w:val="24"/>
        </w:rPr>
        <w:t>rates</w:t>
      </w:r>
      <w:r w:rsidR="00845F9C" w:rsidRPr="00280D9B">
        <w:rPr>
          <w:szCs w:val="24"/>
        </w:rPr>
        <w:t xml:space="preserve"> </w:t>
      </w:r>
      <w:r w:rsidR="00E129A8" w:rsidRPr="00280D9B">
        <w:rPr>
          <w:szCs w:val="24"/>
        </w:rPr>
        <w:t>experienced for regular staff in 2024.</w:t>
      </w:r>
      <w:r w:rsidR="00313D57" w:rsidRPr="00280D9B">
        <w:rPr>
          <w:szCs w:val="24"/>
        </w:rPr>
        <w:t xml:space="preserve"> </w:t>
      </w:r>
      <w:r w:rsidR="00C826C1" w:rsidRPr="00280D9B">
        <w:rPr>
          <w:szCs w:val="24"/>
        </w:rPr>
        <w:t>Additional reduction</w:t>
      </w:r>
      <w:r w:rsidR="008753AC" w:rsidRPr="00280D9B">
        <w:rPr>
          <w:szCs w:val="24"/>
        </w:rPr>
        <w:t>s</w:t>
      </w:r>
      <w:r w:rsidR="00C826C1" w:rsidRPr="00280D9B">
        <w:rPr>
          <w:szCs w:val="24"/>
        </w:rPr>
        <w:t xml:space="preserve"> ha</w:t>
      </w:r>
      <w:r w:rsidR="008753AC" w:rsidRPr="00280D9B">
        <w:rPr>
          <w:szCs w:val="24"/>
        </w:rPr>
        <w:t>ve</w:t>
      </w:r>
      <w:r w:rsidR="00C826C1" w:rsidRPr="00280D9B">
        <w:rPr>
          <w:szCs w:val="24"/>
        </w:rPr>
        <w:t xml:space="preserve"> been </w:t>
      </w:r>
      <w:r w:rsidR="0021288B" w:rsidRPr="00280D9B">
        <w:rPr>
          <w:szCs w:val="24"/>
        </w:rPr>
        <w:t>introduced</w:t>
      </w:r>
      <w:r w:rsidR="00C826C1" w:rsidRPr="00280D9B">
        <w:rPr>
          <w:szCs w:val="24"/>
        </w:rPr>
        <w:t xml:space="preserve"> to align </w:t>
      </w:r>
      <w:r w:rsidR="0021288B" w:rsidRPr="00280D9B">
        <w:rPr>
          <w:szCs w:val="24"/>
        </w:rPr>
        <w:t xml:space="preserve">the expenses </w:t>
      </w:r>
      <w:r w:rsidR="00014746" w:rsidRPr="00280D9B">
        <w:rPr>
          <w:szCs w:val="24"/>
        </w:rPr>
        <w:t xml:space="preserve">as close as possible </w:t>
      </w:r>
      <w:r w:rsidR="0021288B" w:rsidRPr="00280D9B">
        <w:rPr>
          <w:szCs w:val="24"/>
        </w:rPr>
        <w:t>to the financial plan</w:t>
      </w:r>
      <w:r w:rsidR="00F16DBE" w:rsidRPr="00280D9B">
        <w:rPr>
          <w:szCs w:val="24"/>
        </w:rPr>
        <w:t>. The Management will work until the next Council session to review the draft budget and identify appropriate efficiency and reduction measures to balance the draft budget for 2026-2027.</w:t>
      </w:r>
    </w:p>
    <w:p w14:paraId="45D881B4" w14:textId="21563815" w:rsidR="00E223C0" w:rsidRPr="00280D9B" w:rsidRDefault="008F3AA6" w:rsidP="00F8458F">
      <w:pPr>
        <w:pStyle w:val="Headingb"/>
      </w:pPr>
      <w:r w:rsidRPr="00280D9B">
        <w:t xml:space="preserve">Process </w:t>
      </w:r>
      <w:r w:rsidR="005A6420" w:rsidRPr="00280D9B">
        <w:t xml:space="preserve">for </w:t>
      </w:r>
      <w:r w:rsidR="00132FB9" w:rsidRPr="00280D9B">
        <w:t xml:space="preserve">submission of a balanced budget </w:t>
      </w:r>
      <w:r w:rsidR="00E223C0" w:rsidRPr="00280D9B">
        <w:t>2026-2027 by Council 2025</w:t>
      </w:r>
    </w:p>
    <w:p w14:paraId="4E6A95D3" w14:textId="5638B6AE" w:rsidR="00E223C0" w:rsidRPr="00280D9B" w:rsidRDefault="00D66EEF" w:rsidP="00E402FA">
      <w:pPr>
        <w:jc w:val="both"/>
      </w:pPr>
      <w:r w:rsidRPr="00280D9B">
        <w:t>1</w:t>
      </w:r>
      <w:r w:rsidR="00E223C0" w:rsidRPr="00280D9B">
        <w:t>3</w:t>
      </w:r>
      <w:r w:rsidRPr="00280D9B">
        <w:tab/>
      </w:r>
      <w:r w:rsidR="00E223C0" w:rsidRPr="00280D9B">
        <w:t xml:space="preserve">The Secretariat will continue to work </w:t>
      </w:r>
      <w:r w:rsidR="001F4285" w:rsidRPr="00280D9B">
        <w:t>on the draft biennial budget and will present a balanced budget</w:t>
      </w:r>
      <w:r w:rsidR="00E223C0" w:rsidRPr="00280D9B">
        <w:t xml:space="preserve"> to Council 2025 </w:t>
      </w:r>
      <w:r w:rsidR="001F4285" w:rsidRPr="00280D9B">
        <w:t>in accordance with the mandated timelines</w:t>
      </w:r>
      <w:r w:rsidR="00C87C99" w:rsidRPr="00280D9B">
        <w:t xml:space="preserve">. The process for balancing the budget </w:t>
      </w:r>
      <w:r w:rsidR="00494325" w:rsidRPr="00280D9B">
        <w:t xml:space="preserve">is considering </w:t>
      </w:r>
      <w:r w:rsidR="00C87C99" w:rsidRPr="00280D9B">
        <w:t>the following elements:</w:t>
      </w:r>
    </w:p>
    <w:p w14:paraId="6CBEF017" w14:textId="67F2B4E2" w:rsidR="00C87C99" w:rsidRPr="00280D9B" w:rsidRDefault="009C5372" w:rsidP="00280D9B">
      <w:pPr>
        <w:pStyle w:val="enumlev1"/>
        <w:jc w:val="both"/>
      </w:pPr>
      <w:proofErr w:type="spellStart"/>
      <w:r w:rsidRPr="00280D9B">
        <w:t>i</w:t>
      </w:r>
      <w:proofErr w:type="spellEnd"/>
      <w:r w:rsidR="00132FB9">
        <w:t>)</w:t>
      </w:r>
      <w:r w:rsidRPr="00280D9B">
        <w:tab/>
      </w:r>
      <w:r w:rsidR="00EF4657" w:rsidRPr="00280D9B">
        <w:t>I</w:t>
      </w:r>
      <w:r w:rsidR="00C87C99" w:rsidRPr="00280D9B">
        <w:t>mplementation of</w:t>
      </w:r>
      <w:r w:rsidR="00D66EEF" w:rsidRPr="00280D9B">
        <w:t xml:space="preserve"> efficiency measures</w:t>
      </w:r>
      <w:r w:rsidR="00BE445C" w:rsidRPr="00280D9B">
        <w:t>:</w:t>
      </w:r>
      <w:r w:rsidR="00D66EEF" w:rsidRPr="00280D9B">
        <w:t xml:space="preserve"> </w:t>
      </w:r>
    </w:p>
    <w:p w14:paraId="6015E369" w14:textId="65A09A95" w:rsidR="003E6786" w:rsidRPr="00280D9B" w:rsidRDefault="009C5372" w:rsidP="00280D9B">
      <w:pPr>
        <w:pStyle w:val="enumlev2"/>
        <w:jc w:val="both"/>
      </w:pPr>
      <w:r w:rsidRPr="00280D9B">
        <w:t>a</w:t>
      </w:r>
      <w:r w:rsidR="00132FB9">
        <w:t>)</w:t>
      </w:r>
      <w:r w:rsidRPr="00280D9B">
        <w:tab/>
      </w:r>
      <w:r w:rsidR="00132FB9" w:rsidRPr="00280D9B">
        <w:t xml:space="preserve">building </w:t>
      </w:r>
      <w:r w:rsidR="003E6786" w:rsidRPr="00280D9B">
        <w:t>energy efficiency measures</w:t>
      </w:r>
    </w:p>
    <w:p w14:paraId="1A077780" w14:textId="597C44D3" w:rsidR="00257798" w:rsidRPr="00280D9B" w:rsidRDefault="009C5372" w:rsidP="00280D9B">
      <w:pPr>
        <w:pStyle w:val="enumlev2"/>
        <w:jc w:val="both"/>
      </w:pPr>
      <w:r w:rsidRPr="00280D9B">
        <w:t>b</w:t>
      </w:r>
      <w:r w:rsidR="00132FB9">
        <w:t>)</w:t>
      </w:r>
      <w:r w:rsidRPr="00280D9B">
        <w:tab/>
      </w:r>
      <w:r w:rsidR="00132FB9" w:rsidRPr="00280D9B">
        <w:t xml:space="preserve">expanded </w:t>
      </w:r>
      <w:r w:rsidR="00B06E04" w:rsidRPr="00280D9B">
        <w:t>use</w:t>
      </w:r>
      <w:r w:rsidR="00257798" w:rsidRPr="00280D9B">
        <w:t xml:space="preserve"> of </w:t>
      </w:r>
      <w:r w:rsidR="00B06E04" w:rsidRPr="00280D9B">
        <w:t xml:space="preserve">available </w:t>
      </w:r>
      <w:r w:rsidR="008631F8" w:rsidRPr="00280D9B">
        <w:t>UN system efficiency measures</w:t>
      </w:r>
      <w:r w:rsidR="00B06E04" w:rsidRPr="00280D9B">
        <w:t xml:space="preserve"> (e.g. CBO services)</w:t>
      </w:r>
    </w:p>
    <w:p w14:paraId="4CBFD854" w14:textId="6C3179E9" w:rsidR="008631F8" w:rsidRPr="00280D9B" w:rsidRDefault="009C5372" w:rsidP="00280D9B">
      <w:pPr>
        <w:pStyle w:val="enumlev2"/>
        <w:jc w:val="both"/>
      </w:pPr>
      <w:r w:rsidRPr="00280D9B">
        <w:t>c</w:t>
      </w:r>
      <w:r w:rsidR="00132FB9">
        <w:t>)</w:t>
      </w:r>
      <w:r w:rsidRPr="00280D9B">
        <w:tab/>
      </w:r>
      <w:r w:rsidR="00132FB9" w:rsidRPr="00280D9B">
        <w:t xml:space="preserve">travel </w:t>
      </w:r>
      <w:r w:rsidR="00FA620F" w:rsidRPr="00280D9B">
        <w:t>cost reduction through effective planning and management</w:t>
      </w:r>
    </w:p>
    <w:p w14:paraId="7B0D3B2E" w14:textId="0F783829" w:rsidR="0006072C" w:rsidRPr="00280D9B" w:rsidRDefault="009C5372" w:rsidP="00280D9B">
      <w:pPr>
        <w:pStyle w:val="enumlev2"/>
        <w:jc w:val="both"/>
      </w:pPr>
      <w:r w:rsidRPr="00280D9B">
        <w:t>d</w:t>
      </w:r>
      <w:r w:rsidR="00132FB9">
        <w:t>)</w:t>
      </w:r>
      <w:r w:rsidRPr="00280D9B">
        <w:tab/>
      </w:r>
      <w:r w:rsidR="00132FB9" w:rsidRPr="00280D9B">
        <w:t xml:space="preserve">efficiencies </w:t>
      </w:r>
      <w:r w:rsidR="0006072C" w:rsidRPr="00280D9B">
        <w:t xml:space="preserve">anticipated </w:t>
      </w:r>
      <w:r w:rsidR="0065315F" w:rsidRPr="00280D9B">
        <w:t>because of</w:t>
      </w:r>
      <w:r w:rsidR="0006072C" w:rsidRPr="00280D9B">
        <w:t xml:space="preserve"> digital transformation</w:t>
      </w:r>
      <w:r w:rsidR="00132FB9">
        <w:t>.</w:t>
      </w:r>
    </w:p>
    <w:p w14:paraId="0BCFCF86" w14:textId="5B07AF67" w:rsidR="00EF4657" w:rsidRPr="00280D9B" w:rsidRDefault="009C5372" w:rsidP="00132FB9">
      <w:pPr>
        <w:pStyle w:val="enumlev1"/>
        <w:keepNext/>
        <w:jc w:val="both"/>
      </w:pPr>
      <w:r w:rsidRPr="00280D9B">
        <w:lastRenderedPageBreak/>
        <w:t>ii</w:t>
      </w:r>
      <w:r w:rsidR="00132FB9">
        <w:t>)</w:t>
      </w:r>
      <w:r w:rsidRPr="00280D9B">
        <w:tab/>
      </w:r>
      <w:r w:rsidR="00C87C99" w:rsidRPr="00280D9B">
        <w:t>P</w:t>
      </w:r>
      <w:r w:rsidR="00D66EEF" w:rsidRPr="00280D9B">
        <w:t>rioritization</w:t>
      </w:r>
      <w:r w:rsidR="007D29EE" w:rsidRPr="00280D9B">
        <w:t xml:space="preserve"> and efficiency</w:t>
      </w:r>
      <w:r w:rsidR="00D66EEF" w:rsidRPr="00280D9B">
        <w:t xml:space="preserve"> </w:t>
      </w:r>
      <w:r w:rsidR="00C87C99" w:rsidRPr="00280D9B">
        <w:t>efforts at Bureau/Departmental level</w:t>
      </w:r>
      <w:r w:rsidR="00BE445C" w:rsidRPr="00280D9B">
        <w:t>:</w:t>
      </w:r>
    </w:p>
    <w:p w14:paraId="7C43F3C8" w14:textId="7A00CC76" w:rsidR="007D29EE" w:rsidRPr="00280D9B" w:rsidRDefault="009C5372" w:rsidP="00280D9B">
      <w:pPr>
        <w:pStyle w:val="enumlev2"/>
        <w:jc w:val="both"/>
      </w:pPr>
      <w:r w:rsidRPr="00280D9B">
        <w:t>a</w:t>
      </w:r>
      <w:r w:rsidR="00132FB9">
        <w:t>)</w:t>
      </w:r>
      <w:r w:rsidRPr="00280D9B">
        <w:tab/>
      </w:r>
      <w:r w:rsidR="00132FB9" w:rsidRPr="00280D9B">
        <w:t xml:space="preserve">optimization </w:t>
      </w:r>
      <w:r w:rsidR="007D29EE" w:rsidRPr="00280D9B">
        <w:t>of number of events</w:t>
      </w:r>
    </w:p>
    <w:p w14:paraId="70514DFC" w14:textId="544E75B0" w:rsidR="007D29EE" w:rsidRPr="00280D9B" w:rsidRDefault="009C5372" w:rsidP="00280D9B">
      <w:pPr>
        <w:pStyle w:val="enumlev2"/>
        <w:jc w:val="both"/>
      </w:pPr>
      <w:r w:rsidRPr="00280D9B">
        <w:t>b</w:t>
      </w:r>
      <w:r w:rsidR="00132FB9">
        <w:t>)</w:t>
      </w:r>
      <w:r w:rsidRPr="00280D9B">
        <w:tab/>
      </w:r>
      <w:r w:rsidR="00132FB9" w:rsidRPr="00280D9B">
        <w:t xml:space="preserve">optimize </w:t>
      </w:r>
      <w:r w:rsidR="00D6153C" w:rsidRPr="00280D9B">
        <w:t>the</w:t>
      </w:r>
      <w:r w:rsidR="007D29EE" w:rsidRPr="00280D9B">
        <w:t xml:space="preserve"> use of virtual events</w:t>
      </w:r>
      <w:r w:rsidR="00D6153C" w:rsidRPr="00280D9B">
        <w:t xml:space="preserve"> and digital service delivery for meetings and events</w:t>
      </w:r>
    </w:p>
    <w:p w14:paraId="77D141F3" w14:textId="038868F5" w:rsidR="001E35CA" w:rsidRPr="00280D9B" w:rsidRDefault="009C5372" w:rsidP="00280D9B">
      <w:pPr>
        <w:pStyle w:val="enumlev2"/>
        <w:jc w:val="both"/>
      </w:pPr>
      <w:r w:rsidRPr="00280D9B">
        <w:t>c</w:t>
      </w:r>
      <w:r w:rsidR="00132FB9">
        <w:t>)</w:t>
      </w:r>
      <w:r w:rsidRPr="00280D9B">
        <w:tab/>
      </w:r>
      <w:r w:rsidR="00132FB9" w:rsidRPr="00280D9B">
        <w:t xml:space="preserve">reduction </w:t>
      </w:r>
      <w:r w:rsidR="001E35CA" w:rsidRPr="00280D9B">
        <w:t>of duplication between the Sectors and the General Secretariat</w:t>
      </w:r>
    </w:p>
    <w:p w14:paraId="6660FF05" w14:textId="1A011A4D" w:rsidR="007D29EE" w:rsidRPr="00280D9B" w:rsidRDefault="009C5372" w:rsidP="00280D9B">
      <w:pPr>
        <w:pStyle w:val="enumlev2"/>
        <w:jc w:val="both"/>
      </w:pPr>
      <w:r w:rsidRPr="00280D9B">
        <w:t>d</w:t>
      </w:r>
      <w:r w:rsidR="00132FB9">
        <w:t>)</w:t>
      </w:r>
      <w:r w:rsidRPr="00280D9B">
        <w:tab/>
      </w:r>
      <w:r w:rsidR="00132FB9" w:rsidRPr="00280D9B">
        <w:t xml:space="preserve">use </w:t>
      </w:r>
      <w:r w:rsidR="00267459" w:rsidRPr="00280D9B">
        <w:t>of inexpensive contractual measures to address low priority staff vacancies</w:t>
      </w:r>
      <w:r w:rsidR="00132FB9">
        <w:t>.</w:t>
      </w:r>
    </w:p>
    <w:p w14:paraId="46025D20" w14:textId="2D379E62" w:rsidR="00267459" w:rsidRPr="00280D9B" w:rsidRDefault="009C5372" w:rsidP="00280D9B">
      <w:pPr>
        <w:pStyle w:val="enumlev1"/>
        <w:jc w:val="both"/>
      </w:pPr>
      <w:r w:rsidRPr="00280D9B">
        <w:t>iii</w:t>
      </w:r>
      <w:r w:rsidR="00132FB9">
        <w:t>)</w:t>
      </w:r>
      <w:r w:rsidRPr="00280D9B">
        <w:tab/>
      </w:r>
      <w:r w:rsidR="00EF4657" w:rsidRPr="00280D9B">
        <w:t xml:space="preserve">De-prioritization of non-essential </w:t>
      </w:r>
      <w:r w:rsidR="00041DFA" w:rsidRPr="00280D9B">
        <w:t>activities</w:t>
      </w:r>
      <w:r w:rsidR="00BE445C" w:rsidRPr="00280D9B">
        <w:t>:</w:t>
      </w:r>
      <w:r w:rsidR="00041DFA" w:rsidRPr="00280D9B">
        <w:t xml:space="preserve"> </w:t>
      </w:r>
    </w:p>
    <w:p w14:paraId="642D1A3C" w14:textId="2E20FFB7" w:rsidR="00267459" w:rsidRPr="00280D9B" w:rsidRDefault="009C5372" w:rsidP="00280D9B">
      <w:pPr>
        <w:pStyle w:val="enumlev2"/>
        <w:jc w:val="both"/>
      </w:pPr>
      <w:r w:rsidRPr="00280D9B">
        <w:t>a</w:t>
      </w:r>
      <w:r w:rsidR="00132FB9">
        <w:t>)</w:t>
      </w:r>
      <w:r w:rsidRPr="00280D9B">
        <w:tab/>
      </w:r>
      <w:r w:rsidR="00EC1714" w:rsidRPr="00280D9B">
        <w:t xml:space="preserve">lower </w:t>
      </w:r>
      <w:r w:rsidR="00D66EEF" w:rsidRPr="00280D9B">
        <w:t>value activities will be de-emphasized</w:t>
      </w:r>
      <w:r w:rsidR="00267459" w:rsidRPr="00280D9B">
        <w:t xml:space="preserve"> to </w:t>
      </w:r>
      <w:r w:rsidR="00D6153C" w:rsidRPr="00280D9B">
        <w:t>ensure adequate</w:t>
      </w:r>
      <w:r w:rsidR="00267459" w:rsidRPr="00280D9B">
        <w:t xml:space="preserve"> resources </w:t>
      </w:r>
      <w:r w:rsidR="00D6153C" w:rsidRPr="00280D9B">
        <w:t xml:space="preserve">for </w:t>
      </w:r>
      <w:r w:rsidR="00267459" w:rsidRPr="00280D9B">
        <w:t>key and high priority activities</w:t>
      </w:r>
    </w:p>
    <w:p w14:paraId="79A03021" w14:textId="2EB7050D" w:rsidR="00A2051B" w:rsidRPr="00280D9B" w:rsidRDefault="009C5372" w:rsidP="00280D9B">
      <w:pPr>
        <w:pStyle w:val="enumlev1"/>
        <w:jc w:val="both"/>
      </w:pPr>
      <w:r w:rsidRPr="00280D9B">
        <w:t>iv</w:t>
      </w:r>
      <w:r w:rsidR="00132FB9">
        <w:t>)</w:t>
      </w:r>
      <w:r w:rsidRPr="00280D9B">
        <w:tab/>
      </w:r>
      <w:r w:rsidR="00A2051B" w:rsidRPr="00280D9B">
        <w:t>Delay</w:t>
      </w:r>
      <w:r w:rsidR="003E6786" w:rsidRPr="00280D9B">
        <w:t>ed</w:t>
      </w:r>
      <w:r w:rsidR="001E7F27" w:rsidRPr="00280D9B">
        <w:t xml:space="preserve"> recruitment </w:t>
      </w:r>
      <w:r w:rsidR="003E6786" w:rsidRPr="00280D9B">
        <w:t>for</w:t>
      </w:r>
      <w:r w:rsidR="001E7F27" w:rsidRPr="00280D9B">
        <w:t xml:space="preserve"> vacant positions </w:t>
      </w:r>
      <w:r w:rsidR="003E6786" w:rsidRPr="00280D9B">
        <w:t>in</w:t>
      </w:r>
      <w:r w:rsidR="001E7F27" w:rsidRPr="00280D9B">
        <w:t xml:space="preserve"> non-essential activities</w:t>
      </w:r>
    </w:p>
    <w:p w14:paraId="576AFB85" w14:textId="3731D0B8" w:rsidR="00387993" w:rsidRPr="00280D9B" w:rsidRDefault="009C5372" w:rsidP="00280D9B">
      <w:pPr>
        <w:pStyle w:val="enumlev1"/>
        <w:jc w:val="both"/>
      </w:pPr>
      <w:r w:rsidRPr="00280D9B">
        <w:t>v</w:t>
      </w:r>
      <w:r w:rsidR="00132FB9">
        <w:t>)</w:t>
      </w:r>
      <w:r w:rsidRPr="00280D9B">
        <w:tab/>
      </w:r>
      <w:r w:rsidR="00387993" w:rsidRPr="00280D9B">
        <w:t>Incorporate anticipated gains from ITU resource mobilization efforts</w:t>
      </w:r>
      <w:r w:rsidR="00132FB9">
        <w:t>.</w:t>
      </w:r>
    </w:p>
    <w:p w14:paraId="167DE5E6" w14:textId="3C9E5190" w:rsidR="005160BD" w:rsidRPr="00280D9B" w:rsidRDefault="00E223C0" w:rsidP="00E402FA">
      <w:pPr>
        <w:jc w:val="both"/>
        <w:rPr>
          <w:rFonts w:asciiTheme="minorHAnsi" w:eastAsia="Calibri" w:hAnsiTheme="minorHAnsi" w:cstheme="minorHAnsi"/>
        </w:rPr>
      </w:pPr>
      <w:r w:rsidRPr="00280D9B">
        <w:t>14</w:t>
      </w:r>
      <w:r w:rsidR="005160BD" w:rsidRPr="00280D9B">
        <w:rPr>
          <w:b/>
          <w:bCs/>
        </w:rPr>
        <w:tab/>
      </w:r>
      <w:r w:rsidR="00FA457A" w:rsidRPr="00280D9B">
        <w:t xml:space="preserve">The Budget presented to Council 2025 will also provide additional details of the strategic and thematic areas </w:t>
      </w:r>
      <w:r w:rsidR="0052666D" w:rsidRPr="00280D9B">
        <w:t xml:space="preserve">covered by the expenses, and where applicable information regarding activities or areas that are underfunded due to budgetary necessities. </w:t>
      </w:r>
      <w:hyperlink w:anchor="Annex1" w:history="1">
        <w:r w:rsidR="005160BD" w:rsidRPr="00EC1714">
          <w:rPr>
            <w:rStyle w:val="Hyperlink"/>
          </w:rPr>
          <w:t>Annex 1</w:t>
        </w:r>
      </w:hyperlink>
      <w:r w:rsidR="005160BD" w:rsidRPr="00280D9B">
        <w:t xml:space="preserve"> provides the breakdown of the 2026-2027 budget by </w:t>
      </w:r>
      <w:r w:rsidR="00FC303A" w:rsidRPr="00280D9B">
        <w:t>s</w:t>
      </w:r>
      <w:r w:rsidR="005160BD" w:rsidRPr="00280D9B">
        <w:t>ector</w:t>
      </w:r>
      <w:r w:rsidR="00FC303A" w:rsidRPr="00280D9B">
        <w:t xml:space="preserve"> </w:t>
      </w:r>
      <w:r w:rsidR="005160BD" w:rsidRPr="00280D9B">
        <w:t>and section.</w:t>
      </w:r>
    </w:p>
    <w:p w14:paraId="773F8837" w14:textId="77777777" w:rsidR="005160BD" w:rsidRPr="00280D9B" w:rsidRDefault="005160B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  <w:r w:rsidRPr="00280D9B">
        <w:br w:type="page"/>
      </w:r>
    </w:p>
    <w:p w14:paraId="40D2BEF0" w14:textId="75B6D4C2" w:rsidR="00D66EEF" w:rsidRPr="00280D9B" w:rsidRDefault="005160BD" w:rsidP="00280D9B">
      <w:pPr>
        <w:pStyle w:val="AnnexNo"/>
      </w:pPr>
      <w:bookmarkStart w:id="17" w:name="Annex1"/>
      <w:bookmarkEnd w:id="17"/>
      <w:r w:rsidRPr="00280D9B">
        <w:lastRenderedPageBreak/>
        <w:t>Annex 1</w:t>
      </w:r>
    </w:p>
    <w:p w14:paraId="17CC0FDA" w14:textId="0F75127A" w:rsidR="005160BD" w:rsidRPr="00280D9B" w:rsidRDefault="002A498D" w:rsidP="00280D9B">
      <w:pPr>
        <w:pStyle w:val="FigureNo"/>
        <w:spacing w:before="240"/>
      </w:pPr>
      <w:r w:rsidRPr="00280D9B">
        <w:t xml:space="preserve">Table </w:t>
      </w:r>
      <w:r w:rsidR="008368FB" w:rsidRPr="00280D9B">
        <w:t>7</w:t>
      </w:r>
      <w:bookmarkStart w:id="18" w:name="Table7"/>
      <w:bookmarkEnd w:id="18"/>
    </w:p>
    <w:p w14:paraId="10608605" w14:textId="7E4D1EA0" w:rsidR="002A498D" w:rsidRPr="00280D9B" w:rsidRDefault="00E9546D" w:rsidP="00280D9B">
      <w:pPr>
        <w:pStyle w:val="Figure"/>
      </w:pPr>
      <w:r w:rsidRPr="00280D9B">
        <w:drawing>
          <wp:inline distT="0" distB="0" distL="0" distR="0" wp14:anchorId="048113B2" wp14:editId="44142423">
            <wp:extent cx="5760085" cy="1767205"/>
            <wp:effectExtent l="0" t="0" r="5715" b="0"/>
            <wp:docPr id="17551888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18883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D6C1F" w14:textId="49AF6E7F" w:rsidR="0070666D" w:rsidRPr="00280D9B" w:rsidRDefault="002A498D" w:rsidP="00280D9B">
      <w:pPr>
        <w:pStyle w:val="FigureNo"/>
        <w:spacing w:before="360"/>
      </w:pPr>
      <w:r w:rsidRPr="00280D9B">
        <w:t xml:space="preserve">Table </w:t>
      </w:r>
      <w:r w:rsidR="008368FB" w:rsidRPr="00280D9B">
        <w:t>8</w:t>
      </w:r>
      <w:bookmarkStart w:id="19" w:name="Table8"/>
      <w:bookmarkEnd w:id="19"/>
      <w:r w:rsidR="00933E9D" w:rsidRPr="00280D9B">
        <w:drawing>
          <wp:inline distT="0" distB="0" distL="0" distR="0" wp14:anchorId="718B2229" wp14:editId="15F8DE21">
            <wp:extent cx="5760085" cy="1756410"/>
            <wp:effectExtent l="0" t="0" r="5715" b="0"/>
            <wp:docPr id="10195287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528783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75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1EB11" w14:textId="1697F650" w:rsidR="002A498D" w:rsidRPr="00280D9B" w:rsidRDefault="002A498D" w:rsidP="00280D9B">
      <w:pPr>
        <w:pStyle w:val="FigureNo"/>
        <w:spacing w:before="360"/>
      </w:pPr>
      <w:r w:rsidRPr="00280D9B">
        <w:t xml:space="preserve">Table </w:t>
      </w:r>
      <w:r w:rsidR="008368FB" w:rsidRPr="00280D9B">
        <w:t>9</w:t>
      </w:r>
      <w:bookmarkStart w:id="20" w:name="Table9"/>
      <w:bookmarkEnd w:id="20"/>
    </w:p>
    <w:p w14:paraId="5E0EA26A" w14:textId="332EF731" w:rsidR="002A498D" w:rsidRPr="00280D9B" w:rsidRDefault="005E5CE1" w:rsidP="00280D9B">
      <w:pPr>
        <w:pStyle w:val="Figure"/>
      </w:pPr>
      <w:r w:rsidRPr="00280D9B">
        <w:drawing>
          <wp:inline distT="0" distB="0" distL="0" distR="0" wp14:anchorId="3AD3C822" wp14:editId="083E16BF">
            <wp:extent cx="5760085" cy="1392555"/>
            <wp:effectExtent l="0" t="0" r="5715" b="4445"/>
            <wp:docPr id="7220268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026825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39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6FDCD" w14:textId="1BF1806D" w:rsidR="002A498D" w:rsidRPr="00280D9B" w:rsidRDefault="002A498D" w:rsidP="00280D9B">
      <w:pPr>
        <w:pStyle w:val="FigureNo"/>
        <w:spacing w:before="360"/>
      </w:pPr>
      <w:r w:rsidRPr="00280D9B">
        <w:t xml:space="preserve">Table </w:t>
      </w:r>
      <w:r w:rsidR="008368FB" w:rsidRPr="00280D9B">
        <w:t>10</w:t>
      </w:r>
      <w:bookmarkStart w:id="21" w:name="Table10"/>
      <w:bookmarkEnd w:id="21"/>
    </w:p>
    <w:p w14:paraId="1DF2F67D" w14:textId="022C944E" w:rsidR="002A498D" w:rsidRPr="00280D9B" w:rsidRDefault="001F619D" w:rsidP="00280D9B">
      <w:pPr>
        <w:pStyle w:val="Figure"/>
      </w:pPr>
      <w:r w:rsidRPr="00280D9B">
        <w:drawing>
          <wp:inline distT="0" distB="0" distL="0" distR="0" wp14:anchorId="0D601619" wp14:editId="3ADA46D6">
            <wp:extent cx="5760085" cy="1405255"/>
            <wp:effectExtent l="0" t="0" r="5715" b="4445"/>
            <wp:docPr id="3012810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281093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D53DC" w14:textId="77562710" w:rsidR="007013DD" w:rsidRPr="00280D9B" w:rsidRDefault="007013DD" w:rsidP="00280D9B">
      <w:pPr>
        <w:spacing w:before="0"/>
        <w:jc w:val="center"/>
      </w:pPr>
      <w:r w:rsidRPr="00280D9B">
        <w:t>______________</w:t>
      </w:r>
    </w:p>
    <w:sectPr w:rsidR="007013DD" w:rsidRPr="00280D9B" w:rsidSect="00AD3606">
      <w:footerReference w:type="default" r:id="rId23"/>
      <w:headerReference w:type="first" r:id="rId24"/>
      <w:footerReference w:type="first" r:id="rId25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13DFC" w14:textId="77777777" w:rsidR="009B3960" w:rsidRDefault="009B3960">
      <w:r>
        <w:separator/>
      </w:r>
    </w:p>
  </w:endnote>
  <w:endnote w:type="continuationSeparator" w:id="0">
    <w:p w14:paraId="5DDEDC1A" w14:textId="77777777" w:rsidR="009B3960" w:rsidRDefault="009B3960">
      <w:r>
        <w:continuationSeparator/>
      </w:r>
    </w:p>
  </w:endnote>
  <w:endnote w:type="continuationNotice" w:id="1">
    <w:p w14:paraId="4EFEC965" w14:textId="77777777" w:rsidR="009B3960" w:rsidRDefault="009B396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B248BC" w14:paraId="708781C8" w14:textId="77777777">
      <w:trPr>
        <w:jc w:val="center"/>
      </w:trPr>
      <w:tc>
        <w:tcPr>
          <w:tcW w:w="1803" w:type="dxa"/>
          <w:vAlign w:val="center"/>
        </w:tcPr>
        <w:p w14:paraId="78E9F95F" w14:textId="77777777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4310A49A" w14:textId="244426C4" w:rsidR="00EE49E8" w:rsidRPr="00BA3A51" w:rsidRDefault="00EE49E8" w:rsidP="000F6AB8">
          <w:pPr>
            <w:pStyle w:val="Header"/>
            <w:tabs>
              <w:tab w:val="left" w:pos="6309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fr-CH"/>
            </w:rPr>
          </w:pPr>
          <w:r w:rsidRPr="005C13D4">
            <w:rPr>
              <w:bCs/>
              <w:lang w:val="fr-CH"/>
            </w:rPr>
            <w:tab/>
          </w:r>
          <w:r w:rsidR="00A52C84" w:rsidRPr="00BA3A51">
            <w:rPr>
              <w:bCs/>
              <w:lang w:val="fr-CH"/>
            </w:rPr>
            <w:t>CWG-</w:t>
          </w:r>
          <w:r w:rsidR="000F6AB8">
            <w:rPr>
              <w:bCs/>
              <w:lang w:val="fr-CH"/>
            </w:rPr>
            <w:t>FHR</w:t>
          </w:r>
          <w:r w:rsidR="00A52C84" w:rsidRPr="00BA3A51">
            <w:rPr>
              <w:bCs/>
              <w:lang w:val="fr-CH"/>
            </w:rPr>
            <w:t>-</w:t>
          </w:r>
          <w:r w:rsidR="0025570E">
            <w:rPr>
              <w:bCs/>
              <w:lang w:val="fr-CH"/>
            </w:rPr>
            <w:t>2</w:t>
          </w:r>
          <w:r w:rsidR="000F6AB8">
            <w:rPr>
              <w:bCs/>
              <w:lang w:val="fr-CH"/>
            </w:rPr>
            <w:t>0/</w:t>
          </w:r>
          <w:r w:rsidR="009C5372">
            <w:rPr>
              <w:bCs/>
              <w:lang w:val="fr-CH"/>
            </w:rPr>
            <w:t>15</w:t>
          </w:r>
          <w:r w:rsidR="00A52C84" w:rsidRPr="00BA3A51">
            <w:rPr>
              <w:bCs/>
              <w:lang w:val="fr-CH"/>
            </w:rPr>
            <w:t>-E</w:t>
          </w:r>
          <w:r w:rsidRPr="00BA3A51">
            <w:rPr>
              <w:bCs/>
              <w:lang w:val="fr-CH"/>
            </w:rPr>
            <w:tab/>
          </w:r>
          <w:r>
            <w:fldChar w:fldCharType="begin"/>
          </w:r>
          <w:r w:rsidRPr="00BA3A51">
            <w:rPr>
              <w:lang w:val="fr-CH"/>
            </w:rPr>
            <w:instrText>PAGE</w:instrText>
          </w:r>
          <w:r>
            <w:fldChar w:fldCharType="separate"/>
          </w:r>
          <w:r w:rsidRPr="00BA3A51">
            <w:rPr>
              <w:lang w:val="fr-CH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198ACDB2" w14:textId="77777777" w:rsidR="00EE49E8" w:rsidRPr="00BA3A51" w:rsidRDefault="00EE49E8" w:rsidP="00EE49E8">
    <w:pPr>
      <w:pStyle w:val="Header"/>
      <w:tabs>
        <w:tab w:val="left" w:pos="8080"/>
        <w:tab w:val="right" w:pos="9072"/>
      </w:tabs>
      <w:jc w:val="left"/>
      <w:rPr>
        <w:bCs/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0F6AB8" w14:paraId="13412AA9" w14:textId="77777777" w:rsidTr="00A52C84">
      <w:trPr>
        <w:jc w:val="center"/>
      </w:trPr>
      <w:tc>
        <w:tcPr>
          <w:tcW w:w="3107" w:type="dxa"/>
          <w:vAlign w:val="center"/>
        </w:tcPr>
        <w:p w14:paraId="62C43139" w14:textId="77777777" w:rsidR="00EE49E8" w:rsidRPr="00191EA3" w:rsidRDefault="0025570E" w:rsidP="00EE49E8">
          <w:pPr>
            <w:pStyle w:val="Header"/>
            <w:jc w:val="left"/>
            <w:rPr>
              <w:noProof/>
            </w:rPr>
          </w:pPr>
          <w:hyperlink r:id="rId1" w:history="1">
            <w:r w:rsidRPr="00191EA3">
              <w:rPr>
                <w:rStyle w:val="Hyperlink"/>
                <w:u w:val="none"/>
              </w:rPr>
              <w:t>https://council.itu.int/working-groups</w:t>
            </w:r>
          </w:hyperlink>
        </w:p>
      </w:tc>
      <w:tc>
        <w:tcPr>
          <w:tcW w:w="6957" w:type="dxa"/>
        </w:tcPr>
        <w:p w14:paraId="1BA13A2A" w14:textId="194AEE6B" w:rsidR="00EE49E8" w:rsidRPr="000F6AB8" w:rsidRDefault="00EE49E8" w:rsidP="000F6AB8">
          <w:pPr>
            <w:pStyle w:val="Header"/>
            <w:tabs>
              <w:tab w:val="left" w:pos="500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es-ES"/>
            </w:rPr>
          </w:pPr>
          <w:r>
            <w:rPr>
              <w:bCs/>
            </w:rPr>
            <w:tab/>
          </w:r>
          <w:r w:rsidRPr="000F6AB8">
            <w:rPr>
              <w:bCs/>
              <w:lang w:val="es-ES"/>
            </w:rPr>
            <w:t>C</w:t>
          </w:r>
          <w:r w:rsidR="00A52C84" w:rsidRPr="000F6AB8">
            <w:rPr>
              <w:bCs/>
              <w:lang w:val="es-ES"/>
            </w:rPr>
            <w:t>WG-</w:t>
          </w:r>
          <w:r w:rsidR="000F6AB8" w:rsidRPr="000F6AB8">
            <w:rPr>
              <w:bCs/>
              <w:lang w:val="es-ES"/>
            </w:rPr>
            <w:t>FHR</w:t>
          </w:r>
          <w:r w:rsidR="00A52C84" w:rsidRPr="000F6AB8">
            <w:rPr>
              <w:bCs/>
              <w:lang w:val="es-ES"/>
            </w:rPr>
            <w:t>-</w:t>
          </w:r>
          <w:r w:rsidR="0025570E" w:rsidRPr="000F6AB8">
            <w:rPr>
              <w:bCs/>
              <w:lang w:val="es-ES"/>
            </w:rPr>
            <w:t>2</w:t>
          </w:r>
          <w:r w:rsidR="000F6AB8">
            <w:rPr>
              <w:bCs/>
              <w:lang w:val="es-ES"/>
            </w:rPr>
            <w:t>0</w:t>
          </w:r>
          <w:r w:rsidRPr="000F6AB8">
            <w:rPr>
              <w:bCs/>
              <w:lang w:val="es-ES"/>
            </w:rPr>
            <w:t>/</w:t>
          </w:r>
          <w:r w:rsidR="009C5372">
            <w:rPr>
              <w:bCs/>
              <w:lang w:val="es-ES"/>
            </w:rPr>
            <w:t>15</w:t>
          </w:r>
          <w:r w:rsidRPr="000F6AB8">
            <w:rPr>
              <w:bCs/>
              <w:lang w:val="es-ES"/>
            </w:rPr>
            <w:t>-E</w:t>
          </w:r>
          <w:r w:rsidRPr="000F6AB8">
            <w:rPr>
              <w:bCs/>
              <w:lang w:val="es-ES"/>
            </w:rPr>
            <w:tab/>
          </w:r>
          <w:r>
            <w:fldChar w:fldCharType="begin"/>
          </w:r>
          <w:r w:rsidRPr="000F6AB8">
            <w:rPr>
              <w:lang w:val="es-ES"/>
            </w:rPr>
            <w:instrText>PAGE</w:instrText>
          </w:r>
          <w:r>
            <w:fldChar w:fldCharType="separate"/>
          </w:r>
          <w:r w:rsidRPr="000F6AB8">
            <w:rPr>
              <w:lang w:val="es-ES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460E6139" w14:textId="77777777" w:rsidR="00A514A4" w:rsidRPr="000F6AB8" w:rsidRDefault="00A514A4" w:rsidP="00EE49E8">
    <w:pPr>
      <w:pStyle w:val="Header"/>
      <w:tabs>
        <w:tab w:val="left" w:pos="8080"/>
        <w:tab w:val="right" w:pos="9072"/>
      </w:tabs>
      <w:jc w:val="right"/>
      <w:rPr>
        <w:bCs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79704" w14:textId="77777777" w:rsidR="009B3960" w:rsidRDefault="009B3960">
      <w:r>
        <w:t>____________________</w:t>
      </w:r>
    </w:p>
  </w:footnote>
  <w:footnote w:type="continuationSeparator" w:id="0">
    <w:p w14:paraId="600F45E1" w14:textId="77777777" w:rsidR="009B3960" w:rsidRDefault="009B3960">
      <w:r>
        <w:continuationSeparator/>
      </w:r>
    </w:p>
  </w:footnote>
  <w:footnote w:type="continuationNotice" w:id="1">
    <w:p w14:paraId="12B28BBB" w14:textId="77777777" w:rsidR="009B3960" w:rsidRDefault="009B3960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7B9AD9E4" w14:textId="77777777" w:rsidTr="00F74694">
      <w:trPr>
        <w:trHeight w:val="1304"/>
        <w:jc w:val="center"/>
      </w:trPr>
      <w:tc>
        <w:tcPr>
          <w:tcW w:w="6546" w:type="dxa"/>
        </w:tcPr>
        <w:p w14:paraId="4AE2CC87" w14:textId="77777777" w:rsidR="00AD3606" w:rsidRPr="009621F8" w:rsidRDefault="00191EA3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22" w:name="_Hlk133422111"/>
          <w:r w:rsidRPr="00130599"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1111B1DC" wp14:editId="6EE0F0AD">
                    <wp:simplePos x="0" y="0"/>
                    <wp:positionH relativeFrom="column">
                      <wp:posOffset>1436426</wp:posOffset>
                    </wp:positionH>
                    <wp:positionV relativeFrom="paragraph">
                      <wp:posOffset>5715</wp:posOffset>
                    </wp:positionV>
                    <wp:extent cx="3999230" cy="471170"/>
                    <wp:effectExtent l="0" t="0" r="1270" b="127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99230" cy="47117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7883859" w14:textId="77777777" w:rsidR="00130599" w:rsidRDefault="00A43C03" w:rsidP="000120E4">
                                <w:pPr>
                                  <w:spacing w:before="0"/>
                                </w:pP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t xml:space="preserve">Council Working Group </w:t>
                                </w: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br/>
                                  <w:t xml:space="preserve">on </w:t>
                                </w:r>
                                <w:r>
                                  <w:rPr>
                                    <w:b/>
                                    <w:bCs/>
                                    <w:szCs w:val="24"/>
                                  </w:rPr>
                                  <w:t>financial and human resources</w:t>
                                </w:r>
                                <w:r>
                                  <w:br/>
                                </w:r>
                                <w:r w:rsidR="00CB24AA">
                                  <w:rPr>
                                    <w:sz w:val="20"/>
                                  </w:rPr>
                                  <w:t>Twentieth</w:t>
                                </w:r>
                                <w:r w:rsidRPr="00130599">
                                  <w:rPr>
                                    <w:sz w:val="20"/>
                                  </w:rPr>
                                  <w:t xml:space="preserve"> meeting </w:t>
                                </w:r>
                                <w:r>
                                  <w:rPr>
                                    <w:sz w:val="20"/>
                                  </w:rPr>
                                  <w:t xml:space="preserve">– From 17 to </w:t>
                                </w:r>
                                <w:r w:rsidR="00B17995">
                                  <w:rPr>
                                    <w:sz w:val="20"/>
                                  </w:rPr>
                                  <w:t>19</w:t>
                                </w:r>
                                <w:r>
                                  <w:rPr>
                                    <w:sz w:val="20"/>
                                  </w:rPr>
                                  <w:t xml:space="preserve"> February 2025</w:t>
                                </w:r>
                              </w:p>
                            </w:txbxContent>
                          </wps:txbx>
                          <wps:bodyPr rot="0" vert="horz" wrap="square" lIns="36000" tIns="45720" rIns="3600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111B1D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13.1pt;margin-top:.45pt;width:314.9pt;height:37.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" fillcolor="white [3212]" stroked="f">
                    <v:textbox style="mso-fit-shape-to-text:t" inset="1mm,,1mm">
                      <w:txbxContent>
                        <w:p w14:paraId="57883859" w14:textId="77777777" w:rsidR="00130599" w:rsidRDefault="00A43C03" w:rsidP="000120E4">
                          <w:pPr>
                            <w:spacing w:before="0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Council Working Group </w:t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  <w:t xml:space="preserve">on </w:t>
                          </w:r>
                          <w:r>
                            <w:rPr>
                              <w:b/>
                              <w:bCs/>
                              <w:szCs w:val="24"/>
                            </w:rPr>
                            <w:t>financial and human resources</w:t>
                          </w:r>
                          <w:r>
                            <w:br/>
                          </w:r>
                          <w:r w:rsidR="00CB24AA">
                            <w:rPr>
                              <w:sz w:val="20"/>
                            </w:rPr>
                            <w:t>Twentieth</w:t>
                          </w:r>
                          <w:r w:rsidRPr="00130599">
                            <w:rPr>
                              <w:sz w:val="20"/>
                            </w:rPr>
                            <w:t xml:space="preserve"> meeting </w:t>
                          </w:r>
                          <w:r>
                            <w:rPr>
                              <w:sz w:val="20"/>
                            </w:rPr>
                            <w:t xml:space="preserve">– From 17 to </w:t>
                          </w:r>
                          <w:r w:rsidR="00B17995">
                            <w:rPr>
                              <w:sz w:val="20"/>
                            </w:rPr>
                            <w:t>19</w:t>
                          </w:r>
                          <w:r>
                            <w:rPr>
                              <w:sz w:val="20"/>
                            </w:rPr>
                            <w:t xml:space="preserve"> February 2025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467E200C" wp14:editId="6FA0484B">
                <wp:extent cx="3671597" cy="612000"/>
                <wp:effectExtent l="0" t="0" r="0" b="0"/>
                <wp:docPr id="1218191505" name="Picture 2" descr="A black background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8191505" name="Picture 2" descr="A black background with blu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1597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79CD22CB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DBCB816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BEF04E0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22"/>
  <w:p w14:paraId="7EA5FBD5" w14:textId="77777777" w:rsidR="00AD3606" w:rsidRDefault="00DB00D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026093" wp14:editId="3D3FE6DB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67C81B57">
            <v:rect id="Rectangle 5" style="position:absolute;margin-left:1.15pt;margin-top:43.75pt;width:7.35pt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spid="_x0000_s1026" fillcolor="#009cd5" stroked="f" w14:anchorId="175E8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1617FB"/>
    <w:multiLevelType w:val="hybridMultilevel"/>
    <w:tmpl w:val="12665846"/>
    <w:lvl w:ilvl="0" w:tplc="EED4E4E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16FC2"/>
    <w:multiLevelType w:val="hybridMultilevel"/>
    <w:tmpl w:val="A2C042A6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A24672"/>
    <w:multiLevelType w:val="hybridMultilevel"/>
    <w:tmpl w:val="AE9C4928"/>
    <w:lvl w:ilvl="0" w:tplc="026AEA3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51347"/>
    <w:multiLevelType w:val="hybridMultilevel"/>
    <w:tmpl w:val="7084F6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CC3724"/>
    <w:multiLevelType w:val="hybridMultilevel"/>
    <w:tmpl w:val="778211A4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EB5D0D"/>
    <w:multiLevelType w:val="hybridMultilevel"/>
    <w:tmpl w:val="E73EF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15052"/>
    <w:multiLevelType w:val="hybridMultilevel"/>
    <w:tmpl w:val="2FF65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32018"/>
    <w:multiLevelType w:val="hybridMultilevel"/>
    <w:tmpl w:val="E112F70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3E29DD"/>
    <w:multiLevelType w:val="hybridMultilevel"/>
    <w:tmpl w:val="EB68A5C6"/>
    <w:lvl w:ilvl="0" w:tplc="752C870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64798F"/>
    <w:multiLevelType w:val="hybridMultilevel"/>
    <w:tmpl w:val="4E3824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2651528"/>
    <w:multiLevelType w:val="hybridMultilevel"/>
    <w:tmpl w:val="9CD89436"/>
    <w:lvl w:ilvl="0" w:tplc="583E9F0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95A60E5"/>
    <w:multiLevelType w:val="hybridMultilevel"/>
    <w:tmpl w:val="06AC33E2"/>
    <w:lvl w:ilvl="0" w:tplc="EED4E4E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DE5376A"/>
    <w:multiLevelType w:val="hybridMultilevel"/>
    <w:tmpl w:val="EC0C396A"/>
    <w:lvl w:ilvl="0" w:tplc="EED4E4E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9271D47"/>
    <w:multiLevelType w:val="hybridMultilevel"/>
    <w:tmpl w:val="D31ED1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4F075A"/>
    <w:multiLevelType w:val="hybridMultilevel"/>
    <w:tmpl w:val="345E73B2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E19540B"/>
    <w:multiLevelType w:val="hybridMultilevel"/>
    <w:tmpl w:val="F11C6418"/>
    <w:lvl w:ilvl="0" w:tplc="36D2721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4816267">
    <w:abstractNumId w:val="0"/>
  </w:num>
  <w:num w:numId="2" w16cid:durableId="1264534816">
    <w:abstractNumId w:val="6"/>
  </w:num>
  <w:num w:numId="3" w16cid:durableId="699743713">
    <w:abstractNumId w:val="11"/>
  </w:num>
  <w:num w:numId="4" w16cid:durableId="867565929">
    <w:abstractNumId w:val="2"/>
  </w:num>
  <w:num w:numId="5" w16cid:durableId="1479615251">
    <w:abstractNumId w:val="10"/>
  </w:num>
  <w:num w:numId="6" w16cid:durableId="772826858">
    <w:abstractNumId w:val="13"/>
  </w:num>
  <w:num w:numId="7" w16cid:durableId="1913344965">
    <w:abstractNumId w:val="14"/>
  </w:num>
  <w:num w:numId="8" w16cid:durableId="752625159">
    <w:abstractNumId w:val="1"/>
  </w:num>
  <w:num w:numId="9" w16cid:durableId="690886388">
    <w:abstractNumId w:val="5"/>
  </w:num>
  <w:num w:numId="10" w16cid:durableId="27797729">
    <w:abstractNumId w:val="12"/>
  </w:num>
  <w:num w:numId="11" w16cid:durableId="1266426115">
    <w:abstractNumId w:val="4"/>
  </w:num>
  <w:num w:numId="12" w16cid:durableId="2126776426">
    <w:abstractNumId w:val="3"/>
  </w:num>
  <w:num w:numId="13" w16cid:durableId="1431268871">
    <w:abstractNumId w:val="9"/>
  </w:num>
  <w:num w:numId="14" w16cid:durableId="1469666389">
    <w:abstractNumId w:val="15"/>
  </w:num>
  <w:num w:numId="15" w16cid:durableId="256449375">
    <w:abstractNumId w:val="7"/>
  </w:num>
  <w:num w:numId="16" w16cid:durableId="1231497691">
    <w:abstractNumId w:val="16"/>
  </w:num>
  <w:num w:numId="17" w16cid:durableId="7807327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AD4"/>
    <w:rsid w:val="000120E4"/>
    <w:rsid w:val="00014746"/>
    <w:rsid w:val="000201DD"/>
    <w:rsid w:val="000210D4"/>
    <w:rsid w:val="00023B5B"/>
    <w:rsid w:val="00034EC3"/>
    <w:rsid w:val="00041DFA"/>
    <w:rsid w:val="000427B4"/>
    <w:rsid w:val="00052096"/>
    <w:rsid w:val="00052B8E"/>
    <w:rsid w:val="0006072C"/>
    <w:rsid w:val="00061D65"/>
    <w:rsid w:val="00063016"/>
    <w:rsid w:val="00066795"/>
    <w:rsid w:val="000712E7"/>
    <w:rsid w:val="00074C92"/>
    <w:rsid w:val="00076AF6"/>
    <w:rsid w:val="00082D50"/>
    <w:rsid w:val="00085CF2"/>
    <w:rsid w:val="00090E27"/>
    <w:rsid w:val="000B1705"/>
    <w:rsid w:val="000D11C5"/>
    <w:rsid w:val="000D162D"/>
    <w:rsid w:val="000D5675"/>
    <w:rsid w:val="000D75B2"/>
    <w:rsid w:val="000D773E"/>
    <w:rsid w:val="000E0E3F"/>
    <w:rsid w:val="000E40B9"/>
    <w:rsid w:val="000E57BA"/>
    <w:rsid w:val="000F3797"/>
    <w:rsid w:val="000F6AB8"/>
    <w:rsid w:val="001049CB"/>
    <w:rsid w:val="00105A00"/>
    <w:rsid w:val="001121F5"/>
    <w:rsid w:val="00113F8F"/>
    <w:rsid w:val="0012209E"/>
    <w:rsid w:val="00130599"/>
    <w:rsid w:val="00132FB9"/>
    <w:rsid w:val="00134B7E"/>
    <w:rsid w:val="001400DC"/>
    <w:rsid w:val="00140CE1"/>
    <w:rsid w:val="001441E6"/>
    <w:rsid w:val="00147C54"/>
    <w:rsid w:val="00156AAE"/>
    <w:rsid w:val="00166CF9"/>
    <w:rsid w:val="0017178F"/>
    <w:rsid w:val="00173C0D"/>
    <w:rsid w:val="0017539C"/>
    <w:rsid w:val="00175AC2"/>
    <w:rsid w:val="0017609F"/>
    <w:rsid w:val="00180542"/>
    <w:rsid w:val="00191EA3"/>
    <w:rsid w:val="001A1EF0"/>
    <w:rsid w:val="001A7D1D"/>
    <w:rsid w:val="001B28AE"/>
    <w:rsid w:val="001B51DD"/>
    <w:rsid w:val="001B6CC9"/>
    <w:rsid w:val="001C628E"/>
    <w:rsid w:val="001C6C42"/>
    <w:rsid w:val="001E0F7B"/>
    <w:rsid w:val="001E0FBE"/>
    <w:rsid w:val="001E35CA"/>
    <w:rsid w:val="001E5FE7"/>
    <w:rsid w:val="001E7F27"/>
    <w:rsid w:val="001F1182"/>
    <w:rsid w:val="001F4285"/>
    <w:rsid w:val="001F619D"/>
    <w:rsid w:val="00200699"/>
    <w:rsid w:val="002031B4"/>
    <w:rsid w:val="0020649A"/>
    <w:rsid w:val="002119FD"/>
    <w:rsid w:val="0021288B"/>
    <w:rsid w:val="002130E0"/>
    <w:rsid w:val="002207BC"/>
    <w:rsid w:val="00224187"/>
    <w:rsid w:val="00227E2F"/>
    <w:rsid w:val="00230657"/>
    <w:rsid w:val="00237536"/>
    <w:rsid w:val="00244F7F"/>
    <w:rsid w:val="00250326"/>
    <w:rsid w:val="0025570E"/>
    <w:rsid w:val="00257798"/>
    <w:rsid w:val="002608B7"/>
    <w:rsid w:val="00264425"/>
    <w:rsid w:val="00264D68"/>
    <w:rsid w:val="00265875"/>
    <w:rsid w:val="00267459"/>
    <w:rsid w:val="00272EB3"/>
    <w:rsid w:val="0027303B"/>
    <w:rsid w:val="00280D9B"/>
    <w:rsid w:val="0028109B"/>
    <w:rsid w:val="0028165D"/>
    <w:rsid w:val="002A2188"/>
    <w:rsid w:val="002A498D"/>
    <w:rsid w:val="002B1F58"/>
    <w:rsid w:val="002C12B3"/>
    <w:rsid w:val="002C1C7A"/>
    <w:rsid w:val="002C54E2"/>
    <w:rsid w:val="002C7D59"/>
    <w:rsid w:val="002E0AC3"/>
    <w:rsid w:val="002F149C"/>
    <w:rsid w:val="0030160F"/>
    <w:rsid w:val="00301AEE"/>
    <w:rsid w:val="00310C67"/>
    <w:rsid w:val="003112D5"/>
    <w:rsid w:val="00313D57"/>
    <w:rsid w:val="003145DF"/>
    <w:rsid w:val="00320223"/>
    <w:rsid w:val="0032089A"/>
    <w:rsid w:val="003226C2"/>
    <w:rsid w:val="00322D0D"/>
    <w:rsid w:val="00327FA3"/>
    <w:rsid w:val="0033557C"/>
    <w:rsid w:val="00335B84"/>
    <w:rsid w:val="00346205"/>
    <w:rsid w:val="00347CDB"/>
    <w:rsid w:val="00353BB5"/>
    <w:rsid w:val="00361465"/>
    <w:rsid w:val="00375F17"/>
    <w:rsid w:val="0037745C"/>
    <w:rsid w:val="003877F5"/>
    <w:rsid w:val="00387993"/>
    <w:rsid w:val="003942D4"/>
    <w:rsid w:val="0039514F"/>
    <w:rsid w:val="003958A8"/>
    <w:rsid w:val="003B29C2"/>
    <w:rsid w:val="003B5944"/>
    <w:rsid w:val="003B6044"/>
    <w:rsid w:val="003C20CA"/>
    <w:rsid w:val="003C2533"/>
    <w:rsid w:val="003D0E30"/>
    <w:rsid w:val="003D24C7"/>
    <w:rsid w:val="003D57E1"/>
    <w:rsid w:val="003D5A7F"/>
    <w:rsid w:val="003D635C"/>
    <w:rsid w:val="003D6616"/>
    <w:rsid w:val="003E6786"/>
    <w:rsid w:val="003F2A0F"/>
    <w:rsid w:val="003F583C"/>
    <w:rsid w:val="004016E2"/>
    <w:rsid w:val="0040435A"/>
    <w:rsid w:val="004120F0"/>
    <w:rsid w:val="00416A24"/>
    <w:rsid w:val="0042059E"/>
    <w:rsid w:val="004232ED"/>
    <w:rsid w:val="00431D9E"/>
    <w:rsid w:val="00433CE8"/>
    <w:rsid w:val="00434A5C"/>
    <w:rsid w:val="004544D9"/>
    <w:rsid w:val="00472BAD"/>
    <w:rsid w:val="004815D6"/>
    <w:rsid w:val="004834F8"/>
    <w:rsid w:val="00483D61"/>
    <w:rsid w:val="00484009"/>
    <w:rsid w:val="00490E34"/>
    <w:rsid w:val="00490E72"/>
    <w:rsid w:val="00491157"/>
    <w:rsid w:val="004921C8"/>
    <w:rsid w:val="00494325"/>
    <w:rsid w:val="00495B0B"/>
    <w:rsid w:val="004A1B8B"/>
    <w:rsid w:val="004A56CE"/>
    <w:rsid w:val="004C29D7"/>
    <w:rsid w:val="004C4AA1"/>
    <w:rsid w:val="004C542C"/>
    <w:rsid w:val="004D1851"/>
    <w:rsid w:val="004D1BA9"/>
    <w:rsid w:val="004D599D"/>
    <w:rsid w:val="004E2EA5"/>
    <w:rsid w:val="004E3AEB"/>
    <w:rsid w:val="004F124F"/>
    <w:rsid w:val="004F12B7"/>
    <w:rsid w:val="004F3819"/>
    <w:rsid w:val="004F4B63"/>
    <w:rsid w:val="00500ABD"/>
    <w:rsid w:val="0050208C"/>
    <w:rsid w:val="0050223C"/>
    <w:rsid w:val="005160BD"/>
    <w:rsid w:val="005243FF"/>
    <w:rsid w:val="005257F9"/>
    <w:rsid w:val="0052666D"/>
    <w:rsid w:val="005311D6"/>
    <w:rsid w:val="00536422"/>
    <w:rsid w:val="00537888"/>
    <w:rsid w:val="0054142E"/>
    <w:rsid w:val="00543E7F"/>
    <w:rsid w:val="00555886"/>
    <w:rsid w:val="0056096E"/>
    <w:rsid w:val="00564FBC"/>
    <w:rsid w:val="005767D1"/>
    <w:rsid w:val="005800BC"/>
    <w:rsid w:val="00582442"/>
    <w:rsid w:val="00584572"/>
    <w:rsid w:val="005849E2"/>
    <w:rsid w:val="005A24A1"/>
    <w:rsid w:val="005A335D"/>
    <w:rsid w:val="005A43E6"/>
    <w:rsid w:val="005A5360"/>
    <w:rsid w:val="005A6420"/>
    <w:rsid w:val="005A730D"/>
    <w:rsid w:val="005B307C"/>
    <w:rsid w:val="005C13D4"/>
    <w:rsid w:val="005D3F67"/>
    <w:rsid w:val="005D77CF"/>
    <w:rsid w:val="005E2BD5"/>
    <w:rsid w:val="005E5CE1"/>
    <w:rsid w:val="005F2E0A"/>
    <w:rsid w:val="005F3269"/>
    <w:rsid w:val="00600C46"/>
    <w:rsid w:val="00601615"/>
    <w:rsid w:val="00603BF0"/>
    <w:rsid w:val="00615961"/>
    <w:rsid w:val="00615F5A"/>
    <w:rsid w:val="006215A7"/>
    <w:rsid w:val="00623AE3"/>
    <w:rsid w:val="00625CE0"/>
    <w:rsid w:val="006261F4"/>
    <w:rsid w:val="0062637E"/>
    <w:rsid w:val="00630194"/>
    <w:rsid w:val="00642370"/>
    <w:rsid w:val="00642B40"/>
    <w:rsid w:val="0064737F"/>
    <w:rsid w:val="00652D44"/>
    <w:rsid w:val="0065315F"/>
    <w:rsid w:val="006535F1"/>
    <w:rsid w:val="0065557D"/>
    <w:rsid w:val="00660D50"/>
    <w:rsid w:val="00662984"/>
    <w:rsid w:val="006716BB"/>
    <w:rsid w:val="00674C2E"/>
    <w:rsid w:val="00697044"/>
    <w:rsid w:val="006973C8"/>
    <w:rsid w:val="006B1859"/>
    <w:rsid w:val="006B6680"/>
    <w:rsid w:val="006B6DCC"/>
    <w:rsid w:val="006B74F7"/>
    <w:rsid w:val="006C0B4E"/>
    <w:rsid w:val="006C714E"/>
    <w:rsid w:val="006E1930"/>
    <w:rsid w:val="006E776F"/>
    <w:rsid w:val="006F21C6"/>
    <w:rsid w:val="007013DD"/>
    <w:rsid w:val="00702DEF"/>
    <w:rsid w:val="00703FB5"/>
    <w:rsid w:val="00705CAC"/>
    <w:rsid w:val="0070666D"/>
    <w:rsid w:val="00706861"/>
    <w:rsid w:val="007106CB"/>
    <w:rsid w:val="00711A51"/>
    <w:rsid w:val="0071322D"/>
    <w:rsid w:val="007148A2"/>
    <w:rsid w:val="0071661F"/>
    <w:rsid w:val="00720F76"/>
    <w:rsid w:val="00726B8C"/>
    <w:rsid w:val="00730C34"/>
    <w:rsid w:val="0074420B"/>
    <w:rsid w:val="0074461F"/>
    <w:rsid w:val="0075051B"/>
    <w:rsid w:val="00750C83"/>
    <w:rsid w:val="00752AD4"/>
    <w:rsid w:val="00754B16"/>
    <w:rsid w:val="007710F6"/>
    <w:rsid w:val="00775655"/>
    <w:rsid w:val="00777053"/>
    <w:rsid w:val="00787335"/>
    <w:rsid w:val="00793188"/>
    <w:rsid w:val="00794D34"/>
    <w:rsid w:val="007C4940"/>
    <w:rsid w:val="007D29EE"/>
    <w:rsid w:val="007E7C29"/>
    <w:rsid w:val="0080057B"/>
    <w:rsid w:val="00802A98"/>
    <w:rsid w:val="00806E3C"/>
    <w:rsid w:val="00813E5E"/>
    <w:rsid w:val="00816C2C"/>
    <w:rsid w:val="008178FE"/>
    <w:rsid w:val="00822427"/>
    <w:rsid w:val="00833598"/>
    <w:rsid w:val="0083581B"/>
    <w:rsid w:val="008368FB"/>
    <w:rsid w:val="00845F9C"/>
    <w:rsid w:val="00854578"/>
    <w:rsid w:val="00860EED"/>
    <w:rsid w:val="008631F8"/>
    <w:rsid w:val="00863874"/>
    <w:rsid w:val="00864AFF"/>
    <w:rsid w:val="00865925"/>
    <w:rsid w:val="008753AC"/>
    <w:rsid w:val="00881117"/>
    <w:rsid w:val="00891503"/>
    <w:rsid w:val="008B3EA3"/>
    <w:rsid w:val="008B4A6A"/>
    <w:rsid w:val="008C01E9"/>
    <w:rsid w:val="008C59BD"/>
    <w:rsid w:val="008C7E27"/>
    <w:rsid w:val="008D28D8"/>
    <w:rsid w:val="008E6481"/>
    <w:rsid w:val="008E7314"/>
    <w:rsid w:val="008E7BD0"/>
    <w:rsid w:val="008F3822"/>
    <w:rsid w:val="008F3AA6"/>
    <w:rsid w:val="008F47F8"/>
    <w:rsid w:val="008F52B2"/>
    <w:rsid w:val="008F5880"/>
    <w:rsid w:val="008F7311"/>
    <w:rsid w:val="008F7448"/>
    <w:rsid w:val="0090147A"/>
    <w:rsid w:val="00903446"/>
    <w:rsid w:val="0090389B"/>
    <w:rsid w:val="00904F16"/>
    <w:rsid w:val="00912EFB"/>
    <w:rsid w:val="0091457F"/>
    <w:rsid w:val="00915C2C"/>
    <w:rsid w:val="009173EF"/>
    <w:rsid w:val="0091782F"/>
    <w:rsid w:val="00917FD0"/>
    <w:rsid w:val="00923034"/>
    <w:rsid w:val="00925455"/>
    <w:rsid w:val="00932906"/>
    <w:rsid w:val="00933E9D"/>
    <w:rsid w:val="00934205"/>
    <w:rsid w:val="009366BB"/>
    <w:rsid w:val="009434DD"/>
    <w:rsid w:val="00957233"/>
    <w:rsid w:val="00961860"/>
    <w:rsid w:val="00961B0B"/>
    <w:rsid w:val="00962D33"/>
    <w:rsid w:val="00962EC6"/>
    <w:rsid w:val="00962F64"/>
    <w:rsid w:val="009679B9"/>
    <w:rsid w:val="00970C26"/>
    <w:rsid w:val="009721C5"/>
    <w:rsid w:val="00987956"/>
    <w:rsid w:val="009900BB"/>
    <w:rsid w:val="009907D0"/>
    <w:rsid w:val="009A3684"/>
    <w:rsid w:val="009A6793"/>
    <w:rsid w:val="009A79CA"/>
    <w:rsid w:val="009B38C3"/>
    <w:rsid w:val="009B3960"/>
    <w:rsid w:val="009B5AD9"/>
    <w:rsid w:val="009C5372"/>
    <w:rsid w:val="009C65DE"/>
    <w:rsid w:val="009D4DA1"/>
    <w:rsid w:val="009D514D"/>
    <w:rsid w:val="009D6CA6"/>
    <w:rsid w:val="009E0D6E"/>
    <w:rsid w:val="009E17BD"/>
    <w:rsid w:val="009E2FBE"/>
    <w:rsid w:val="009E485A"/>
    <w:rsid w:val="009F1D3F"/>
    <w:rsid w:val="009F7C49"/>
    <w:rsid w:val="00A04CEC"/>
    <w:rsid w:val="00A07F87"/>
    <w:rsid w:val="00A2051B"/>
    <w:rsid w:val="00A247D0"/>
    <w:rsid w:val="00A262B3"/>
    <w:rsid w:val="00A27F92"/>
    <w:rsid w:val="00A32257"/>
    <w:rsid w:val="00A36D20"/>
    <w:rsid w:val="00A41E6E"/>
    <w:rsid w:val="00A43C03"/>
    <w:rsid w:val="00A46CD0"/>
    <w:rsid w:val="00A47322"/>
    <w:rsid w:val="00A514A4"/>
    <w:rsid w:val="00A52C84"/>
    <w:rsid w:val="00A5316D"/>
    <w:rsid w:val="00A54501"/>
    <w:rsid w:val="00A55622"/>
    <w:rsid w:val="00A60059"/>
    <w:rsid w:val="00A627C9"/>
    <w:rsid w:val="00A755B4"/>
    <w:rsid w:val="00A75AF8"/>
    <w:rsid w:val="00A83502"/>
    <w:rsid w:val="00A86D1F"/>
    <w:rsid w:val="00A90F85"/>
    <w:rsid w:val="00A961A7"/>
    <w:rsid w:val="00AA6075"/>
    <w:rsid w:val="00AD15B3"/>
    <w:rsid w:val="00AD3606"/>
    <w:rsid w:val="00AD413D"/>
    <w:rsid w:val="00AD4A3D"/>
    <w:rsid w:val="00AD5C3D"/>
    <w:rsid w:val="00AF1081"/>
    <w:rsid w:val="00AF1915"/>
    <w:rsid w:val="00AF6386"/>
    <w:rsid w:val="00AF6E49"/>
    <w:rsid w:val="00B027B2"/>
    <w:rsid w:val="00B047BE"/>
    <w:rsid w:val="00B04A67"/>
    <w:rsid w:val="00B0583C"/>
    <w:rsid w:val="00B05A3A"/>
    <w:rsid w:val="00B06E04"/>
    <w:rsid w:val="00B125E7"/>
    <w:rsid w:val="00B17995"/>
    <w:rsid w:val="00B248BC"/>
    <w:rsid w:val="00B32C0C"/>
    <w:rsid w:val="00B358B2"/>
    <w:rsid w:val="00B40A81"/>
    <w:rsid w:val="00B44910"/>
    <w:rsid w:val="00B47D2C"/>
    <w:rsid w:val="00B67769"/>
    <w:rsid w:val="00B72267"/>
    <w:rsid w:val="00B73DD1"/>
    <w:rsid w:val="00B76EB6"/>
    <w:rsid w:val="00B7737B"/>
    <w:rsid w:val="00B77F25"/>
    <w:rsid w:val="00B824C8"/>
    <w:rsid w:val="00B849D3"/>
    <w:rsid w:val="00B84B9D"/>
    <w:rsid w:val="00B87399"/>
    <w:rsid w:val="00B928F2"/>
    <w:rsid w:val="00BA3A51"/>
    <w:rsid w:val="00BC1391"/>
    <w:rsid w:val="00BC251A"/>
    <w:rsid w:val="00BD032B"/>
    <w:rsid w:val="00BD0614"/>
    <w:rsid w:val="00BD094B"/>
    <w:rsid w:val="00BD4148"/>
    <w:rsid w:val="00BE2640"/>
    <w:rsid w:val="00BE3BBA"/>
    <w:rsid w:val="00BE445C"/>
    <w:rsid w:val="00BF06F0"/>
    <w:rsid w:val="00BF7508"/>
    <w:rsid w:val="00C01189"/>
    <w:rsid w:val="00C15A4E"/>
    <w:rsid w:val="00C2381D"/>
    <w:rsid w:val="00C374DE"/>
    <w:rsid w:val="00C40A32"/>
    <w:rsid w:val="00C458D7"/>
    <w:rsid w:val="00C47AD4"/>
    <w:rsid w:val="00C52D81"/>
    <w:rsid w:val="00C55198"/>
    <w:rsid w:val="00C57244"/>
    <w:rsid w:val="00C64C50"/>
    <w:rsid w:val="00C65921"/>
    <w:rsid w:val="00C70D47"/>
    <w:rsid w:val="00C725C6"/>
    <w:rsid w:val="00C731CB"/>
    <w:rsid w:val="00C73E61"/>
    <w:rsid w:val="00C74621"/>
    <w:rsid w:val="00C7501B"/>
    <w:rsid w:val="00C772E3"/>
    <w:rsid w:val="00C821F9"/>
    <w:rsid w:val="00C826C1"/>
    <w:rsid w:val="00C84DB9"/>
    <w:rsid w:val="00C87C99"/>
    <w:rsid w:val="00C922C7"/>
    <w:rsid w:val="00C95ECF"/>
    <w:rsid w:val="00CA5746"/>
    <w:rsid w:val="00CA6393"/>
    <w:rsid w:val="00CB0297"/>
    <w:rsid w:val="00CB18FF"/>
    <w:rsid w:val="00CB2016"/>
    <w:rsid w:val="00CB24AA"/>
    <w:rsid w:val="00CB2C81"/>
    <w:rsid w:val="00CB5B8E"/>
    <w:rsid w:val="00CB7185"/>
    <w:rsid w:val="00CD0C08"/>
    <w:rsid w:val="00CD1057"/>
    <w:rsid w:val="00CD3C91"/>
    <w:rsid w:val="00CE03FB"/>
    <w:rsid w:val="00CE433C"/>
    <w:rsid w:val="00CE54F0"/>
    <w:rsid w:val="00CF0161"/>
    <w:rsid w:val="00CF33F3"/>
    <w:rsid w:val="00CF60AD"/>
    <w:rsid w:val="00D04D23"/>
    <w:rsid w:val="00D06183"/>
    <w:rsid w:val="00D127EF"/>
    <w:rsid w:val="00D14D0B"/>
    <w:rsid w:val="00D21DC5"/>
    <w:rsid w:val="00D22C42"/>
    <w:rsid w:val="00D2315D"/>
    <w:rsid w:val="00D344E6"/>
    <w:rsid w:val="00D3574B"/>
    <w:rsid w:val="00D35D1D"/>
    <w:rsid w:val="00D41F0E"/>
    <w:rsid w:val="00D44DD6"/>
    <w:rsid w:val="00D45669"/>
    <w:rsid w:val="00D46480"/>
    <w:rsid w:val="00D464CC"/>
    <w:rsid w:val="00D470C9"/>
    <w:rsid w:val="00D522F6"/>
    <w:rsid w:val="00D6153C"/>
    <w:rsid w:val="00D65041"/>
    <w:rsid w:val="00D66EEF"/>
    <w:rsid w:val="00DB00D5"/>
    <w:rsid w:val="00DB1936"/>
    <w:rsid w:val="00DB384B"/>
    <w:rsid w:val="00DB669C"/>
    <w:rsid w:val="00DC42A9"/>
    <w:rsid w:val="00DD79DB"/>
    <w:rsid w:val="00DE03A6"/>
    <w:rsid w:val="00DE2CAF"/>
    <w:rsid w:val="00DE47D5"/>
    <w:rsid w:val="00DF0189"/>
    <w:rsid w:val="00DF26FF"/>
    <w:rsid w:val="00E06FD5"/>
    <w:rsid w:val="00E07CBA"/>
    <w:rsid w:val="00E100A4"/>
    <w:rsid w:val="00E10E80"/>
    <w:rsid w:val="00E124F0"/>
    <w:rsid w:val="00E129A8"/>
    <w:rsid w:val="00E223C0"/>
    <w:rsid w:val="00E227F3"/>
    <w:rsid w:val="00E402FA"/>
    <w:rsid w:val="00E4035B"/>
    <w:rsid w:val="00E42910"/>
    <w:rsid w:val="00E4728B"/>
    <w:rsid w:val="00E545C6"/>
    <w:rsid w:val="00E55BAA"/>
    <w:rsid w:val="00E60F04"/>
    <w:rsid w:val="00E63EFF"/>
    <w:rsid w:val="00E65B24"/>
    <w:rsid w:val="00E7443F"/>
    <w:rsid w:val="00E854E4"/>
    <w:rsid w:val="00E8667C"/>
    <w:rsid w:val="00E86D35"/>
    <w:rsid w:val="00E86DBF"/>
    <w:rsid w:val="00E92C44"/>
    <w:rsid w:val="00E9546D"/>
    <w:rsid w:val="00EA0058"/>
    <w:rsid w:val="00EA764A"/>
    <w:rsid w:val="00EB0D6F"/>
    <w:rsid w:val="00EB2232"/>
    <w:rsid w:val="00EB3CFB"/>
    <w:rsid w:val="00EC1714"/>
    <w:rsid w:val="00EC1D13"/>
    <w:rsid w:val="00EC2C2E"/>
    <w:rsid w:val="00EC3A61"/>
    <w:rsid w:val="00EC5337"/>
    <w:rsid w:val="00ED5A31"/>
    <w:rsid w:val="00EE3F5B"/>
    <w:rsid w:val="00EE49E8"/>
    <w:rsid w:val="00EF14F0"/>
    <w:rsid w:val="00EF4657"/>
    <w:rsid w:val="00F057DA"/>
    <w:rsid w:val="00F10B59"/>
    <w:rsid w:val="00F155BA"/>
    <w:rsid w:val="00F16BAB"/>
    <w:rsid w:val="00F16DBE"/>
    <w:rsid w:val="00F2150A"/>
    <w:rsid w:val="00F231D8"/>
    <w:rsid w:val="00F301CA"/>
    <w:rsid w:val="00F369D5"/>
    <w:rsid w:val="00F44C00"/>
    <w:rsid w:val="00F45D2C"/>
    <w:rsid w:val="00F46C5F"/>
    <w:rsid w:val="00F51FE7"/>
    <w:rsid w:val="00F6247A"/>
    <w:rsid w:val="00F632C0"/>
    <w:rsid w:val="00F6531E"/>
    <w:rsid w:val="00F74694"/>
    <w:rsid w:val="00F80F94"/>
    <w:rsid w:val="00F8458F"/>
    <w:rsid w:val="00F85049"/>
    <w:rsid w:val="00F85DF1"/>
    <w:rsid w:val="00F86596"/>
    <w:rsid w:val="00F93FD4"/>
    <w:rsid w:val="00F94A63"/>
    <w:rsid w:val="00FA1BAF"/>
    <w:rsid w:val="00FA1C28"/>
    <w:rsid w:val="00FA22FC"/>
    <w:rsid w:val="00FA457A"/>
    <w:rsid w:val="00FA620F"/>
    <w:rsid w:val="00FA656B"/>
    <w:rsid w:val="00FB1279"/>
    <w:rsid w:val="00FB335E"/>
    <w:rsid w:val="00FB6B76"/>
    <w:rsid w:val="00FB7596"/>
    <w:rsid w:val="00FB75BE"/>
    <w:rsid w:val="00FC303A"/>
    <w:rsid w:val="00FC79ED"/>
    <w:rsid w:val="00FD15BC"/>
    <w:rsid w:val="00FD16CD"/>
    <w:rsid w:val="00FE10BB"/>
    <w:rsid w:val="00FE3C05"/>
    <w:rsid w:val="00FE4077"/>
    <w:rsid w:val="00FE500D"/>
    <w:rsid w:val="00FE77D2"/>
    <w:rsid w:val="00FF0A1E"/>
    <w:rsid w:val="00FF58C3"/>
    <w:rsid w:val="2CD1E340"/>
    <w:rsid w:val="2FC35808"/>
    <w:rsid w:val="3339EF4C"/>
    <w:rsid w:val="369F545E"/>
    <w:rsid w:val="39DA2A6E"/>
    <w:rsid w:val="6D85C99B"/>
    <w:rsid w:val="738BC8C0"/>
    <w:rsid w:val="758C9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8976DCD"/>
  <w15:docId w15:val="{5BC793E6-17FB-4EA7-9C20-271D5A9B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7013DD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C922C7"/>
    <w:pPr>
      <w:spacing w:after="240"/>
      <w:jc w:val="center"/>
    </w:pPr>
  </w:style>
  <w:style w:type="paragraph" w:customStyle="1" w:styleId="Figuretitle">
    <w:name w:val="Figure_title"/>
    <w:basedOn w:val="Tabletitle"/>
    <w:next w:val="Normalaftertitle"/>
    <w:rsid w:val="00C922C7"/>
  </w:style>
  <w:style w:type="paragraph" w:customStyle="1" w:styleId="Tabletitle">
    <w:name w:val="Table_title"/>
    <w:basedOn w:val="TableNo"/>
    <w:next w:val="Tabletext"/>
    <w:rsid w:val="009618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120" w:after="12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Tabletext">
    <w:name w:val="Table_text"/>
    <w:basedOn w:val="Normal"/>
    <w:rsid w:val="00961860"/>
    <w:pPr>
      <w:tabs>
        <w:tab w:val="clear" w:pos="1134"/>
        <w:tab w:val="clear" w:pos="1701"/>
        <w:tab w:val="clear" w:pos="2268"/>
        <w:tab w:val="clear" w:pos="2835"/>
        <w:tab w:val="left" w:pos="284"/>
        <w:tab w:val="left" w:pos="851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961860"/>
    <w:pPr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1860"/>
    <w:rPr>
      <w:sz w:val="20"/>
    </w:r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806E3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46480"/>
    <w:rPr>
      <w:color w:val="666666"/>
    </w:rPr>
  </w:style>
  <w:style w:type="paragraph" w:styleId="ListParagraph">
    <w:name w:val="List Paragraph"/>
    <w:basedOn w:val="Normal"/>
    <w:uiPriority w:val="34"/>
    <w:qFormat/>
    <w:rsid w:val="00752AD4"/>
    <w:pPr>
      <w:ind w:left="720"/>
      <w:contextualSpacing/>
    </w:pPr>
  </w:style>
  <w:style w:type="paragraph" w:styleId="NormalWeb">
    <w:name w:val="Normal (Web)"/>
    <w:basedOn w:val="Normal"/>
    <w:rsid w:val="003D24C7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SimSun" w:hAnsi="Times New Roman"/>
      <w:color w:val="000000"/>
      <w:szCs w:val="24"/>
      <w:lang w:val="en-US" w:eastAsia="zh-CN"/>
    </w:rPr>
  </w:style>
  <w:style w:type="paragraph" w:styleId="Revision">
    <w:name w:val="Revision"/>
    <w:hidden/>
    <w:uiPriority w:val="99"/>
    <w:semiHidden/>
    <w:rsid w:val="007710F6"/>
    <w:rPr>
      <w:rFonts w:ascii="Calibri" w:hAnsi="Calibri"/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970C2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70C2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70C26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0C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0C26"/>
    <w:rPr>
      <w:rFonts w:ascii="Calibri" w:hAnsi="Calibri"/>
      <w:b/>
      <w:bCs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970C26"/>
    <w:rPr>
      <w:color w:val="2B579A"/>
      <w:shd w:val="clear" w:color="auto" w:fill="E1DFDD"/>
    </w:rPr>
  </w:style>
  <w:style w:type="paragraph" w:customStyle="1" w:styleId="Reasons">
    <w:name w:val="Reasons"/>
    <w:basedOn w:val="Normal"/>
    <w:qFormat/>
    <w:rsid w:val="007013D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18" Type="http://schemas.openxmlformats.org/officeDocument/2006/relationships/image" Target="media/image6.emf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9.emf"/><Relationship Id="rId7" Type="http://schemas.openxmlformats.org/officeDocument/2006/relationships/settings" Target="settings.xml"/><Relationship Id="rId12" Type="http://schemas.openxmlformats.org/officeDocument/2006/relationships/hyperlink" Target="https://www.itu.int/en/council/Documents/basic-texts-2023/Convention-E.pdf" TargetMode="External"/><Relationship Id="rId17" Type="http://schemas.openxmlformats.org/officeDocument/2006/relationships/image" Target="media/image5.emf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en/council/Documents/basic-texts-2023/DEC-005-E.pdf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7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Relationship Id="rId22" Type="http://schemas.openxmlformats.org/officeDocument/2006/relationships/image" Target="media/image10.emf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working-group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A5AED0024D4C4B908559843DB30158" ma:contentTypeVersion="2" ma:contentTypeDescription="Create a new document." ma:contentTypeScope="" ma:versionID="31a26b5e6a84297540fb9bcd5875ca00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d648448f94c3d58177b40b5933f2d41a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4EBF1F-C913-41FD-9B59-7931E17B88AA}">
  <ds:schemaRefs>
    <ds:schemaRef ds:uri="http://schemas.microsoft.com/office/2006/documentManagement/types"/>
    <ds:schemaRef ds:uri="1aaea1ea-72e4-4374-b05e-72e2f16fb7ae"/>
    <ds:schemaRef ds:uri="http://schemas.microsoft.com/sharepoint/v3"/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C6CDA3-4386-471A-B091-F0C4CF1300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A9E961-662F-42AA-8B7F-3A84C250B2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ea1ea-72e4-4374-b05e-72e2f16fb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1514</Words>
  <Characters>8162</Characters>
  <Application>Microsoft Office Word</Application>
  <DocSecurity>0</DocSecurity>
  <Lines>162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9630</CharactersWithSpaces>
  <SharedDoc>false</SharedDoc>
  <HLinks>
    <vt:vector size="30" baseType="variant">
      <vt:variant>
        <vt:i4>8323115</vt:i4>
      </vt:variant>
      <vt:variant>
        <vt:i4>3</vt:i4>
      </vt:variant>
      <vt:variant>
        <vt:i4>0</vt:i4>
      </vt:variant>
      <vt:variant>
        <vt:i4>5</vt:i4>
      </vt:variant>
      <vt:variant>
        <vt:lpwstr>https://council.itu.int/working-groups</vt:lpwstr>
      </vt:variant>
      <vt:variant>
        <vt:lpwstr/>
      </vt:variant>
      <vt:variant>
        <vt:i4>721005</vt:i4>
      </vt:variant>
      <vt:variant>
        <vt:i4>9</vt:i4>
      </vt:variant>
      <vt:variant>
        <vt:i4>0</vt:i4>
      </vt:variant>
      <vt:variant>
        <vt:i4>5</vt:i4>
      </vt:variant>
      <vt:variant>
        <vt:lpwstr>mailto:tomas.lamanauskas@itu.int</vt:lpwstr>
      </vt:variant>
      <vt:variant>
        <vt:lpwstr/>
      </vt:variant>
      <vt:variant>
        <vt:i4>721005</vt:i4>
      </vt:variant>
      <vt:variant>
        <vt:i4>6</vt:i4>
      </vt:variant>
      <vt:variant>
        <vt:i4>0</vt:i4>
      </vt:variant>
      <vt:variant>
        <vt:i4>5</vt:i4>
      </vt:variant>
      <vt:variant>
        <vt:lpwstr>mailto:tomas.lamanauskas@itu.int</vt:lpwstr>
      </vt:variant>
      <vt:variant>
        <vt:lpwstr/>
      </vt:variant>
      <vt:variant>
        <vt:i4>721005</vt:i4>
      </vt:variant>
      <vt:variant>
        <vt:i4>3</vt:i4>
      </vt:variant>
      <vt:variant>
        <vt:i4>0</vt:i4>
      </vt:variant>
      <vt:variant>
        <vt:i4>5</vt:i4>
      </vt:variant>
      <vt:variant>
        <vt:lpwstr>mailto:tomas.lamanauskas@itu.int</vt:lpwstr>
      </vt:variant>
      <vt:variant>
        <vt:lpwstr/>
      </vt:variant>
      <vt:variant>
        <vt:i4>721005</vt:i4>
      </vt:variant>
      <vt:variant>
        <vt:i4>0</vt:i4>
      </vt:variant>
      <vt:variant>
        <vt:i4>0</vt:i4>
      </vt:variant>
      <vt:variant>
        <vt:i4>5</vt:i4>
      </vt:variant>
      <vt:variant>
        <vt:lpwstr>mailto:tomas.lamanauskas@itu.int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 of the draft budget of the Union for 2026-2027</dc:title>
  <dc:subject>ITU Council Working Group on financial and human resources</dc:subject>
  <cp:keywords>CWG-FHR</cp:keywords>
  <dc:description/>
  <dcterms:created xsi:type="dcterms:W3CDTF">2025-01-21T15:55:00Z</dcterms:created>
  <dcterms:modified xsi:type="dcterms:W3CDTF">2025-01-21T15:56:00Z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0x01010041A5AED0024D4C4B908559843DB30158</vt:lpwstr>
  </property>
  <property fmtid="{D5CDD505-2E9C-101B-9397-08002B2CF9AE}" pid="3" name="GrammarlyDocumentId">
    <vt:lpwstr>d116d91399b4890076458d7c63dac6956f8b51374e8b8751cca4a52115a7b961</vt:lpwstr>
  </property>
</Properties>
</file>