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01AEE" w14:paraId="06988536" w14:textId="77777777" w:rsidTr="00AD3606">
        <w:trPr>
          <w:cantSplit/>
          <w:trHeight w:val="23"/>
        </w:trPr>
        <w:tc>
          <w:tcPr>
            <w:tcW w:w="3969" w:type="dxa"/>
            <w:vMerge w:val="restart"/>
            <w:tcMar>
              <w:left w:w="0" w:type="dxa"/>
            </w:tcMar>
          </w:tcPr>
          <w:p w14:paraId="09139E8F"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50B68EFE" w14:textId="7565E5A6" w:rsidR="00AD3606" w:rsidRPr="00301AEE" w:rsidRDefault="00AD3606" w:rsidP="00472BAD">
            <w:pPr>
              <w:tabs>
                <w:tab w:val="left" w:pos="851"/>
              </w:tabs>
              <w:spacing w:before="0" w:line="240" w:lineRule="atLeast"/>
              <w:jc w:val="right"/>
              <w:rPr>
                <w:b/>
                <w:lang w:val="fr-FR"/>
              </w:rPr>
            </w:pPr>
            <w:r w:rsidRPr="00301AEE">
              <w:rPr>
                <w:b/>
                <w:lang w:val="fr-FR"/>
              </w:rPr>
              <w:t>Document C</w:t>
            </w:r>
            <w:r w:rsidR="00A52C84" w:rsidRPr="00301AEE">
              <w:rPr>
                <w:b/>
                <w:lang w:val="fr-FR"/>
              </w:rPr>
              <w:t>WG-</w:t>
            </w:r>
            <w:r w:rsidR="000F6AB8">
              <w:rPr>
                <w:b/>
                <w:lang w:val="fr-FR"/>
              </w:rPr>
              <w:t>FHR</w:t>
            </w:r>
            <w:r w:rsidR="00A52C84" w:rsidRPr="00301AEE">
              <w:rPr>
                <w:b/>
                <w:lang w:val="fr-FR"/>
              </w:rPr>
              <w:t>-</w:t>
            </w:r>
            <w:r w:rsidR="0025570E" w:rsidRPr="00301AEE">
              <w:rPr>
                <w:b/>
                <w:lang w:val="fr-FR"/>
              </w:rPr>
              <w:t>2</w:t>
            </w:r>
            <w:r w:rsidR="000F6AB8">
              <w:rPr>
                <w:b/>
                <w:lang w:val="fr-FR"/>
              </w:rPr>
              <w:t>0</w:t>
            </w:r>
            <w:r w:rsidR="00301AEE" w:rsidRPr="00301AEE">
              <w:rPr>
                <w:b/>
                <w:lang w:val="fr-FR"/>
              </w:rPr>
              <w:t>/</w:t>
            </w:r>
            <w:r w:rsidR="00AC682D">
              <w:rPr>
                <w:b/>
                <w:lang w:val="fr-FR"/>
              </w:rPr>
              <w:t>13</w:t>
            </w:r>
          </w:p>
        </w:tc>
      </w:tr>
      <w:tr w:rsidR="00AD3606" w:rsidRPr="00147C54" w14:paraId="6F6AB1F4" w14:textId="77777777" w:rsidTr="00AD3606">
        <w:trPr>
          <w:cantSplit/>
        </w:trPr>
        <w:tc>
          <w:tcPr>
            <w:tcW w:w="3969" w:type="dxa"/>
            <w:vMerge/>
          </w:tcPr>
          <w:p w14:paraId="243B216A"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0B7DAD36" w14:textId="00342130" w:rsidR="00AD3606" w:rsidRPr="00147C54" w:rsidRDefault="006E558A" w:rsidP="00AD3606">
            <w:pPr>
              <w:tabs>
                <w:tab w:val="left" w:pos="851"/>
              </w:tabs>
              <w:spacing w:before="0"/>
              <w:jc w:val="right"/>
              <w:rPr>
                <w:b/>
              </w:rPr>
            </w:pPr>
            <w:r>
              <w:rPr>
                <w:b/>
              </w:rPr>
              <w:t>20</w:t>
            </w:r>
            <w:r w:rsidR="002F4954">
              <w:rPr>
                <w:b/>
              </w:rPr>
              <w:t xml:space="preserve"> January 2025</w:t>
            </w:r>
          </w:p>
        </w:tc>
      </w:tr>
      <w:tr w:rsidR="00AD3606" w:rsidRPr="00147C54" w14:paraId="15660587" w14:textId="77777777" w:rsidTr="00AD3606">
        <w:trPr>
          <w:cantSplit/>
          <w:trHeight w:val="23"/>
        </w:trPr>
        <w:tc>
          <w:tcPr>
            <w:tcW w:w="3969" w:type="dxa"/>
            <w:vMerge/>
          </w:tcPr>
          <w:p w14:paraId="6B39C677"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227FA191"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0EF492BD" w14:textId="77777777" w:rsidTr="00AD3606">
        <w:trPr>
          <w:cantSplit/>
          <w:trHeight w:val="23"/>
        </w:trPr>
        <w:tc>
          <w:tcPr>
            <w:tcW w:w="3969" w:type="dxa"/>
          </w:tcPr>
          <w:p w14:paraId="05EEDB52" w14:textId="77777777" w:rsidR="00472BAD" w:rsidRPr="00147C54" w:rsidRDefault="00472BAD" w:rsidP="00AD3606">
            <w:pPr>
              <w:tabs>
                <w:tab w:val="left" w:pos="851"/>
              </w:tabs>
              <w:spacing w:line="240" w:lineRule="atLeast"/>
              <w:rPr>
                <w:b/>
              </w:rPr>
            </w:pPr>
          </w:p>
        </w:tc>
        <w:tc>
          <w:tcPr>
            <w:tcW w:w="5245" w:type="dxa"/>
          </w:tcPr>
          <w:p w14:paraId="37609302" w14:textId="77777777" w:rsidR="00472BAD" w:rsidRPr="00147C54" w:rsidRDefault="00472BAD" w:rsidP="00AD3606">
            <w:pPr>
              <w:tabs>
                <w:tab w:val="left" w:pos="851"/>
              </w:tabs>
              <w:spacing w:before="0" w:line="240" w:lineRule="atLeast"/>
              <w:jc w:val="right"/>
              <w:rPr>
                <w:b/>
              </w:rPr>
            </w:pPr>
          </w:p>
        </w:tc>
      </w:tr>
      <w:tr w:rsidR="00AD3606" w:rsidRPr="00147C54" w14:paraId="4D854B2D" w14:textId="77777777" w:rsidTr="00AD3606">
        <w:trPr>
          <w:cantSplit/>
        </w:trPr>
        <w:tc>
          <w:tcPr>
            <w:tcW w:w="9214" w:type="dxa"/>
            <w:gridSpan w:val="2"/>
            <w:tcMar>
              <w:left w:w="0" w:type="dxa"/>
            </w:tcMar>
          </w:tcPr>
          <w:p w14:paraId="57AE1C6C" w14:textId="5CE57145" w:rsidR="00AD3606" w:rsidRPr="00147C54" w:rsidRDefault="000F6AB8" w:rsidP="00E4728B">
            <w:pPr>
              <w:pStyle w:val="Source"/>
              <w:framePr w:hSpace="0" w:wrap="auto" w:vAnchor="margin" w:hAnchor="text" w:xAlign="left" w:yAlign="inline"/>
            </w:pPr>
            <w:bookmarkStart w:id="8" w:name="dsource" w:colFirst="0" w:colLast="0"/>
            <w:bookmarkEnd w:id="7"/>
            <w:r>
              <w:t>Report</w:t>
            </w:r>
            <w:r w:rsidRPr="00676C7D">
              <w:t xml:space="preserve"> by the </w:t>
            </w:r>
            <w:r w:rsidR="004D3B0A">
              <w:t>Secretary-General</w:t>
            </w:r>
          </w:p>
        </w:tc>
      </w:tr>
      <w:tr w:rsidR="00AD3606" w:rsidRPr="00147C54" w14:paraId="16EB458A" w14:textId="77777777" w:rsidTr="00AD3606">
        <w:trPr>
          <w:cantSplit/>
        </w:trPr>
        <w:tc>
          <w:tcPr>
            <w:tcW w:w="9214" w:type="dxa"/>
            <w:gridSpan w:val="2"/>
            <w:tcMar>
              <w:left w:w="0" w:type="dxa"/>
            </w:tcMar>
          </w:tcPr>
          <w:p w14:paraId="0DA1E56D" w14:textId="1076CB84" w:rsidR="00AD3606" w:rsidRPr="00147C54" w:rsidRDefault="006E558A" w:rsidP="00E4728B">
            <w:pPr>
              <w:pStyle w:val="Subtitle"/>
              <w:framePr w:hSpace="0" w:wrap="auto" w:xAlign="left" w:yAlign="inline"/>
            </w:pPr>
            <w:bookmarkStart w:id="9" w:name="dtitle1" w:colFirst="0" w:colLast="0"/>
            <w:bookmarkStart w:id="10" w:name="_Hlk188284758"/>
            <w:bookmarkEnd w:id="8"/>
            <w:r>
              <w:t>CHALLENGES FACED IN IMPLEMENTING COUNCIL DECISION 601 ON IIN REGISTRATION</w:t>
            </w:r>
            <w:bookmarkEnd w:id="10"/>
          </w:p>
        </w:tc>
      </w:tr>
      <w:tr w:rsidR="00AD3606" w:rsidRPr="002F4954" w14:paraId="5E1AA971" w14:textId="77777777" w:rsidTr="00AD3606">
        <w:trPr>
          <w:cantSplit/>
        </w:trPr>
        <w:tc>
          <w:tcPr>
            <w:tcW w:w="9214" w:type="dxa"/>
            <w:gridSpan w:val="2"/>
            <w:tcBorders>
              <w:top w:val="single" w:sz="4" w:space="0" w:color="auto"/>
              <w:bottom w:val="single" w:sz="4" w:space="0" w:color="auto"/>
            </w:tcBorders>
            <w:tcMar>
              <w:left w:w="0" w:type="dxa"/>
            </w:tcMar>
          </w:tcPr>
          <w:p w14:paraId="5AD788C9" w14:textId="77777777" w:rsidR="00AD3606" w:rsidRPr="00147C54" w:rsidRDefault="00F16BAB" w:rsidP="00F16BAB">
            <w:pPr>
              <w:spacing w:before="160"/>
              <w:rPr>
                <w:b/>
                <w:bCs/>
                <w:sz w:val="26"/>
                <w:szCs w:val="26"/>
              </w:rPr>
            </w:pPr>
            <w:r w:rsidRPr="00147C54">
              <w:rPr>
                <w:b/>
                <w:bCs/>
                <w:sz w:val="26"/>
                <w:szCs w:val="26"/>
              </w:rPr>
              <w:t>Purpose</w:t>
            </w:r>
          </w:p>
          <w:p w14:paraId="19A77611" w14:textId="3EA2E9E8" w:rsidR="00AD3606" w:rsidRPr="00147C54" w:rsidRDefault="002F4954" w:rsidP="00F16BAB">
            <w:r w:rsidRPr="002F4954">
              <w:t xml:space="preserve">Following the approval of Decisions 600 and 601 at the </w:t>
            </w:r>
            <w:r>
              <w:t xml:space="preserve">2017 session of the </w:t>
            </w:r>
            <w:r w:rsidRPr="002F4954">
              <w:t xml:space="preserve">Council, ITU has been in the process of implementing these Decisions. This report summarizes the challenges faced in implementation of Council Decision 601 </w:t>
            </w:r>
            <w:r w:rsidR="008976FE">
              <w:t>for consideration by the CWG-FHR</w:t>
            </w:r>
            <w:r w:rsidRPr="002F4954">
              <w:t>.</w:t>
            </w:r>
          </w:p>
          <w:p w14:paraId="486924FF" w14:textId="77777777" w:rsidR="00AD3606" w:rsidRPr="00147C54" w:rsidRDefault="00AD3606" w:rsidP="00F16BAB">
            <w:pPr>
              <w:spacing w:before="160"/>
              <w:rPr>
                <w:b/>
                <w:bCs/>
                <w:sz w:val="26"/>
                <w:szCs w:val="26"/>
              </w:rPr>
            </w:pPr>
            <w:r w:rsidRPr="00147C54">
              <w:rPr>
                <w:b/>
                <w:bCs/>
                <w:sz w:val="26"/>
                <w:szCs w:val="26"/>
              </w:rPr>
              <w:t>Action required</w:t>
            </w:r>
          </w:p>
          <w:p w14:paraId="04BD14AB" w14:textId="4A568DB6" w:rsidR="0025570E" w:rsidRPr="004405AB" w:rsidRDefault="002F4954" w:rsidP="002F4954">
            <w:pPr>
              <w:spacing w:before="160"/>
            </w:pPr>
            <w:r w:rsidRPr="002F4954">
              <w:t xml:space="preserve">The Council Working Group on Financial and Human resources is invited </w:t>
            </w:r>
            <w:r w:rsidRPr="002F4954">
              <w:rPr>
                <w:b/>
                <w:bCs/>
              </w:rPr>
              <w:t xml:space="preserve">to review </w:t>
            </w:r>
            <w:r w:rsidRPr="002F4954">
              <w:t xml:space="preserve">and </w:t>
            </w:r>
            <w:r w:rsidR="008976FE">
              <w:rPr>
                <w:b/>
                <w:bCs/>
              </w:rPr>
              <w:t>consider</w:t>
            </w:r>
            <w:r w:rsidR="008976FE" w:rsidRPr="002F4954">
              <w:t xml:space="preserve"> </w:t>
            </w:r>
            <w:r w:rsidRPr="002F4954">
              <w:t xml:space="preserve">the </w:t>
            </w:r>
            <w:r w:rsidR="008976FE">
              <w:t>challenges raised in this document</w:t>
            </w:r>
            <w:r w:rsidRPr="002F4954">
              <w:t>.</w:t>
            </w:r>
          </w:p>
          <w:p w14:paraId="64CEA947" w14:textId="77777777" w:rsidR="00AD3606" w:rsidRPr="00CD3C91" w:rsidRDefault="00CD3C91" w:rsidP="00CD3C91">
            <w:r>
              <w:t>_______________</w:t>
            </w:r>
          </w:p>
          <w:p w14:paraId="6740FBBB" w14:textId="77777777" w:rsidR="00AD3606" w:rsidRPr="00147C54" w:rsidRDefault="00AD3606" w:rsidP="00F16BAB">
            <w:pPr>
              <w:spacing w:before="160"/>
              <w:rPr>
                <w:b/>
                <w:bCs/>
                <w:sz w:val="26"/>
                <w:szCs w:val="26"/>
              </w:rPr>
            </w:pPr>
            <w:r w:rsidRPr="00147C54">
              <w:rPr>
                <w:b/>
                <w:bCs/>
                <w:sz w:val="26"/>
                <w:szCs w:val="26"/>
              </w:rPr>
              <w:t>References</w:t>
            </w:r>
            <w:r w:rsidR="00301AEE">
              <w:rPr>
                <w:b/>
                <w:bCs/>
                <w:sz w:val="26"/>
                <w:szCs w:val="26"/>
              </w:rPr>
              <w:t xml:space="preserve"> </w:t>
            </w:r>
          </w:p>
          <w:p w14:paraId="43062733" w14:textId="68443959" w:rsidR="00AD3606" w:rsidRPr="002F4954" w:rsidRDefault="000F6AB8" w:rsidP="002F4954">
            <w:pPr>
              <w:spacing w:after="160"/>
              <w:rPr>
                <w:i/>
                <w:iCs/>
                <w:sz w:val="22"/>
                <w:szCs w:val="22"/>
                <w:lang w:val="fr-CH"/>
              </w:rPr>
            </w:pPr>
            <w:hyperlink r:id="rId11" w:history="1">
              <w:r w:rsidRPr="002F4954">
                <w:rPr>
                  <w:rStyle w:val="Hyperlink"/>
                  <w:i/>
                  <w:iCs/>
                  <w:sz w:val="22"/>
                  <w:szCs w:val="22"/>
                  <w:lang w:val="fr-CH"/>
                </w:rPr>
                <w:t xml:space="preserve">CWG-FHR </w:t>
              </w:r>
              <w:proofErr w:type="spellStart"/>
              <w:r w:rsidRPr="002F4954">
                <w:rPr>
                  <w:rStyle w:val="Hyperlink"/>
                  <w:i/>
                  <w:iCs/>
                  <w:sz w:val="22"/>
                  <w:szCs w:val="22"/>
                  <w:lang w:val="fr-CH"/>
                </w:rPr>
                <w:t>website</w:t>
              </w:r>
              <w:proofErr w:type="spellEnd"/>
            </w:hyperlink>
            <w:r w:rsidRPr="002F4954">
              <w:rPr>
                <w:i/>
                <w:iCs/>
                <w:sz w:val="22"/>
                <w:szCs w:val="22"/>
                <w:lang w:val="fr-CH"/>
              </w:rPr>
              <w:t>;</w:t>
            </w:r>
            <w:r w:rsidR="002F4954">
              <w:rPr>
                <w:i/>
                <w:iCs/>
                <w:sz w:val="22"/>
                <w:szCs w:val="22"/>
                <w:lang w:val="fr-CH"/>
              </w:rPr>
              <w:t xml:space="preserve"> </w:t>
            </w:r>
            <w:r w:rsidR="002F4954" w:rsidRPr="002F4954">
              <w:rPr>
                <w:i/>
                <w:iCs/>
                <w:sz w:val="22"/>
                <w:szCs w:val="22"/>
                <w:lang w:val="fr-CH"/>
              </w:rPr>
              <w:t>Document</w:t>
            </w:r>
            <w:r w:rsidR="002F4954">
              <w:rPr>
                <w:i/>
                <w:iCs/>
                <w:sz w:val="22"/>
                <w:szCs w:val="22"/>
                <w:lang w:val="fr-CH"/>
              </w:rPr>
              <w:t>s</w:t>
            </w:r>
            <w:r w:rsidR="002F4954" w:rsidRPr="002F4954">
              <w:rPr>
                <w:rFonts w:hint="eastAsia"/>
                <w:i/>
                <w:iCs/>
                <w:sz w:val="22"/>
                <w:szCs w:val="22"/>
                <w:lang w:val="fr-CH"/>
              </w:rPr>
              <w:t xml:space="preserve"> </w:t>
            </w:r>
            <w:hyperlink r:id="rId12" w:history="1">
              <w:r w:rsidR="002F4954" w:rsidRPr="002F4954">
                <w:rPr>
                  <w:rStyle w:val="Hyperlink"/>
                  <w:i/>
                  <w:iCs/>
                  <w:sz w:val="22"/>
                  <w:szCs w:val="22"/>
                  <w:lang w:val="fr-CH"/>
                </w:rPr>
                <w:t>C17/</w:t>
              </w:r>
              <w:r w:rsidR="002F4954" w:rsidRPr="002F4954">
                <w:rPr>
                  <w:rStyle w:val="Hyperlink"/>
                  <w:rFonts w:hint="eastAsia"/>
                  <w:i/>
                  <w:iCs/>
                  <w:sz w:val="22"/>
                  <w:szCs w:val="22"/>
                  <w:lang w:val="fr-CH"/>
                </w:rPr>
                <w:t>4</w:t>
              </w:r>
              <w:r w:rsidR="002F4954" w:rsidRPr="002F4954">
                <w:rPr>
                  <w:rStyle w:val="Hyperlink"/>
                  <w:i/>
                  <w:iCs/>
                  <w:sz w:val="22"/>
                  <w:szCs w:val="22"/>
                  <w:lang w:val="fr-CH"/>
                </w:rPr>
                <w:t>3</w:t>
              </w:r>
            </w:hyperlink>
            <w:r w:rsidR="002F4954" w:rsidRPr="002F4954">
              <w:rPr>
                <w:rFonts w:hint="eastAsia"/>
                <w:i/>
                <w:iCs/>
                <w:sz w:val="22"/>
                <w:szCs w:val="22"/>
                <w:lang w:val="fr-CH"/>
              </w:rPr>
              <w:t>;</w:t>
            </w:r>
            <w:r w:rsidR="002F4954" w:rsidRPr="002F4954">
              <w:rPr>
                <w:i/>
                <w:iCs/>
                <w:sz w:val="22"/>
                <w:szCs w:val="22"/>
                <w:lang w:val="fr-CH"/>
              </w:rPr>
              <w:t xml:space="preserve"> </w:t>
            </w:r>
            <w:hyperlink r:id="rId13" w:history="1">
              <w:r w:rsidR="002F4954" w:rsidRPr="002F4954">
                <w:rPr>
                  <w:rStyle w:val="Hyperlink"/>
                  <w:i/>
                  <w:iCs/>
                  <w:sz w:val="22"/>
                  <w:szCs w:val="22"/>
                  <w:lang w:val="fr-CH"/>
                </w:rPr>
                <w:t>C17/</w:t>
              </w:r>
              <w:r w:rsidR="002F4954" w:rsidRPr="002F4954">
                <w:rPr>
                  <w:rStyle w:val="Hyperlink"/>
                  <w:rFonts w:hint="eastAsia"/>
                  <w:i/>
                  <w:iCs/>
                  <w:sz w:val="22"/>
                  <w:szCs w:val="22"/>
                  <w:lang w:val="fr-CH"/>
                </w:rPr>
                <w:t>67</w:t>
              </w:r>
              <w:r w:rsidR="002F4954" w:rsidRPr="002F4954">
                <w:rPr>
                  <w:rStyle w:val="Hyperlink"/>
                  <w:rFonts w:hint="eastAsia"/>
                  <w:i/>
                  <w:iCs/>
                  <w:color w:val="auto"/>
                  <w:sz w:val="22"/>
                  <w:szCs w:val="22"/>
                  <w:u w:val="none"/>
                  <w:lang w:val="fr-CH"/>
                </w:rPr>
                <w:t>;</w:t>
              </w:r>
            </w:hyperlink>
            <w:r w:rsidR="002F4954" w:rsidRPr="002F4954">
              <w:rPr>
                <w:rFonts w:hint="eastAsia"/>
                <w:i/>
                <w:iCs/>
                <w:sz w:val="22"/>
                <w:szCs w:val="22"/>
                <w:lang w:val="fr-CH"/>
              </w:rPr>
              <w:t xml:space="preserve"> </w:t>
            </w:r>
            <w:hyperlink r:id="rId14" w:history="1">
              <w:r w:rsidR="002F4954" w:rsidRPr="002F4954">
                <w:rPr>
                  <w:rStyle w:val="Hyperlink"/>
                  <w:i/>
                  <w:iCs/>
                  <w:sz w:val="22"/>
                  <w:szCs w:val="22"/>
                  <w:lang w:val="fr-CH"/>
                </w:rPr>
                <w:t>C17/133</w:t>
              </w:r>
            </w:hyperlink>
            <w:r w:rsidR="002F4954" w:rsidRPr="002F4954">
              <w:rPr>
                <w:i/>
                <w:iCs/>
                <w:sz w:val="22"/>
                <w:szCs w:val="22"/>
                <w:lang w:val="fr-CH"/>
              </w:rPr>
              <w:t xml:space="preserve">; </w:t>
            </w:r>
            <w:hyperlink r:id="rId15" w:history="1">
              <w:r w:rsidR="002F4954" w:rsidRPr="002F4954">
                <w:rPr>
                  <w:rStyle w:val="Hyperlink"/>
                  <w:i/>
                  <w:iCs/>
                  <w:sz w:val="22"/>
                  <w:szCs w:val="22"/>
                  <w:lang w:val="fr-CH"/>
                </w:rPr>
                <w:t>C17/134</w:t>
              </w:r>
            </w:hyperlink>
            <w:r w:rsidR="002F4954" w:rsidRPr="002F4954">
              <w:rPr>
                <w:i/>
                <w:iCs/>
                <w:sz w:val="22"/>
                <w:szCs w:val="22"/>
                <w:lang w:val="fr-CH"/>
              </w:rPr>
              <w:t xml:space="preserve">; </w:t>
            </w:r>
            <w:hyperlink r:id="rId16" w:history="1">
              <w:r w:rsidR="002F4954" w:rsidRPr="002F4954">
                <w:rPr>
                  <w:rStyle w:val="Hyperlink"/>
                  <w:bCs/>
                  <w:i/>
                  <w:iCs/>
                  <w:sz w:val="22"/>
                  <w:szCs w:val="22"/>
                  <w:lang w:val="fr-CH"/>
                </w:rPr>
                <w:t>C19/120</w:t>
              </w:r>
            </w:hyperlink>
            <w:r w:rsidR="002F4954" w:rsidRPr="002F4954">
              <w:rPr>
                <w:i/>
                <w:iCs/>
                <w:sz w:val="22"/>
                <w:szCs w:val="22"/>
                <w:lang w:val="fr-CH"/>
              </w:rPr>
              <w:t xml:space="preserve">; </w:t>
            </w:r>
            <w:hyperlink r:id="rId17" w:history="1">
              <w:r w:rsidR="002F4954" w:rsidRPr="002F4954">
                <w:rPr>
                  <w:rStyle w:val="Hyperlink"/>
                  <w:i/>
                  <w:iCs/>
                  <w:sz w:val="22"/>
                  <w:szCs w:val="22"/>
                  <w:lang w:val="fr-CH"/>
                </w:rPr>
                <w:t>C24/38</w:t>
              </w:r>
            </w:hyperlink>
            <w:r w:rsidR="002F4954">
              <w:rPr>
                <w:i/>
                <w:iCs/>
                <w:sz w:val="22"/>
                <w:szCs w:val="22"/>
                <w:lang w:val="fr-CH"/>
              </w:rPr>
              <w:t>.</w:t>
            </w:r>
          </w:p>
        </w:tc>
      </w:tr>
    </w:tbl>
    <w:p w14:paraId="3FE32CB1" w14:textId="77777777" w:rsidR="00E227F3" w:rsidRPr="002F4954" w:rsidRDefault="00E227F3" w:rsidP="00CB3182">
      <w:pPr>
        <w:tabs>
          <w:tab w:val="clear" w:pos="567"/>
          <w:tab w:val="clear" w:pos="1134"/>
          <w:tab w:val="clear" w:pos="1701"/>
          <w:tab w:val="clear" w:pos="2268"/>
          <w:tab w:val="clear" w:pos="2835"/>
        </w:tabs>
        <w:overflowPunct/>
        <w:autoSpaceDE/>
        <w:autoSpaceDN/>
        <w:adjustRightInd/>
        <w:spacing w:before="0"/>
        <w:textAlignment w:val="auto"/>
        <w:rPr>
          <w:lang w:val="fr-CH"/>
        </w:rPr>
      </w:pPr>
      <w:bookmarkStart w:id="11" w:name="_Hlk133421428"/>
      <w:bookmarkEnd w:id="2"/>
      <w:bookmarkEnd w:id="9"/>
    </w:p>
    <w:bookmarkEnd w:id="3"/>
    <w:bookmarkEnd w:id="4"/>
    <w:p w14:paraId="09365793" w14:textId="77777777" w:rsidR="0090147A" w:rsidRPr="002F4954" w:rsidRDefault="0090147A" w:rsidP="00CB3182">
      <w:pPr>
        <w:tabs>
          <w:tab w:val="clear" w:pos="567"/>
          <w:tab w:val="clear" w:pos="1134"/>
          <w:tab w:val="clear" w:pos="1701"/>
          <w:tab w:val="clear" w:pos="2268"/>
          <w:tab w:val="clear" w:pos="2835"/>
        </w:tabs>
        <w:overflowPunct/>
        <w:autoSpaceDE/>
        <w:autoSpaceDN/>
        <w:adjustRightInd/>
        <w:spacing w:before="0"/>
        <w:textAlignment w:val="auto"/>
        <w:rPr>
          <w:b/>
          <w:lang w:val="fr-CH"/>
        </w:rPr>
      </w:pPr>
      <w:r w:rsidRPr="002F4954">
        <w:rPr>
          <w:lang w:val="fr-CH"/>
        </w:rPr>
        <w:br w:type="page"/>
      </w:r>
    </w:p>
    <w:p w14:paraId="71E456CB" w14:textId="77777777" w:rsidR="002F4954" w:rsidRPr="002F4954" w:rsidRDefault="002F4954" w:rsidP="00CB3182">
      <w:pPr>
        <w:keepNext/>
        <w:keepLines/>
        <w:tabs>
          <w:tab w:val="clear" w:pos="567"/>
          <w:tab w:val="clear" w:pos="1134"/>
          <w:tab w:val="clear" w:pos="1701"/>
          <w:tab w:val="clear" w:pos="2268"/>
          <w:tab w:val="clear" w:pos="2835"/>
        </w:tabs>
        <w:spacing w:after="120"/>
        <w:outlineLvl w:val="0"/>
        <w:rPr>
          <w:rFonts w:asciiTheme="minorHAnsi" w:eastAsia="Calibri" w:hAnsiTheme="minorHAnsi" w:cstheme="minorHAnsi"/>
          <w:b/>
          <w:sz w:val="28"/>
          <w:szCs w:val="28"/>
        </w:rPr>
      </w:pPr>
      <w:bookmarkStart w:id="12" w:name="_Hlk152235899"/>
      <w:bookmarkEnd w:id="5"/>
      <w:bookmarkEnd w:id="11"/>
      <w:r w:rsidRPr="002F4954">
        <w:rPr>
          <w:rFonts w:asciiTheme="minorHAnsi" w:eastAsia="Calibri" w:hAnsiTheme="minorHAnsi" w:cstheme="minorHAnsi"/>
          <w:b/>
          <w:sz w:val="28"/>
          <w:szCs w:val="28"/>
        </w:rPr>
        <w:t>1</w:t>
      </w:r>
      <w:r w:rsidRPr="002F4954">
        <w:rPr>
          <w:rFonts w:asciiTheme="minorHAnsi" w:eastAsia="Calibri" w:hAnsiTheme="minorHAnsi" w:cstheme="minorHAnsi"/>
          <w:b/>
          <w:sz w:val="28"/>
          <w:szCs w:val="28"/>
        </w:rPr>
        <w:tab/>
        <w:t>Background</w:t>
      </w:r>
    </w:p>
    <w:p w14:paraId="5FE29737" w14:textId="73543B96" w:rsidR="002F4954" w:rsidRPr="002F4954" w:rsidRDefault="002F4954" w:rsidP="00CB3182">
      <w:pPr>
        <w:tabs>
          <w:tab w:val="clear" w:pos="567"/>
          <w:tab w:val="clear" w:pos="1134"/>
          <w:tab w:val="clear" w:pos="1701"/>
          <w:tab w:val="clear" w:pos="2268"/>
          <w:tab w:val="clear" w:pos="2835"/>
        </w:tabs>
        <w:spacing w:after="120"/>
        <w:jc w:val="both"/>
        <w:rPr>
          <w:rFonts w:asciiTheme="minorHAnsi" w:eastAsiaTheme="minorEastAsia" w:hAnsiTheme="minorHAnsi" w:cstheme="minorHAnsi"/>
          <w:szCs w:val="24"/>
        </w:rPr>
      </w:pPr>
      <w:r w:rsidRPr="002F4954">
        <w:rPr>
          <w:rFonts w:asciiTheme="minorHAnsi" w:eastAsiaTheme="minorEastAsia" w:hAnsiTheme="minorHAnsi" w:cstheme="minorHAnsi"/>
          <w:szCs w:val="24"/>
        </w:rPr>
        <w:t>1.1</w:t>
      </w:r>
      <w:r w:rsidRPr="002F4954">
        <w:rPr>
          <w:rFonts w:asciiTheme="minorHAnsi" w:eastAsiaTheme="minorEastAsia" w:hAnsiTheme="minorHAnsi" w:cstheme="minorHAnsi"/>
          <w:szCs w:val="24"/>
        </w:rPr>
        <w:tab/>
        <w:t xml:space="preserve">Following the approval of Decisions 600 </w:t>
      </w:r>
      <w:r w:rsidRPr="002F4954">
        <w:rPr>
          <w:rFonts w:asciiTheme="minorHAnsi" w:eastAsiaTheme="minorEastAsia" w:hAnsiTheme="minorHAnsi" w:cstheme="minorHAnsi"/>
          <w:color w:val="000000"/>
        </w:rPr>
        <w:t>(</w:t>
      </w:r>
      <w:hyperlink r:id="rId18" w:history="1">
        <w:r w:rsidRPr="002F4954">
          <w:rPr>
            <w:rFonts w:asciiTheme="minorHAnsi" w:eastAsiaTheme="minorEastAsia" w:hAnsiTheme="minorHAnsi" w:cstheme="minorHAnsi"/>
            <w:color w:val="0563C1"/>
            <w:u w:val="single"/>
          </w:rPr>
          <w:t>C17/133</w:t>
        </w:r>
      </w:hyperlink>
      <w:r w:rsidRPr="002F4954">
        <w:rPr>
          <w:rFonts w:asciiTheme="minorHAnsi" w:eastAsiaTheme="minorEastAsia" w:hAnsiTheme="minorHAnsi" w:cstheme="minorHAnsi"/>
          <w:color w:val="000000"/>
        </w:rPr>
        <w:t xml:space="preserve">) </w:t>
      </w:r>
      <w:r w:rsidRPr="002F4954">
        <w:rPr>
          <w:rFonts w:asciiTheme="minorHAnsi" w:eastAsiaTheme="minorEastAsia" w:hAnsiTheme="minorHAnsi" w:cstheme="minorHAnsi"/>
          <w:szCs w:val="24"/>
        </w:rPr>
        <w:t xml:space="preserve">and 601 </w:t>
      </w:r>
      <w:r w:rsidRPr="002F4954">
        <w:rPr>
          <w:rFonts w:asciiTheme="minorHAnsi" w:eastAsiaTheme="minorEastAsia" w:hAnsiTheme="minorHAnsi" w:cstheme="minorHAnsi"/>
          <w:color w:val="000000"/>
        </w:rPr>
        <w:t>(</w:t>
      </w:r>
      <w:hyperlink r:id="rId19" w:history="1">
        <w:r w:rsidRPr="002F4954">
          <w:rPr>
            <w:rFonts w:asciiTheme="minorHAnsi" w:eastAsiaTheme="minorEastAsia" w:hAnsiTheme="minorHAnsi" w:cstheme="minorHAnsi"/>
            <w:color w:val="0563C1"/>
            <w:u w:val="single"/>
          </w:rPr>
          <w:t>C17/134</w:t>
        </w:r>
      </w:hyperlink>
      <w:r w:rsidRPr="002F4954">
        <w:rPr>
          <w:rFonts w:asciiTheme="minorHAnsi" w:eastAsiaTheme="minorEastAsia" w:hAnsiTheme="minorHAnsi" w:cstheme="minorHAnsi"/>
          <w:color w:val="000000"/>
        </w:rPr>
        <w:t xml:space="preserve">) </w:t>
      </w:r>
      <w:r w:rsidRPr="002F4954">
        <w:rPr>
          <w:rFonts w:asciiTheme="minorHAnsi" w:eastAsiaTheme="minorEastAsia" w:hAnsiTheme="minorHAnsi" w:cstheme="minorHAnsi"/>
          <w:szCs w:val="24"/>
        </w:rPr>
        <w:t xml:space="preserve">at the </w:t>
      </w:r>
      <w:r w:rsidR="009E5D2F">
        <w:rPr>
          <w:rFonts w:asciiTheme="minorHAnsi" w:eastAsiaTheme="minorEastAsia" w:hAnsiTheme="minorHAnsi" w:cstheme="minorHAnsi"/>
          <w:szCs w:val="24"/>
        </w:rPr>
        <w:t xml:space="preserve">2017 session of the </w:t>
      </w:r>
      <w:r w:rsidRPr="002F4954">
        <w:rPr>
          <w:rFonts w:asciiTheme="minorHAnsi" w:eastAsiaTheme="minorEastAsia" w:hAnsiTheme="minorHAnsi" w:cstheme="minorHAnsi"/>
          <w:szCs w:val="24"/>
        </w:rPr>
        <w:t xml:space="preserve">Council, the ITU secretariat has been in the process of implementing these </w:t>
      </w:r>
      <w:r w:rsidR="009E5D2F">
        <w:rPr>
          <w:rFonts w:asciiTheme="minorHAnsi" w:eastAsiaTheme="minorEastAsia" w:hAnsiTheme="minorHAnsi" w:cstheme="minorHAnsi"/>
          <w:szCs w:val="24"/>
        </w:rPr>
        <w:t>d</w:t>
      </w:r>
      <w:r w:rsidRPr="002F4954">
        <w:rPr>
          <w:rFonts w:asciiTheme="minorHAnsi" w:eastAsiaTheme="minorEastAsia" w:hAnsiTheme="minorHAnsi" w:cstheme="minorHAnsi"/>
          <w:szCs w:val="24"/>
        </w:rPr>
        <w:t xml:space="preserve">ecisions. </w:t>
      </w:r>
    </w:p>
    <w:p w14:paraId="12D0015C" w14:textId="7CC3AAF9" w:rsidR="002F4954" w:rsidRPr="002F4954" w:rsidRDefault="002F4954" w:rsidP="009E5D2F">
      <w:pPr>
        <w:tabs>
          <w:tab w:val="clear" w:pos="567"/>
          <w:tab w:val="clear" w:pos="1134"/>
          <w:tab w:val="clear" w:pos="1701"/>
          <w:tab w:val="clear" w:pos="2268"/>
          <w:tab w:val="clear" w:pos="2835"/>
        </w:tabs>
        <w:spacing w:after="120"/>
        <w:jc w:val="both"/>
        <w:rPr>
          <w:rFonts w:asciiTheme="minorHAnsi" w:eastAsiaTheme="minorEastAsia" w:hAnsiTheme="minorHAnsi" w:cstheme="minorHAnsi"/>
          <w:szCs w:val="24"/>
        </w:rPr>
      </w:pPr>
      <w:r w:rsidRPr="002F4954">
        <w:rPr>
          <w:rFonts w:asciiTheme="minorHAnsi" w:eastAsiaTheme="minorEastAsia" w:hAnsiTheme="minorHAnsi" w:cstheme="minorHAnsi"/>
          <w:szCs w:val="24"/>
        </w:rPr>
        <w:t>1.2</w:t>
      </w:r>
      <w:r w:rsidRPr="002F4954">
        <w:rPr>
          <w:rFonts w:asciiTheme="minorHAnsi" w:eastAsiaTheme="minorEastAsia" w:hAnsiTheme="minorHAnsi" w:cstheme="minorHAnsi"/>
          <w:szCs w:val="24"/>
        </w:rPr>
        <w:tab/>
        <w:t xml:space="preserve">The </w:t>
      </w:r>
      <w:r w:rsidR="009E5D2F" w:rsidRPr="009E5D2F">
        <w:rPr>
          <w:rFonts w:asciiTheme="minorHAnsi" w:eastAsiaTheme="minorEastAsia" w:hAnsiTheme="minorHAnsi" w:cstheme="minorHAnsi"/>
          <w:szCs w:val="24"/>
        </w:rPr>
        <w:t xml:space="preserve">Telecommunication Standardization Bureau </w:t>
      </w:r>
      <w:r w:rsidR="009E5D2F">
        <w:rPr>
          <w:rFonts w:asciiTheme="minorHAnsi" w:eastAsiaTheme="minorEastAsia" w:hAnsiTheme="minorHAnsi" w:cstheme="minorHAnsi"/>
          <w:szCs w:val="24"/>
        </w:rPr>
        <w:t>(</w:t>
      </w:r>
      <w:r w:rsidRPr="002F4954">
        <w:rPr>
          <w:rFonts w:asciiTheme="minorHAnsi" w:eastAsiaTheme="minorEastAsia" w:hAnsiTheme="minorHAnsi" w:cstheme="minorHAnsi"/>
          <w:szCs w:val="24"/>
        </w:rPr>
        <w:t>TSB</w:t>
      </w:r>
      <w:r w:rsidR="009E5D2F">
        <w:rPr>
          <w:rFonts w:asciiTheme="minorHAnsi" w:eastAsiaTheme="minorEastAsia" w:hAnsiTheme="minorHAnsi" w:cstheme="minorHAnsi"/>
          <w:szCs w:val="24"/>
        </w:rPr>
        <w:t>)</w:t>
      </w:r>
      <w:r w:rsidRPr="002F4954">
        <w:rPr>
          <w:rFonts w:asciiTheme="minorHAnsi" w:eastAsiaTheme="minorEastAsia" w:hAnsiTheme="minorHAnsi" w:cstheme="minorHAnsi"/>
          <w:szCs w:val="24"/>
        </w:rPr>
        <w:t xml:space="preserve"> </w:t>
      </w:r>
      <w:r w:rsidRPr="002F4954">
        <w:rPr>
          <w:rFonts w:asciiTheme="minorHAnsi" w:eastAsiaTheme="minorEastAsia" w:hAnsiTheme="minorHAnsi" w:cstheme="minorHAnsi"/>
          <w:szCs w:val="24"/>
          <w:lang w:eastAsia="zh-CN"/>
        </w:rPr>
        <w:t xml:space="preserve">presented a report on the status of implementation to </w:t>
      </w:r>
      <w:r w:rsidRPr="002F4954">
        <w:rPr>
          <w:rFonts w:asciiTheme="minorHAnsi" w:eastAsiaTheme="minorEastAsia" w:hAnsiTheme="minorHAnsi" w:cstheme="minorHAnsi"/>
          <w:szCs w:val="24"/>
        </w:rPr>
        <w:t xml:space="preserve">Council </w:t>
      </w:r>
      <w:r w:rsidRPr="002F4954">
        <w:rPr>
          <w:rFonts w:asciiTheme="minorHAnsi" w:eastAsiaTheme="minorEastAsia" w:hAnsiTheme="minorHAnsi" w:cstheme="minorHAnsi"/>
          <w:szCs w:val="24"/>
          <w:lang w:eastAsia="zh-CN"/>
        </w:rPr>
        <w:t>2024 (</w:t>
      </w:r>
      <w:r w:rsidR="009E5D2F">
        <w:rPr>
          <w:rFonts w:asciiTheme="minorHAnsi" w:eastAsiaTheme="minorEastAsia" w:hAnsiTheme="minorHAnsi" w:cstheme="minorHAnsi"/>
          <w:szCs w:val="24"/>
        </w:rPr>
        <w:t>D</w:t>
      </w:r>
      <w:r w:rsidRPr="002F4954">
        <w:rPr>
          <w:rFonts w:asciiTheme="minorHAnsi" w:eastAsiaTheme="minorEastAsia" w:hAnsiTheme="minorHAnsi" w:cstheme="minorHAnsi"/>
          <w:szCs w:val="24"/>
        </w:rPr>
        <w:t>ocument</w:t>
      </w:r>
      <w:r w:rsidRPr="002F4954">
        <w:rPr>
          <w:rFonts w:asciiTheme="minorHAnsi" w:eastAsiaTheme="minorEastAsia" w:hAnsiTheme="minorHAnsi" w:cstheme="minorHAnsi"/>
        </w:rPr>
        <w:t xml:space="preserve"> </w:t>
      </w:r>
      <w:hyperlink r:id="rId20" w:history="1">
        <w:r w:rsidRPr="002F4954">
          <w:rPr>
            <w:rFonts w:asciiTheme="minorHAnsi" w:eastAsiaTheme="minorEastAsia" w:hAnsiTheme="minorHAnsi" w:cstheme="minorHAnsi"/>
            <w:color w:val="0563C1"/>
            <w:spacing w:val="4"/>
            <w:u w:val="single"/>
            <w:lang w:val="en-US"/>
          </w:rPr>
          <w:t>C24/38</w:t>
        </w:r>
      </w:hyperlink>
      <w:r w:rsidRPr="002F4954">
        <w:rPr>
          <w:rFonts w:asciiTheme="minorHAnsi" w:eastAsiaTheme="minorEastAsia" w:hAnsiTheme="minorHAnsi" w:cstheme="minorHAnsi"/>
          <w:spacing w:val="4"/>
          <w:lang w:val="en-US" w:eastAsia="zh-CN"/>
        </w:rPr>
        <w:t>)</w:t>
      </w:r>
      <w:r w:rsidRPr="002F4954">
        <w:rPr>
          <w:rFonts w:asciiTheme="minorHAnsi" w:eastAsiaTheme="minorEastAsia" w:hAnsiTheme="minorHAnsi" w:cstheme="minorHAnsi"/>
          <w:lang w:val="en-US"/>
        </w:rPr>
        <w:t xml:space="preserve">. In line with the instructions outlined in the </w:t>
      </w:r>
      <w:r w:rsidR="009E5D2F">
        <w:rPr>
          <w:rFonts w:asciiTheme="minorHAnsi" w:eastAsiaTheme="minorEastAsia" w:hAnsiTheme="minorHAnsi" w:cstheme="minorHAnsi"/>
          <w:lang w:val="en-US"/>
        </w:rPr>
        <w:t>d</w:t>
      </w:r>
      <w:r w:rsidRPr="002F4954">
        <w:rPr>
          <w:rFonts w:asciiTheme="minorHAnsi" w:eastAsiaTheme="minorEastAsia" w:hAnsiTheme="minorHAnsi" w:cstheme="minorHAnsi"/>
          <w:lang w:val="en-US"/>
        </w:rPr>
        <w:t xml:space="preserve">ecisions, the TSB will submit the next report to the </w:t>
      </w:r>
      <w:r w:rsidR="009E5D2F">
        <w:rPr>
          <w:rFonts w:asciiTheme="minorHAnsi" w:eastAsiaTheme="minorEastAsia" w:hAnsiTheme="minorHAnsi" w:cstheme="minorHAnsi"/>
          <w:lang w:val="en-US"/>
        </w:rPr>
        <w:t>2025 session of the Council.</w:t>
      </w:r>
    </w:p>
    <w:bookmarkEnd w:id="12"/>
    <w:p w14:paraId="50D0DADF" w14:textId="77777777" w:rsidR="002F4954" w:rsidRPr="002F4954" w:rsidRDefault="002F4954" w:rsidP="00CB3182">
      <w:pPr>
        <w:keepNext/>
        <w:keepLines/>
        <w:tabs>
          <w:tab w:val="clear" w:pos="567"/>
          <w:tab w:val="clear" w:pos="1134"/>
          <w:tab w:val="clear" w:pos="1701"/>
          <w:tab w:val="clear" w:pos="2268"/>
          <w:tab w:val="clear" w:pos="2835"/>
        </w:tabs>
        <w:spacing w:before="480" w:after="120"/>
        <w:outlineLvl w:val="0"/>
        <w:rPr>
          <w:rFonts w:asciiTheme="minorHAnsi" w:eastAsiaTheme="minorEastAsia" w:hAnsiTheme="minorHAnsi" w:cstheme="minorHAnsi"/>
          <w:b/>
          <w:sz w:val="28"/>
          <w:szCs w:val="24"/>
        </w:rPr>
      </w:pPr>
      <w:r w:rsidRPr="002F4954">
        <w:rPr>
          <w:rFonts w:asciiTheme="minorHAnsi" w:eastAsia="Calibri" w:hAnsiTheme="minorHAnsi" w:cstheme="minorHAnsi"/>
          <w:b/>
          <w:sz w:val="28"/>
          <w:szCs w:val="28"/>
        </w:rPr>
        <w:t>2</w:t>
      </w:r>
      <w:r w:rsidRPr="002F4954">
        <w:rPr>
          <w:rFonts w:asciiTheme="minorHAnsi" w:eastAsia="Calibri" w:hAnsiTheme="minorHAnsi" w:cstheme="minorHAnsi"/>
          <w:b/>
          <w:sz w:val="28"/>
          <w:szCs w:val="28"/>
        </w:rPr>
        <w:tab/>
        <w:t xml:space="preserve">Status updates on </w:t>
      </w:r>
      <w:r w:rsidRPr="002F4954">
        <w:rPr>
          <w:rFonts w:asciiTheme="minorHAnsi" w:eastAsiaTheme="minorEastAsia" w:hAnsiTheme="minorHAnsi" w:cstheme="minorHAnsi"/>
          <w:b/>
          <w:sz w:val="28"/>
          <w:szCs w:val="24"/>
        </w:rPr>
        <w:t>IIN (Council Decision 601)</w:t>
      </w:r>
    </w:p>
    <w:p w14:paraId="77697C8B" w14:textId="2CF2248F" w:rsidR="002F4954" w:rsidRPr="002F4954" w:rsidRDefault="002F4954" w:rsidP="009E5D2F">
      <w:pPr>
        <w:tabs>
          <w:tab w:val="clear" w:pos="567"/>
          <w:tab w:val="clear" w:pos="1134"/>
          <w:tab w:val="clear" w:pos="1701"/>
          <w:tab w:val="clear" w:pos="2268"/>
          <w:tab w:val="clear" w:pos="2835"/>
        </w:tabs>
        <w:spacing w:after="120"/>
        <w:jc w:val="both"/>
        <w:rPr>
          <w:rFonts w:asciiTheme="minorHAnsi" w:eastAsiaTheme="minorEastAsia" w:hAnsiTheme="minorHAnsi" w:cstheme="minorHAnsi"/>
          <w:szCs w:val="24"/>
        </w:rPr>
      </w:pPr>
      <w:r w:rsidRPr="002F4954">
        <w:rPr>
          <w:rFonts w:asciiTheme="minorHAnsi" w:eastAsiaTheme="minorEastAsia" w:hAnsiTheme="minorHAnsi" w:cstheme="minorHAnsi"/>
          <w:szCs w:val="24"/>
        </w:rPr>
        <w:t xml:space="preserve">Since 1 January 2018, all newly registered </w:t>
      </w:r>
      <w:r w:rsidR="009E5D2F" w:rsidRPr="009E5D2F">
        <w:rPr>
          <w:rFonts w:asciiTheme="minorHAnsi" w:eastAsiaTheme="minorEastAsia" w:hAnsiTheme="minorHAnsi" w:cstheme="minorHAnsi"/>
          <w:szCs w:val="24"/>
        </w:rPr>
        <w:t>Issuer Identifier Number</w:t>
      </w:r>
      <w:r w:rsidR="009E5D2F">
        <w:rPr>
          <w:rFonts w:asciiTheme="minorHAnsi" w:eastAsiaTheme="minorEastAsia" w:hAnsiTheme="minorHAnsi" w:cstheme="minorHAnsi"/>
          <w:szCs w:val="24"/>
        </w:rPr>
        <w:t>s</w:t>
      </w:r>
      <w:r w:rsidR="009E5D2F" w:rsidRPr="009E5D2F">
        <w:rPr>
          <w:rFonts w:asciiTheme="minorHAnsi" w:eastAsiaTheme="minorEastAsia" w:hAnsiTheme="minorHAnsi" w:cstheme="minorHAnsi"/>
          <w:szCs w:val="24"/>
        </w:rPr>
        <w:t xml:space="preserve"> </w:t>
      </w:r>
      <w:r w:rsidR="009E5D2F">
        <w:rPr>
          <w:rFonts w:asciiTheme="minorHAnsi" w:eastAsiaTheme="minorEastAsia" w:hAnsiTheme="minorHAnsi" w:cstheme="minorHAnsi"/>
          <w:szCs w:val="24"/>
        </w:rPr>
        <w:t>(</w:t>
      </w:r>
      <w:r w:rsidRPr="002F4954">
        <w:rPr>
          <w:rFonts w:asciiTheme="minorHAnsi" w:eastAsiaTheme="minorEastAsia" w:hAnsiTheme="minorHAnsi" w:cstheme="minorHAnsi"/>
          <w:szCs w:val="24"/>
        </w:rPr>
        <w:t>IINs</w:t>
      </w:r>
      <w:r w:rsidR="009E5D2F">
        <w:rPr>
          <w:rFonts w:asciiTheme="minorHAnsi" w:eastAsiaTheme="minorEastAsia" w:hAnsiTheme="minorHAnsi" w:cstheme="minorHAnsi"/>
          <w:szCs w:val="24"/>
        </w:rPr>
        <w:t>)</w:t>
      </w:r>
      <w:r w:rsidRPr="002F4954">
        <w:rPr>
          <w:rFonts w:asciiTheme="minorHAnsi" w:eastAsiaTheme="minorEastAsia" w:hAnsiTheme="minorHAnsi" w:cstheme="minorHAnsi"/>
          <w:szCs w:val="24"/>
        </w:rPr>
        <w:t xml:space="preserve"> have been </w:t>
      </w:r>
      <w:r w:rsidRPr="002F4954">
        <w:rPr>
          <w:rFonts w:asciiTheme="minorHAnsi" w:eastAsiaTheme="minorEastAsia" w:hAnsiTheme="minorHAnsi" w:cstheme="minorHAnsi"/>
          <w:szCs w:val="24"/>
          <w:lang w:eastAsia="zh-CN"/>
        </w:rPr>
        <w:t>subject to</w:t>
      </w:r>
      <w:r w:rsidRPr="002F4954">
        <w:rPr>
          <w:rFonts w:asciiTheme="minorHAnsi" w:eastAsiaTheme="minorEastAsia" w:hAnsiTheme="minorHAnsi" w:cstheme="minorHAnsi"/>
          <w:szCs w:val="24"/>
        </w:rPr>
        <w:t xml:space="preserve"> both </w:t>
      </w:r>
      <w:r w:rsidRPr="002F4954">
        <w:rPr>
          <w:rFonts w:asciiTheme="minorHAnsi" w:eastAsiaTheme="minorEastAsia" w:hAnsiTheme="minorHAnsi" w:cstheme="minorHAnsi"/>
          <w:szCs w:val="24"/>
          <w:lang w:eastAsia="zh-CN"/>
        </w:rPr>
        <w:t xml:space="preserve">a </w:t>
      </w:r>
      <w:r w:rsidRPr="002F4954">
        <w:rPr>
          <w:rFonts w:asciiTheme="minorHAnsi" w:eastAsiaTheme="minorEastAsia" w:hAnsiTheme="minorHAnsi" w:cstheme="minorHAnsi"/>
          <w:szCs w:val="24"/>
        </w:rPr>
        <w:t xml:space="preserve">one-time </w:t>
      </w:r>
      <w:r w:rsidRPr="002F4954">
        <w:rPr>
          <w:rFonts w:asciiTheme="minorHAnsi" w:eastAsiaTheme="minorEastAsia" w:hAnsiTheme="minorHAnsi" w:cstheme="minorHAnsi"/>
          <w:szCs w:val="24"/>
          <w:lang w:eastAsia="zh-CN"/>
        </w:rPr>
        <w:t xml:space="preserve">registration </w:t>
      </w:r>
      <w:r w:rsidRPr="002F4954">
        <w:rPr>
          <w:rFonts w:asciiTheme="minorHAnsi" w:eastAsiaTheme="minorEastAsia" w:hAnsiTheme="minorHAnsi" w:cstheme="minorHAnsi"/>
          <w:szCs w:val="24"/>
        </w:rPr>
        <w:t xml:space="preserve">fee and </w:t>
      </w:r>
      <w:r w:rsidRPr="002F4954">
        <w:rPr>
          <w:rFonts w:asciiTheme="minorHAnsi" w:eastAsiaTheme="minorEastAsia" w:hAnsiTheme="minorHAnsi" w:cstheme="minorHAnsi"/>
          <w:szCs w:val="24"/>
          <w:lang w:eastAsia="zh-CN"/>
        </w:rPr>
        <w:t xml:space="preserve">the </w:t>
      </w:r>
      <w:r w:rsidRPr="002F4954">
        <w:rPr>
          <w:rFonts w:asciiTheme="minorHAnsi" w:eastAsiaTheme="minorEastAsia" w:hAnsiTheme="minorHAnsi" w:cstheme="minorHAnsi"/>
          <w:szCs w:val="24"/>
        </w:rPr>
        <w:t>annual maintenance fee</w:t>
      </w:r>
      <w:r w:rsidRPr="002F4954">
        <w:rPr>
          <w:rFonts w:asciiTheme="minorHAnsi" w:eastAsiaTheme="minorEastAsia" w:hAnsiTheme="minorHAnsi" w:cstheme="minorHAnsi"/>
          <w:szCs w:val="24"/>
          <w:lang w:eastAsia="zh-CN"/>
        </w:rPr>
        <w:t xml:space="preserve"> for the year of registration</w:t>
      </w:r>
      <w:r w:rsidRPr="002F4954">
        <w:rPr>
          <w:rFonts w:asciiTheme="minorHAnsi" w:eastAsiaTheme="minorEastAsia" w:hAnsiTheme="minorHAnsi" w:cstheme="minorHAnsi"/>
          <w:szCs w:val="24"/>
        </w:rPr>
        <w:t xml:space="preserve">. This means </w:t>
      </w:r>
      <w:r w:rsidRPr="002F4954">
        <w:rPr>
          <w:rFonts w:asciiTheme="minorHAnsi" w:eastAsiaTheme="minorEastAsia" w:hAnsiTheme="minorHAnsi" w:cstheme="minorHAnsi"/>
          <w:szCs w:val="24"/>
          <w:lang w:eastAsia="zh-CN"/>
        </w:rPr>
        <w:t xml:space="preserve">that </w:t>
      </w:r>
      <w:r w:rsidRPr="002F4954">
        <w:rPr>
          <w:rFonts w:asciiTheme="minorHAnsi" w:eastAsiaTheme="minorEastAsia" w:hAnsiTheme="minorHAnsi" w:cstheme="minorHAnsi"/>
          <w:szCs w:val="24"/>
        </w:rPr>
        <w:t xml:space="preserve">for each newly registered IIN, </w:t>
      </w:r>
      <w:r w:rsidRPr="002F4954">
        <w:rPr>
          <w:rFonts w:asciiTheme="minorHAnsi" w:eastAsiaTheme="minorEastAsia" w:hAnsiTheme="minorHAnsi" w:cstheme="minorHAnsi"/>
          <w:szCs w:val="24"/>
          <w:lang w:eastAsia="zh-CN"/>
        </w:rPr>
        <w:t xml:space="preserve">the </w:t>
      </w:r>
      <w:r w:rsidRPr="002F4954">
        <w:rPr>
          <w:rFonts w:asciiTheme="minorHAnsi" w:eastAsiaTheme="minorEastAsia" w:hAnsiTheme="minorHAnsi" w:cstheme="minorHAnsi"/>
          <w:szCs w:val="24"/>
        </w:rPr>
        <w:t xml:space="preserve">annual maintenance fee for the </w:t>
      </w:r>
      <w:r w:rsidRPr="002F4954">
        <w:rPr>
          <w:rFonts w:asciiTheme="minorHAnsi" w:eastAsiaTheme="minorEastAsia" w:hAnsiTheme="minorHAnsi" w:cstheme="minorHAnsi"/>
          <w:szCs w:val="24"/>
          <w:lang w:eastAsia="zh-CN"/>
        </w:rPr>
        <w:t xml:space="preserve">corresponding </w:t>
      </w:r>
      <w:r w:rsidRPr="002F4954">
        <w:rPr>
          <w:rFonts w:asciiTheme="minorHAnsi" w:eastAsiaTheme="minorEastAsia" w:hAnsiTheme="minorHAnsi" w:cstheme="minorHAnsi"/>
          <w:szCs w:val="24"/>
        </w:rPr>
        <w:t xml:space="preserve">year </w:t>
      </w:r>
      <w:r w:rsidRPr="002F4954">
        <w:rPr>
          <w:rFonts w:asciiTheme="minorHAnsi" w:eastAsiaTheme="minorEastAsia" w:hAnsiTheme="minorHAnsi" w:cstheme="minorHAnsi"/>
          <w:szCs w:val="24"/>
          <w:lang w:eastAsia="zh-CN"/>
        </w:rPr>
        <w:t xml:space="preserve">has been </w:t>
      </w:r>
      <w:proofErr w:type="gramStart"/>
      <w:r w:rsidRPr="002F4954">
        <w:rPr>
          <w:rFonts w:asciiTheme="minorHAnsi" w:eastAsiaTheme="minorEastAsia" w:hAnsiTheme="minorHAnsi" w:cstheme="minorHAnsi"/>
          <w:szCs w:val="24"/>
        </w:rPr>
        <w:t xml:space="preserve">collected </w:t>
      </w:r>
      <w:r w:rsidRPr="002F4954">
        <w:rPr>
          <w:rFonts w:asciiTheme="minorHAnsi" w:eastAsiaTheme="minorEastAsia" w:hAnsiTheme="minorHAnsi" w:cstheme="minorHAnsi"/>
          <w:szCs w:val="24"/>
          <w:lang w:eastAsia="zh-CN"/>
        </w:rPr>
        <w:t>together</w:t>
      </w:r>
      <w:proofErr w:type="gramEnd"/>
      <w:r w:rsidRPr="002F4954">
        <w:rPr>
          <w:rFonts w:asciiTheme="minorHAnsi" w:eastAsiaTheme="minorEastAsia" w:hAnsiTheme="minorHAnsi" w:cstheme="minorHAnsi"/>
          <w:szCs w:val="24"/>
          <w:lang w:eastAsia="zh-CN"/>
        </w:rPr>
        <w:t xml:space="preserve"> </w:t>
      </w:r>
      <w:r w:rsidRPr="002F4954">
        <w:rPr>
          <w:rFonts w:asciiTheme="minorHAnsi" w:eastAsiaTheme="minorEastAsia" w:hAnsiTheme="minorHAnsi" w:cstheme="minorHAnsi"/>
          <w:szCs w:val="24"/>
        </w:rPr>
        <w:t xml:space="preserve">with the one-time </w:t>
      </w:r>
      <w:r w:rsidRPr="002F4954">
        <w:rPr>
          <w:rFonts w:asciiTheme="minorHAnsi" w:eastAsiaTheme="minorEastAsia" w:hAnsiTheme="minorHAnsi" w:cstheme="minorHAnsi"/>
          <w:szCs w:val="24"/>
          <w:lang w:eastAsia="zh-CN"/>
        </w:rPr>
        <w:t xml:space="preserve">registration </w:t>
      </w:r>
      <w:r w:rsidRPr="002F4954">
        <w:rPr>
          <w:rFonts w:asciiTheme="minorHAnsi" w:eastAsiaTheme="minorEastAsia" w:hAnsiTheme="minorHAnsi" w:cstheme="minorHAnsi"/>
          <w:szCs w:val="24"/>
        </w:rPr>
        <w:t xml:space="preserve">fee, </w:t>
      </w:r>
      <w:r w:rsidRPr="002F4954">
        <w:rPr>
          <w:rFonts w:asciiTheme="minorHAnsi" w:eastAsiaTheme="minorEastAsia" w:hAnsiTheme="minorHAnsi" w:cstheme="minorHAnsi"/>
          <w:szCs w:val="24"/>
          <w:lang w:eastAsia="zh-CN"/>
        </w:rPr>
        <w:t xml:space="preserve">amounting to a total of </w:t>
      </w:r>
      <w:r w:rsidR="009E5D2F">
        <w:rPr>
          <w:rFonts w:asciiTheme="minorHAnsi" w:eastAsiaTheme="minorEastAsia" w:hAnsiTheme="minorHAnsi" w:cstheme="minorHAnsi"/>
          <w:szCs w:val="24"/>
          <w:lang w:eastAsia="zh-CN"/>
        </w:rPr>
        <w:t>CHF </w:t>
      </w:r>
      <w:r w:rsidRPr="002F4954">
        <w:rPr>
          <w:rFonts w:asciiTheme="minorHAnsi" w:eastAsiaTheme="minorEastAsia" w:hAnsiTheme="minorHAnsi" w:cstheme="minorHAnsi"/>
          <w:szCs w:val="24"/>
        </w:rPr>
        <w:t xml:space="preserve">250 </w:t>
      </w:r>
      <w:r w:rsidRPr="002F4954">
        <w:rPr>
          <w:rFonts w:asciiTheme="minorHAnsi" w:eastAsiaTheme="minorEastAsia" w:hAnsiTheme="minorHAnsi" w:cstheme="minorHAnsi"/>
          <w:szCs w:val="24"/>
          <w:lang w:eastAsia="zh-CN"/>
        </w:rPr>
        <w:t>per</w:t>
      </w:r>
      <w:r w:rsidRPr="002F4954">
        <w:rPr>
          <w:rFonts w:asciiTheme="minorHAnsi" w:eastAsiaTheme="minorEastAsia" w:hAnsiTheme="minorHAnsi" w:cstheme="minorHAnsi"/>
          <w:szCs w:val="24"/>
        </w:rPr>
        <w:t xml:space="preserve"> IIN. </w:t>
      </w:r>
    </w:p>
    <w:p w14:paraId="24DBD10A" w14:textId="77777777" w:rsidR="002F4954" w:rsidRPr="002F4954" w:rsidRDefault="002F4954" w:rsidP="00CB3182">
      <w:pPr>
        <w:tabs>
          <w:tab w:val="clear" w:pos="567"/>
          <w:tab w:val="clear" w:pos="1134"/>
          <w:tab w:val="clear" w:pos="1701"/>
          <w:tab w:val="clear" w:pos="2268"/>
          <w:tab w:val="clear" w:pos="2835"/>
        </w:tabs>
        <w:spacing w:after="120"/>
        <w:jc w:val="both"/>
        <w:rPr>
          <w:rFonts w:asciiTheme="minorHAnsi" w:eastAsiaTheme="minorEastAsia" w:hAnsiTheme="minorHAnsi" w:cstheme="minorHAnsi"/>
          <w:szCs w:val="24"/>
        </w:rPr>
      </w:pPr>
      <w:r w:rsidRPr="002F4954">
        <w:rPr>
          <w:rFonts w:asciiTheme="minorHAnsi" w:eastAsiaTheme="minorEastAsia" w:hAnsiTheme="minorHAnsi" w:cstheme="minorHAnsi"/>
          <w:szCs w:val="24"/>
          <w:lang w:eastAsia="zh-CN"/>
        </w:rPr>
        <w:t>However,</w:t>
      </w:r>
      <w:r w:rsidRPr="002F4954">
        <w:rPr>
          <w:rFonts w:asciiTheme="minorHAnsi" w:eastAsiaTheme="minorEastAsia" w:hAnsiTheme="minorHAnsi" w:cstheme="minorHAnsi"/>
          <w:szCs w:val="24"/>
        </w:rPr>
        <w:t xml:space="preserve"> due to the following </w:t>
      </w:r>
      <w:r w:rsidRPr="002F4954">
        <w:rPr>
          <w:rFonts w:asciiTheme="minorHAnsi" w:eastAsiaTheme="minorEastAsia" w:hAnsiTheme="minorHAnsi" w:cstheme="minorHAnsi"/>
          <w:szCs w:val="24"/>
          <w:lang w:eastAsia="zh-CN"/>
        </w:rPr>
        <w:t>challenges</w:t>
      </w:r>
      <w:r w:rsidRPr="002F4954">
        <w:rPr>
          <w:rFonts w:asciiTheme="minorHAnsi" w:eastAsiaTheme="minorEastAsia" w:hAnsiTheme="minorHAnsi" w:cstheme="minorHAnsi"/>
          <w:szCs w:val="24"/>
        </w:rPr>
        <w:t xml:space="preserve">, invoices for annual maintenance fees have not been generated—neither for IINs registered before 2018 nor for IINs registered after 2018 for the years following their registration: </w:t>
      </w:r>
    </w:p>
    <w:p w14:paraId="1FEF3FE1" w14:textId="6FCC392F" w:rsidR="002F4954" w:rsidRPr="002F4954" w:rsidRDefault="002F4954" w:rsidP="00CB3182">
      <w:pPr>
        <w:tabs>
          <w:tab w:val="clear" w:pos="567"/>
          <w:tab w:val="clear" w:pos="1134"/>
          <w:tab w:val="clear" w:pos="1701"/>
          <w:tab w:val="clear" w:pos="2268"/>
          <w:tab w:val="clear" w:pos="2835"/>
        </w:tabs>
        <w:spacing w:before="240" w:after="120"/>
        <w:jc w:val="both"/>
        <w:rPr>
          <w:rFonts w:asciiTheme="minorHAnsi" w:eastAsiaTheme="minorEastAsia" w:hAnsiTheme="minorHAnsi" w:cstheme="minorHAnsi"/>
          <w:szCs w:val="24"/>
          <w:lang w:eastAsia="zh-CN"/>
        </w:rPr>
      </w:pPr>
      <w:r w:rsidRPr="002F4954">
        <w:rPr>
          <w:rFonts w:asciiTheme="minorHAnsi" w:eastAsiaTheme="minorEastAsia" w:hAnsiTheme="minorHAnsi" w:cstheme="minorHAnsi"/>
          <w:b/>
          <w:bCs/>
          <w:szCs w:val="24"/>
          <w:lang w:eastAsia="zh-CN"/>
        </w:rPr>
        <w:t>2.1</w:t>
      </w:r>
      <w:r w:rsidR="00CB3182" w:rsidRPr="00CB3182">
        <w:rPr>
          <w:rFonts w:asciiTheme="minorHAnsi" w:eastAsiaTheme="minorEastAsia" w:hAnsiTheme="minorHAnsi" w:cstheme="minorHAnsi"/>
          <w:b/>
          <w:bCs/>
          <w:szCs w:val="24"/>
          <w:lang w:eastAsia="zh-CN"/>
        </w:rPr>
        <w:tab/>
      </w:r>
      <w:r w:rsidRPr="002F4954">
        <w:rPr>
          <w:rFonts w:asciiTheme="minorHAnsi" w:eastAsiaTheme="minorEastAsia" w:hAnsiTheme="minorHAnsi" w:cstheme="minorHAnsi"/>
          <w:b/>
          <w:bCs/>
          <w:szCs w:val="24"/>
          <w:lang w:eastAsia="zh-CN"/>
        </w:rPr>
        <w:t>Challenges in Collecting Maintenance Fees</w:t>
      </w:r>
    </w:p>
    <w:p w14:paraId="38726D03" w14:textId="6D8BFFCA" w:rsidR="002F4954" w:rsidRPr="002F4954" w:rsidRDefault="002F4954" w:rsidP="00CB3182">
      <w:pPr>
        <w:tabs>
          <w:tab w:val="clear" w:pos="567"/>
          <w:tab w:val="clear" w:pos="1134"/>
          <w:tab w:val="clear" w:pos="1701"/>
          <w:tab w:val="clear" w:pos="2268"/>
          <w:tab w:val="clear" w:pos="2835"/>
        </w:tabs>
        <w:spacing w:after="120"/>
        <w:ind w:left="1418" w:hanging="709"/>
        <w:jc w:val="both"/>
        <w:rPr>
          <w:rFonts w:asciiTheme="minorHAnsi" w:eastAsiaTheme="minorEastAsia" w:hAnsiTheme="minorHAnsi" w:cstheme="minorHAnsi"/>
          <w:b/>
          <w:bCs/>
          <w:szCs w:val="24"/>
        </w:rPr>
      </w:pPr>
      <w:r w:rsidRPr="002F4954">
        <w:rPr>
          <w:rFonts w:asciiTheme="minorHAnsi" w:eastAsiaTheme="minorEastAsia" w:hAnsiTheme="minorHAnsi" w:cstheme="minorHAnsi"/>
          <w:b/>
          <w:bCs/>
          <w:szCs w:val="24"/>
        </w:rPr>
        <w:t>2.1.</w:t>
      </w:r>
      <w:r w:rsidRPr="002F4954">
        <w:rPr>
          <w:rFonts w:asciiTheme="minorHAnsi" w:eastAsiaTheme="minorEastAsia" w:hAnsiTheme="minorHAnsi" w:cstheme="minorHAnsi"/>
          <w:b/>
          <w:bCs/>
          <w:szCs w:val="24"/>
          <w:lang w:eastAsia="zh-CN"/>
        </w:rPr>
        <w:t>1</w:t>
      </w:r>
      <w:r w:rsidR="00CB3182">
        <w:rPr>
          <w:rFonts w:asciiTheme="minorHAnsi" w:eastAsiaTheme="minorEastAsia" w:hAnsiTheme="minorHAnsi" w:cstheme="minorHAnsi"/>
          <w:b/>
          <w:bCs/>
          <w:szCs w:val="24"/>
        </w:rPr>
        <w:tab/>
      </w:r>
      <w:r w:rsidRPr="002F4954">
        <w:rPr>
          <w:rFonts w:asciiTheme="minorHAnsi" w:eastAsiaTheme="minorEastAsia" w:hAnsiTheme="minorHAnsi" w:cstheme="minorHAnsi"/>
          <w:b/>
          <w:bCs/>
          <w:szCs w:val="24"/>
        </w:rPr>
        <w:t>Limited confirmed contact information for IIN records</w:t>
      </w:r>
    </w:p>
    <w:p w14:paraId="18CCD081" w14:textId="760586BE" w:rsidR="002F4954" w:rsidRPr="002F4954" w:rsidRDefault="002F4954" w:rsidP="00CB3182">
      <w:pPr>
        <w:tabs>
          <w:tab w:val="clear" w:pos="567"/>
          <w:tab w:val="clear" w:pos="1134"/>
          <w:tab w:val="clear" w:pos="1701"/>
          <w:tab w:val="clear" w:pos="2268"/>
          <w:tab w:val="clear" w:pos="2835"/>
        </w:tabs>
        <w:spacing w:after="120"/>
        <w:ind w:left="709"/>
        <w:jc w:val="both"/>
        <w:rPr>
          <w:rFonts w:asciiTheme="minorHAnsi" w:eastAsiaTheme="minorEastAsia" w:hAnsiTheme="minorHAnsi" w:cstheme="minorHAnsi"/>
          <w:szCs w:val="24"/>
        </w:rPr>
      </w:pPr>
      <w:r w:rsidRPr="002F4954">
        <w:rPr>
          <w:rFonts w:asciiTheme="minorHAnsi" w:eastAsiaTheme="minorEastAsia" w:hAnsiTheme="minorHAnsi" w:cstheme="minorHAnsi"/>
          <w:b/>
          <w:bCs/>
          <w:szCs w:val="24"/>
          <w:lang w:eastAsia="zh-CN"/>
        </w:rPr>
        <w:t>Scale of Records.</w:t>
      </w:r>
      <w:r w:rsidRPr="002F4954">
        <w:rPr>
          <w:rFonts w:asciiTheme="minorHAnsi" w:eastAsiaTheme="minorEastAsia" w:hAnsiTheme="minorHAnsi" w:cstheme="minorHAnsi"/>
          <w:szCs w:val="24"/>
          <w:lang w:eastAsia="zh-CN"/>
        </w:rPr>
        <w:t xml:space="preserve"> </w:t>
      </w:r>
      <w:r w:rsidRPr="002F4954">
        <w:rPr>
          <w:rFonts w:asciiTheme="minorHAnsi" w:eastAsiaTheme="minorEastAsia" w:hAnsiTheme="minorHAnsi" w:cstheme="minorHAnsi"/>
          <w:szCs w:val="24"/>
        </w:rPr>
        <w:t>As of 15</w:t>
      </w:r>
      <w:r w:rsidRPr="002F4954">
        <w:rPr>
          <w:rFonts w:asciiTheme="minorHAnsi" w:eastAsiaTheme="minorEastAsia" w:hAnsiTheme="minorHAnsi" w:cstheme="minorHAnsi"/>
          <w:szCs w:val="24"/>
          <w:lang w:eastAsia="zh-CN"/>
        </w:rPr>
        <w:t xml:space="preserve"> </w:t>
      </w:r>
      <w:r w:rsidRPr="002F4954">
        <w:rPr>
          <w:rFonts w:asciiTheme="minorHAnsi" w:eastAsiaTheme="minorEastAsia" w:hAnsiTheme="minorHAnsi" w:cstheme="minorHAnsi"/>
          <w:szCs w:val="24"/>
        </w:rPr>
        <w:t xml:space="preserve">December 2024, the ITU database contains 917 IIN records, as illustrated in the figure below. Of these, only 58% have confirmed contact information. </w:t>
      </w:r>
    </w:p>
    <w:p w14:paraId="04679220" w14:textId="77777777" w:rsidR="002F4954" w:rsidRPr="002F4954" w:rsidRDefault="002F4954" w:rsidP="00CB3182">
      <w:pPr>
        <w:tabs>
          <w:tab w:val="clear" w:pos="567"/>
          <w:tab w:val="clear" w:pos="1134"/>
          <w:tab w:val="clear" w:pos="1701"/>
          <w:tab w:val="clear" w:pos="2268"/>
          <w:tab w:val="clear" w:pos="2835"/>
        </w:tabs>
        <w:spacing w:after="120"/>
        <w:ind w:left="709"/>
        <w:jc w:val="both"/>
        <w:rPr>
          <w:rFonts w:asciiTheme="minorHAnsi" w:eastAsiaTheme="minorEastAsia" w:hAnsiTheme="minorHAnsi" w:cstheme="minorHAnsi"/>
          <w:szCs w:val="24"/>
        </w:rPr>
      </w:pPr>
      <w:r w:rsidRPr="002F4954">
        <w:rPr>
          <w:rFonts w:asciiTheme="minorHAnsi" w:eastAsiaTheme="minorEastAsia" w:hAnsiTheme="minorHAnsi" w:cstheme="minorHAnsi"/>
          <w:b/>
          <w:bCs/>
          <w:szCs w:val="24"/>
          <w:lang w:eastAsia="zh-CN"/>
        </w:rPr>
        <w:t>Assistance</w:t>
      </w:r>
      <w:r w:rsidRPr="002F4954">
        <w:rPr>
          <w:rFonts w:asciiTheme="minorHAnsi" w:eastAsiaTheme="minorEastAsia" w:hAnsiTheme="minorHAnsi" w:cstheme="minorHAnsi"/>
          <w:b/>
          <w:bCs/>
          <w:szCs w:val="24"/>
        </w:rPr>
        <w:t xml:space="preserve"> to Update Records</w:t>
      </w:r>
      <w:r w:rsidRPr="002F4954">
        <w:rPr>
          <w:rFonts w:asciiTheme="minorHAnsi" w:eastAsiaTheme="minorEastAsia" w:hAnsiTheme="minorHAnsi" w:cstheme="minorHAnsi"/>
          <w:b/>
          <w:bCs/>
          <w:szCs w:val="24"/>
          <w:lang w:eastAsia="zh-CN"/>
        </w:rPr>
        <w:t>.</w:t>
      </w:r>
      <w:r w:rsidRPr="002F4954">
        <w:rPr>
          <w:rFonts w:asciiTheme="minorHAnsi" w:eastAsiaTheme="minorEastAsia" w:hAnsiTheme="minorHAnsi" w:cstheme="minorHAnsi"/>
          <w:szCs w:val="24"/>
          <w:lang w:eastAsia="zh-CN"/>
        </w:rPr>
        <w:t xml:space="preserve"> </w:t>
      </w:r>
      <w:r w:rsidRPr="002F4954">
        <w:rPr>
          <w:rFonts w:asciiTheme="minorHAnsi" w:eastAsiaTheme="minorEastAsia" w:hAnsiTheme="minorHAnsi" w:cstheme="minorHAnsi"/>
          <w:szCs w:val="24"/>
        </w:rPr>
        <w:t>National Administrations, regulators, and authorized agencies have been encouraged to assist in updating the status and contact information of these records. Despite these efforts, few updates have been received over the years.</w:t>
      </w:r>
    </w:p>
    <w:p w14:paraId="61B80F41" w14:textId="2A189790" w:rsidR="002F4954" w:rsidRPr="002F4954" w:rsidRDefault="002F4954" w:rsidP="00CB3182">
      <w:pPr>
        <w:tabs>
          <w:tab w:val="clear" w:pos="567"/>
          <w:tab w:val="clear" w:pos="1134"/>
          <w:tab w:val="clear" w:pos="1701"/>
          <w:tab w:val="clear" w:pos="2268"/>
          <w:tab w:val="clear" w:pos="2835"/>
        </w:tabs>
        <w:spacing w:after="120"/>
        <w:ind w:left="709"/>
        <w:jc w:val="both"/>
        <w:rPr>
          <w:rFonts w:asciiTheme="minorHAnsi" w:eastAsiaTheme="minorEastAsia" w:hAnsiTheme="minorHAnsi" w:cstheme="minorHAnsi"/>
          <w:szCs w:val="24"/>
        </w:rPr>
      </w:pPr>
      <w:r w:rsidRPr="002F4954">
        <w:rPr>
          <w:rFonts w:asciiTheme="minorHAnsi" w:eastAsiaTheme="minorEastAsia" w:hAnsiTheme="minorHAnsi" w:cstheme="minorHAnsi"/>
          <w:b/>
          <w:bCs/>
          <w:szCs w:val="24"/>
          <w:lang w:eastAsia="zh-CN"/>
        </w:rPr>
        <w:t>Status Marking.</w:t>
      </w:r>
      <w:r w:rsidRPr="002F4954">
        <w:rPr>
          <w:rFonts w:asciiTheme="minorHAnsi" w:eastAsiaTheme="minorEastAsia" w:hAnsiTheme="minorHAnsi" w:cstheme="minorHAnsi"/>
          <w:szCs w:val="24"/>
          <w:lang w:eastAsia="zh-CN"/>
        </w:rPr>
        <w:t xml:space="preserve"> In accordance with recommendations approved by Council 2019 (</w:t>
      </w:r>
      <w:r w:rsidRPr="002F4954">
        <w:rPr>
          <w:rFonts w:asciiTheme="minorHAnsi" w:eastAsiaTheme="minorEastAsia" w:hAnsiTheme="minorHAnsi" w:cstheme="minorHAnsi"/>
          <w:lang w:val="en-US"/>
        </w:rPr>
        <w:t xml:space="preserve">document </w:t>
      </w:r>
      <w:hyperlink r:id="rId21" w:history="1">
        <w:r w:rsidRPr="002F4954">
          <w:rPr>
            <w:rFonts w:asciiTheme="minorHAnsi" w:eastAsiaTheme="minorEastAsia" w:hAnsiTheme="minorHAnsi" w:cstheme="minorHAnsi"/>
            <w:color w:val="0563C1"/>
            <w:u w:val="single"/>
          </w:rPr>
          <w:t>C19/120</w:t>
        </w:r>
      </w:hyperlink>
      <w:r w:rsidRPr="002F4954">
        <w:rPr>
          <w:rFonts w:asciiTheme="minorHAnsi" w:eastAsiaTheme="minorEastAsia" w:hAnsiTheme="minorHAnsi" w:cstheme="minorHAnsi"/>
          <w:lang w:eastAsia="zh-CN"/>
        </w:rPr>
        <w:t>)</w:t>
      </w:r>
      <w:r w:rsidRPr="002F4954">
        <w:rPr>
          <w:rFonts w:asciiTheme="minorHAnsi" w:eastAsiaTheme="minorEastAsia" w:hAnsiTheme="minorHAnsi" w:cstheme="minorHAnsi"/>
          <w:szCs w:val="24"/>
          <w:lang w:eastAsia="zh-CN"/>
        </w:rPr>
        <w:t xml:space="preserve">, </w:t>
      </w:r>
      <w:r w:rsidRPr="002F4954">
        <w:rPr>
          <w:rFonts w:asciiTheme="minorHAnsi" w:eastAsiaTheme="minorEastAsia" w:hAnsiTheme="minorHAnsi" w:cstheme="minorHAnsi"/>
          <w:szCs w:val="24"/>
        </w:rPr>
        <w:t>IIN records without confirmed contact information have been marked as "contact_not_reachable" in the ITU database.</w:t>
      </w:r>
    </w:p>
    <w:p w14:paraId="6D2E2C78" w14:textId="77777777" w:rsidR="002F4954" w:rsidRPr="002F4954" w:rsidRDefault="002F4954" w:rsidP="00CB3182">
      <w:pPr>
        <w:tabs>
          <w:tab w:val="clear" w:pos="567"/>
          <w:tab w:val="clear" w:pos="1134"/>
          <w:tab w:val="clear" w:pos="1701"/>
          <w:tab w:val="clear" w:pos="2268"/>
          <w:tab w:val="clear" w:pos="2835"/>
        </w:tabs>
        <w:spacing w:before="240" w:after="240"/>
        <w:ind w:left="90"/>
        <w:jc w:val="center"/>
        <w:rPr>
          <w:rFonts w:asciiTheme="minorHAnsi" w:eastAsiaTheme="minorEastAsia" w:hAnsiTheme="minorHAnsi" w:cstheme="minorHAnsi"/>
        </w:rPr>
      </w:pPr>
      <w:r w:rsidRPr="002F4954">
        <w:rPr>
          <w:rFonts w:asciiTheme="minorHAnsi" w:eastAsiaTheme="minorEastAsia" w:hAnsiTheme="minorHAnsi" w:cstheme="minorHAnsi"/>
          <w:noProof/>
        </w:rPr>
        <w:lastRenderedPageBreak/>
        <w:drawing>
          <wp:inline distT="0" distB="0" distL="0" distR="0" wp14:anchorId="3E5C6554" wp14:editId="1CD0C951">
            <wp:extent cx="4705350" cy="2657475"/>
            <wp:effectExtent l="0" t="0" r="0" b="9525"/>
            <wp:docPr id="1920923518" name="Chart 1">
              <a:extLst xmlns:a="http://schemas.openxmlformats.org/drawingml/2006/main">
                <a:ext uri="{FF2B5EF4-FFF2-40B4-BE49-F238E27FC236}">
                  <a16:creationId xmlns:a16="http://schemas.microsoft.com/office/drawing/2014/main" id="{AEE98700-8A29-9569-809C-771618055D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F6CDB1A" w14:textId="77777777" w:rsidR="002F4954" w:rsidRPr="002F4954" w:rsidRDefault="002F4954" w:rsidP="00CB3182">
      <w:pPr>
        <w:tabs>
          <w:tab w:val="clear" w:pos="567"/>
          <w:tab w:val="clear" w:pos="1134"/>
          <w:tab w:val="clear" w:pos="1701"/>
          <w:tab w:val="clear" w:pos="2268"/>
          <w:tab w:val="clear" w:pos="2835"/>
        </w:tabs>
        <w:ind w:left="720"/>
        <w:rPr>
          <w:rFonts w:asciiTheme="minorHAnsi" w:eastAsiaTheme="minorEastAsia" w:hAnsiTheme="minorHAnsi" w:cstheme="minorHAnsi"/>
          <w:sz w:val="20"/>
        </w:rPr>
      </w:pPr>
      <w:r w:rsidRPr="002F4954">
        <w:rPr>
          <w:rFonts w:asciiTheme="minorHAnsi" w:eastAsiaTheme="minorEastAsia" w:hAnsiTheme="minorHAnsi" w:cstheme="minorHAnsi"/>
          <w:sz w:val="20"/>
        </w:rPr>
        <w:t>Note: the number of IIN records for the countries listed in the above figure include geographic areas under their Administrations.</w:t>
      </w:r>
    </w:p>
    <w:p w14:paraId="2E1E3050" w14:textId="77777777" w:rsidR="002F4954" w:rsidRPr="002F4954" w:rsidRDefault="002F4954" w:rsidP="00CB3182">
      <w:pPr>
        <w:tabs>
          <w:tab w:val="clear" w:pos="567"/>
          <w:tab w:val="clear" w:pos="1134"/>
          <w:tab w:val="clear" w:pos="1701"/>
          <w:tab w:val="clear" w:pos="2268"/>
          <w:tab w:val="clear" w:pos="2835"/>
        </w:tabs>
        <w:spacing w:before="0" w:after="120"/>
        <w:ind w:left="720"/>
        <w:jc w:val="both"/>
        <w:rPr>
          <w:rFonts w:asciiTheme="minorHAnsi" w:eastAsiaTheme="minorEastAsia" w:hAnsiTheme="minorHAnsi" w:cstheme="minorHAnsi"/>
          <w:szCs w:val="24"/>
        </w:rPr>
      </w:pPr>
    </w:p>
    <w:p w14:paraId="57304BEC" w14:textId="2EE0DB53" w:rsidR="002F4954" w:rsidRPr="002F4954" w:rsidRDefault="002F4954" w:rsidP="00CB3182">
      <w:pPr>
        <w:tabs>
          <w:tab w:val="clear" w:pos="567"/>
          <w:tab w:val="clear" w:pos="1134"/>
          <w:tab w:val="clear" w:pos="1701"/>
          <w:tab w:val="clear" w:pos="2268"/>
          <w:tab w:val="clear" w:pos="2835"/>
        </w:tabs>
        <w:spacing w:after="120"/>
        <w:ind w:left="1418" w:hanging="698"/>
        <w:jc w:val="both"/>
        <w:rPr>
          <w:rFonts w:asciiTheme="minorHAnsi" w:eastAsiaTheme="minorEastAsia" w:hAnsiTheme="minorHAnsi" w:cstheme="minorHAnsi"/>
          <w:b/>
          <w:bCs/>
          <w:szCs w:val="24"/>
        </w:rPr>
      </w:pPr>
      <w:r w:rsidRPr="002F4954">
        <w:rPr>
          <w:rFonts w:asciiTheme="minorHAnsi" w:eastAsiaTheme="minorEastAsia" w:hAnsiTheme="minorHAnsi" w:cstheme="minorHAnsi"/>
          <w:b/>
          <w:bCs/>
          <w:szCs w:val="24"/>
        </w:rPr>
        <w:t>2.</w:t>
      </w:r>
      <w:r w:rsidRPr="002F4954">
        <w:rPr>
          <w:rFonts w:asciiTheme="minorHAnsi" w:eastAsiaTheme="minorEastAsia" w:hAnsiTheme="minorHAnsi" w:cstheme="minorHAnsi"/>
          <w:b/>
          <w:bCs/>
          <w:szCs w:val="24"/>
          <w:lang w:eastAsia="zh-CN"/>
        </w:rPr>
        <w:t>1.</w:t>
      </w:r>
      <w:r w:rsidRPr="002F4954">
        <w:rPr>
          <w:rFonts w:asciiTheme="minorHAnsi" w:eastAsiaTheme="minorEastAsia" w:hAnsiTheme="minorHAnsi" w:cstheme="minorHAnsi"/>
          <w:b/>
          <w:bCs/>
          <w:szCs w:val="24"/>
        </w:rPr>
        <w:t xml:space="preserve">2 </w:t>
      </w:r>
      <w:r w:rsidR="00CB3182">
        <w:rPr>
          <w:rFonts w:asciiTheme="minorHAnsi" w:eastAsiaTheme="minorEastAsia" w:hAnsiTheme="minorHAnsi" w:cstheme="minorHAnsi"/>
          <w:b/>
          <w:bCs/>
          <w:szCs w:val="24"/>
        </w:rPr>
        <w:tab/>
      </w:r>
      <w:r w:rsidRPr="002F4954">
        <w:rPr>
          <w:rFonts w:asciiTheme="minorHAnsi" w:eastAsiaTheme="minorEastAsia" w:hAnsiTheme="minorHAnsi" w:cstheme="minorHAnsi"/>
          <w:b/>
          <w:bCs/>
          <w:szCs w:val="24"/>
        </w:rPr>
        <w:t xml:space="preserve">Contact information for registration purposes does not meet requirements for annual billing </w:t>
      </w:r>
    </w:p>
    <w:p w14:paraId="72DD74EC" w14:textId="5A13E1B4" w:rsidR="002F4954" w:rsidRPr="002F4954" w:rsidRDefault="002F4954" w:rsidP="00CB3182">
      <w:pPr>
        <w:tabs>
          <w:tab w:val="clear" w:pos="567"/>
          <w:tab w:val="clear" w:pos="1134"/>
          <w:tab w:val="clear" w:pos="1701"/>
          <w:tab w:val="clear" w:pos="2268"/>
          <w:tab w:val="clear" w:pos="2835"/>
        </w:tabs>
        <w:spacing w:after="120"/>
        <w:ind w:left="720"/>
        <w:jc w:val="both"/>
        <w:rPr>
          <w:rFonts w:asciiTheme="minorHAnsi" w:eastAsiaTheme="minorEastAsia" w:hAnsiTheme="minorHAnsi" w:cstheme="minorHAnsi"/>
          <w:szCs w:val="24"/>
        </w:rPr>
      </w:pPr>
      <w:r w:rsidRPr="002F4954">
        <w:rPr>
          <w:rFonts w:asciiTheme="minorHAnsi" w:eastAsiaTheme="minorEastAsia" w:hAnsiTheme="minorHAnsi" w:cstheme="minorHAnsi"/>
          <w:szCs w:val="24"/>
        </w:rPr>
        <w:t>All the IIN records kept in</w:t>
      </w:r>
      <w:r w:rsidRPr="002F4954">
        <w:rPr>
          <w:rFonts w:asciiTheme="minorHAnsi" w:eastAsiaTheme="minorEastAsia" w:hAnsiTheme="minorHAnsi" w:cstheme="minorHAnsi"/>
          <w:szCs w:val="24"/>
          <w:lang w:eastAsia="zh-CN"/>
        </w:rPr>
        <w:t xml:space="preserve"> the </w:t>
      </w:r>
      <w:r w:rsidRPr="002F4954">
        <w:rPr>
          <w:rFonts w:asciiTheme="minorHAnsi" w:eastAsiaTheme="minorEastAsia" w:hAnsiTheme="minorHAnsi" w:cstheme="minorHAnsi"/>
          <w:szCs w:val="24"/>
        </w:rPr>
        <w:t xml:space="preserve">ITU database were provided by Member States using the registration form specified in </w:t>
      </w:r>
      <w:hyperlink r:id="rId23" w:history="1">
        <w:r w:rsidRPr="002F4954">
          <w:rPr>
            <w:rFonts w:asciiTheme="minorHAnsi" w:eastAsiaTheme="minorEastAsia" w:hAnsiTheme="minorHAnsi" w:cstheme="minorHAnsi"/>
            <w:color w:val="0563C1"/>
            <w:szCs w:val="24"/>
            <w:u w:val="single"/>
          </w:rPr>
          <w:t>Recommendation ITU-T E.118</w:t>
        </w:r>
      </w:hyperlink>
      <w:r w:rsidRPr="002F4954">
        <w:rPr>
          <w:rFonts w:asciiTheme="minorHAnsi" w:eastAsiaTheme="minorEastAsia" w:hAnsiTheme="minorHAnsi" w:cstheme="minorHAnsi"/>
          <w:szCs w:val="24"/>
        </w:rPr>
        <w:t xml:space="preserve">. Consequently, contact names are submitted as full names without separation into first and last names, and titles such as Mr, Ms, or Mrs are not provided. Email addresses are also not mandatory </w:t>
      </w:r>
      <w:r w:rsidRPr="002F4954">
        <w:rPr>
          <w:rFonts w:asciiTheme="minorHAnsi" w:eastAsiaTheme="minorEastAsia" w:hAnsiTheme="minorHAnsi" w:cstheme="minorHAnsi"/>
          <w:szCs w:val="24"/>
          <w:lang w:eastAsia="zh-CN"/>
        </w:rPr>
        <w:t>on</w:t>
      </w:r>
      <w:r w:rsidRPr="002F4954">
        <w:rPr>
          <w:rFonts w:asciiTheme="minorHAnsi" w:eastAsiaTheme="minorEastAsia" w:hAnsiTheme="minorHAnsi" w:cstheme="minorHAnsi"/>
          <w:szCs w:val="24"/>
        </w:rPr>
        <w:t xml:space="preserve"> the registration form. This lack of standardized and complete contact information creates significant challenges in issuing invoices and increases the risk of unpaid bills due to the unreachability of the generated invoices, even for confirmed IINs.</w:t>
      </w:r>
    </w:p>
    <w:p w14:paraId="34DB79EC" w14:textId="6C577033" w:rsidR="002F4954" w:rsidRPr="002F4954" w:rsidRDefault="002F4954" w:rsidP="00CB3182">
      <w:pPr>
        <w:tabs>
          <w:tab w:val="clear" w:pos="567"/>
          <w:tab w:val="clear" w:pos="1134"/>
          <w:tab w:val="clear" w:pos="1701"/>
          <w:tab w:val="clear" w:pos="2268"/>
          <w:tab w:val="clear" w:pos="2835"/>
        </w:tabs>
        <w:spacing w:after="120"/>
        <w:ind w:left="1418" w:hanging="698"/>
        <w:jc w:val="both"/>
        <w:rPr>
          <w:rFonts w:asciiTheme="minorHAnsi" w:eastAsiaTheme="minorEastAsia" w:hAnsiTheme="minorHAnsi" w:cstheme="minorHAnsi"/>
          <w:b/>
          <w:bCs/>
          <w:szCs w:val="24"/>
        </w:rPr>
      </w:pPr>
      <w:r w:rsidRPr="002F4954">
        <w:rPr>
          <w:rFonts w:asciiTheme="minorHAnsi" w:eastAsiaTheme="minorEastAsia" w:hAnsiTheme="minorHAnsi" w:cstheme="minorHAnsi"/>
          <w:b/>
          <w:bCs/>
          <w:szCs w:val="24"/>
        </w:rPr>
        <w:t>2.</w:t>
      </w:r>
      <w:r w:rsidRPr="002F4954">
        <w:rPr>
          <w:rFonts w:asciiTheme="minorHAnsi" w:eastAsiaTheme="minorEastAsia" w:hAnsiTheme="minorHAnsi" w:cstheme="minorHAnsi"/>
          <w:b/>
          <w:bCs/>
          <w:szCs w:val="24"/>
          <w:lang w:eastAsia="zh-CN"/>
        </w:rPr>
        <w:t>1.</w:t>
      </w:r>
      <w:r w:rsidRPr="002F4954">
        <w:rPr>
          <w:rFonts w:asciiTheme="minorHAnsi" w:eastAsiaTheme="minorEastAsia" w:hAnsiTheme="minorHAnsi" w:cstheme="minorHAnsi"/>
          <w:b/>
          <w:bCs/>
          <w:szCs w:val="24"/>
        </w:rPr>
        <w:t>3</w:t>
      </w:r>
      <w:r w:rsidR="00CB3182">
        <w:rPr>
          <w:rFonts w:asciiTheme="minorHAnsi" w:eastAsiaTheme="minorEastAsia" w:hAnsiTheme="minorHAnsi" w:cstheme="minorHAnsi"/>
          <w:b/>
          <w:bCs/>
          <w:szCs w:val="24"/>
        </w:rPr>
        <w:tab/>
      </w:r>
      <w:r w:rsidRPr="002F4954">
        <w:rPr>
          <w:rFonts w:asciiTheme="minorHAnsi" w:eastAsiaTheme="minorEastAsia" w:hAnsiTheme="minorHAnsi" w:cstheme="minorHAnsi"/>
          <w:b/>
          <w:bCs/>
          <w:szCs w:val="24"/>
          <w:lang w:eastAsia="zh-CN"/>
        </w:rPr>
        <w:t>E</w:t>
      </w:r>
      <w:r w:rsidRPr="002F4954">
        <w:rPr>
          <w:rFonts w:asciiTheme="minorHAnsi" w:eastAsiaTheme="minorEastAsia" w:hAnsiTheme="minorHAnsi" w:cstheme="minorHAnsi"/>
          <w:b/>
          <w:bCs/>
          <w:szCs w:val="24"/>
        </w:rPr>
        <w:t>fforts to chase unpaid bills exceed revenue gained</w:t>
      </w:r>
    </w:p>
    <w:p w14:paraId="62E113B2" w14:textId="3B886A8C" w:rsidR="002F4954" w:rsidRPr="002F4954" w:rsidRDefault="002F4954" w:rsidP="00CB3182">
      <w:pPr>
        <w:tabs>
          <w:tab w:val="clear" w:pos="567"/>
          <w:tab w:val="clear" w:pos="1134"/>
          <w:tab w:val="clear" w:pos="1701"/>
          <w:tab w:val="clear" w:pos="2268"/>
          <w:tab w:val="clear" w:pos="2835"/>
        </w:tabs>
        <w:spacing w:after="120"/>
        <w:ind w:left="720"/>
        <w:jc w:val="both"/>
        <w:rPr>
          <w:rFonts w:asciiTheme="minorHAnsi" w:eastAsiaTheme="minorEastAsia" w:hAnsiTheme="minorHAnsi" w:cstheme="minorHAnsi"/>
          <w:szCs w:val="24"/>
        </w:rPr>
      </w:pPr>
      <w:r w:rsidRPr="002F4954">
        <w:rPr>
          <w:rFonts w:asciiTheme="minorHAnsi" w:eastAsiaTheme="minorEastAsia" w:hAnsiTheme="minorHAnsi" w:cstheme="minorHAnsi"/>
          <w:szCs w:val="24"/>
        </w:rPr>
        <w:t xml:space="preserve">Pursuing unpaid bills often requires multiple rounds of reminders and communication. If 20% of confirmed IIN holders fail to pay their invoices, more than 100 entities would need to be traced, generating only </w:t>
      </w:r>
      <w:r w:rsidR="00C65C18">
        <w:rPr>
          <w:rFonts w:asciiTheme="minorHAnsi" w:eastAsiaTheme="minorEastAsia" w:hAnsiTheme="minorHAnsi" w:cstheme="minorHAnsi"/>
          <w:szCs w:val="24"/>
        </w:rPr>
        <w:t>CHF </w:t>
      </w:r>
      <w:r w:rsidRPr="002F4954">
        <w:rPr>
          <w:rFonts w:asciiTheme="minorHAnsi" w:eastAsiaTheme="minorEastAsia" w:hAnsiTheme="minorHAnsi" w:cstheme="minorHAnsi"/>
          <w:szCs w:val="24"/>
        </w:rPr>
        <w:t>10</w:t>
      </w:r>
      <w:r w:rsidR="00C65C18">
        <w:rPr>
          <w:rFonts w:asciiTheme="minorHAnsi" w:eastAsiaTheme="minorEastAsia" w:hAnsiTheme="minorHAnsi" w:cstheme="minorHAnsi"/>
          <w:szCs w:val="24"/>
        </w:rPr>
        <w:t> </w:t>
      </w:r>
      <w:r w:rsidRPr="002F4954">
        <w:rPr>
          <w:rFonts w:asciiTheme="minorHAnsi" w:eastAsiaTheme="minorEastAsia" w:hAnsiTheme="minorHAnsi" w:cstheme="minorHAnsi"/>
          <w:szCs w:val="24"/>
        </w:rPr>
        <w:t xml:space="preserve">000 in revenue. If these entities ultimately do not pay, this </w:t>
      </w:r>
      <w:r w:rsidRPr="002F4954">
        <w:rPr>
          <w:rFonts w:asciiTheme="minorHAnsi" w:eastAsiaTheme="minorEastAsia" w:hAnsiTheme="minorHAnsi" w:cstheme="minorHAnsi"/>
          <w:szCs w:val="24"/>
          <w:lang w:eastAsia="zh-CN"/>
        </w:rPr>
        <w:t xml:space="preserve">will </w:t>
      </w:r>
      <w:r w:rsidRPr="002F4954">
        <w:rPr>
          <w:rFonts w:asciiTheme="minorHAnsi" w:eastAsiaTheme="minorEastAsia" w:hAnsiTheme="minorHAnsi" w:cstheme="minorHAnsi"/>
          <w:szCs w:val="24"/>
        </w:rPr>
        <w:t>create additional administrative burdens and outstanding debts for ITU with little financial return.</w:t>
      </w:r>
    </w:p>
    <w:p w14:paraId="6FBD8002" w14:textId="2D4C8A03" w:rsidR="002F4954" w:rsidRPr="002F4954" w:rsidRDefault="002F4954" w:rsidP="00CB3182">
      <w:pPr>
        <w:tabs>
          <w:tab w:val="clear" w:pos="567"/>
          <w:tab w:val="clear" w:pos="1134"/>
          <w:tab w:val="clear" w:pos="1701"/>
          <w:tab w:val="clear" w:pos="2268"/>
          <w:tab w:val="clear" w:pos="2835"/>
        </w:tabs>
        <w:spacing w:after="120"/>
        <w:ind w:left="1418" w:hanging="698"/>
        <w:jc w:val="both"/>
        <w:rPr>
          <w:rFonts w:asciiTheme="minorHAnsi" w:eastAsiaTheme="minorEastAsia" w:hAnsiTheme="minorHAnsi" w:cstheme="minorHAnsi"/>
          <w:b/>
          <w:bCs/>
          <w:szCs w:val="24"/>
        </w:rPr>
      </w:pPr>
      <w:r w:rsidRPr="002F4954">
        <w:rPr>
          <w:rFonts w:asciiTheme="minorHAnsi" w:eastAsiaTheme="minorEastAsia" w:hAnsiTheme="minorHAnsi" w:cstheme="minorHAnsi"/>
          <w:b/>
          <w:bCs/>
          <w:szCs w:val="24"/>
        </w:rPr>
        <w:t>2.</w:t>
      </w:r>
      <w:r w:rsidRPr="002F4954">
        <w:rPr>
          <w:rFonts w:asciiTheme="minorHAnsi" w:eastAsiaTheme="minorEastAsia" w:hAnsiTheme="minorHAnsi" w:cstheme="minorHAnsi"/>
          <w:b/>
          <w:bCs/>
          <w:szCs w:val="24"/>
          <w:lang w:eastAsia="zh-CN"/>
        </w:rPr>
        <w:t>1.</w:t>
      </w:r>
      <w:r w:rsidRPr="002F4954">
        <w:rPr>
          <w:rFonts w:asciiTheme="minorHAnsi" w:eastAsiaTheme="minorEastAsia" w:hAnsiTheme="minorHAnsi" w:cstheme="minorHAnsi"/>
          <w:b/>
          <w:bCs/>
          <w:szCs w:val="24"/>
        </w:rPr>
        <w:t>4</w:t>
      </w:r>
      <w:r w:rsidR="00CB3182">
        <w:rPr>
          <w:rFonts w:asciiTheme="minorHAnsi" w:eastAsiaTheme="minorEastAsia" w:hAnsiTheme="minorHAnsi" w:cstheme="minorHAnsi"/>
          <w:b/>
          <w:bCs/>
          <w:szCs w:val="24"/>
        </w:rPr>
        <w:tab/>
      </w:r>
      <w:r w:rsidRPr="002F4954">
        <w:rPr>
          <w:rFonts w:asciiTheme="minorHAnsi" w:eastAsiaTheme="minorEastAsia" w:hAnsiTheme="minorHAnsi" w:cstheme="minorHAnsi"/>
          <w:b/>
          <w:bCs/>
          <w:szCs w:val="24"/>
        </w:rPr>
        <w:t xml:space="preserve">ITU lacks authority to reclaim </w:t>
      </w:r>
      <w:r w:rsidRPr="002F4954">
        <w:rPr>
          <w:rFonts w:asciiTheme="minorHAnsi" w:eastAsiaTheme="minorEastAsia" w:hAnsiTheme="minorHAnsi" w:cstheme="minorHAnsi"/>
          <w:b/>
          <w:bCs/>
          <w:szCs w:val="24"/>
          <w:lang w:eastAsia="zh-CN"/>
        </w:rPr>
        <w:t>IIN</w:t>
      </w:r>
      <w:r w:rsidRPr="002F4954">
        <w:rPr>
          <w:rFonts w:asciiTheme="minorHAnsi" w:eastAsiaTheme="minorEastAsia" w:hAnsiTheme="minorHAnsi" w:cstheme="minorHAnsi"/>
          <w:b/>
          <w:bCs/>
          <w:szCs w:val="24"/>
        </w:rPr>
        <w:t>s in cases of non-payment</w:t>
      </w:r>
    </w:p>
    <w:p w14:paraId="53E4BF97" w14:textId="46E80A02" w:rsidR="002F4954" w:rsidRPr="002F4954" w:rsidRDefault="002F4954" w:rsidP="00CB3182">
      <w:pPr>
        <w:tabs>
          <w:tab w:val="clear" w:pos="567"/>
          <w:tab w:val="clear" w:pos="1134"/>
          <w:tab w:val="clear" w:pos="1701"/>
          <w:tab w:val="clear" w:pos="2268"/>
          <w:tab w:val="clear" w:pos="2835"/>
        </w:tabs>
        <w:spacing w:after="120"/>
        <w:ind w:left="720"/>
        <w:jc w:val="both"/>
        <w:rPr>
          <w:rFonts w:asciiTheme="minorHAnsi" w:eastAsiaTheme="minorEastAsia" w:hAnsiTheme="minorHAnsi" w:cstheme="minorHAnsi"/>
          <w:szCs w:val="24"/>
          <w:lang w:eastAsia="zh-CN"/>
        </w:rPr>
      </w:pPr>
      <w:r w:rsidRPr="002F4954">
        <w:rPr>
          <w:rFonts w:asciiTheme="minorHAnsi" w:eastAsiaTheme="minorEastAsia" w:hAnsiTheme="minorHAnsi" w:cstheme="minorHAnsi"/>
          <w:b/>
          <w:bCs/>
          <w:szCs w:val="24"/>
          <w:lang w:eastAsia="zh-CN"/>
        </w:rPr>
        <w:t>ITU’s Role.</w:t>
      </w:r>
      <w:r w:rsidRPr="002F4954">
        <w:rPr>
          <w:rFonts w:asciiTheme="minorHAnsi" w:eastAsiaTheme="minorEastAsia" w:hAnsiTheme="minorHAnsi" w:cstheme="minorHAnsi"/>
          <w:szCs w:val="24"/>
          <w:lang w:eastAsia="zh-CN"/>
        </w:rPr>
        <w:t xml:space="preserve"> According to Recommendation ITU-T E.118, </w:t>
      </w:r>
      <w:r w:rsidR="008976FE">
        <w:rPr>
          <w:rFonts w:asciiTheme="minorHAnsi" w:eastAsiaTheme="minorEastAsia" w:hAnsiTheme="minorHAnsi" w:cstheme="minorHAnsi"/>
          <w:szCs w:val="24"/>
          <w:lang w:eastAsia="zh-CN"/>
        </w:rPr>
        <w:t>t</w:t>
      </w:r>
      <w:r w:rsidRPr="002F4954">
        <w:rPr>
          <w:rFonts w:asciiTheme="minorHAnsi" w:eastAsiaTheme="minorEastAsia" w:hAnsiTheme="minorHAnsi" w:cstheme="minorHAnsi"/>
          <w:szCs w:val="24"/>
          <w:lang w:eastAsia="zh-CN"/>
        </w:rPr>
        <w:t xml:space="preserve">he Director of TSB is responsible for the registration and/or cancellation of </w:t>
      </w:r>
      <w:r w:rsidR="00C65C18" w:rsidRPr="002F4954">
        <w:rPr>
          <w:rFonts w:asciiTheme="minorHAnsi" w:eastAsiaTheme="minorEastAsia" w:hAnsiTheme="minorHAnsi" w:cstheme="minorHAnsi"/>
          <w:szCs w:val="24"/>
          <w:lang w:eastAsia="zh-CN"/>
        </w:rPr>
        <w:t xml:space="preserve">Issuer Identifier Numbers </w:t>
      </w:r>
      <w:r w:rsidRPr="002F4954">
        <w:rPr>
          <w:rFonts w:asciiTheme="minorHAnsi" w:eastAsiaTheme="minorEastAsia" w:hAnsiTheme="minorHAnsi" w:cstheme="minorHAnsi"/>
          <w:szCs w:val="24"/>
          <w:lang w:eastAsia="zh-CN"/>
        </w:rPr>
        <w:t xml:space="preserve">(IINs) with the approval of their Administrations. </w:t>
      </w:r>
    </w:p>
    <w:p w14:paraId="0996EF3B" w14:textId="77777777" w:rsidR="002F4954" w:rsidRPr="002F4954" w:rsidRDefault="002F4954" w:rsidP="00CB3182">
      <w:pPr>
        <w:tabs>
          <w:tab w:val="clear" w:pos="567"/>
          <w:tab w:val="clear" w:pos="1134"/>
          <w:tab w:val="clear" w:pos="1701"/>
          <w:tab w:val="clear" w:pos="2268"/>
          <w:tab w:val="clear" w:pos="2835"/>
        </w:tabs>
        <w:spacing w:after="120"/>
        <w:ind w:left="720"/>
        <w:jc w:val="both"/>
        <w:rPr>
          <w:rFonts w:asciiTheme="minorHAnsi" w:eastAsiaTheme="minorEastAsia" w:hAnsiTheme="minorHAnsi" w:cstheme="minorHAnsi"/>
          <w:szCs w:val="24"/>
          <w:lang w:eastAsia="zh-CN"/>
        </w:rPr>
      </w:pPr>
      <w:r w:rsidRPr="002F4954">
        <w:rPr>
          <w:rFonts w:asciiTheme="minorHAnsi" w:eastAsiaTheme="minorEastAsia" w:hAnsiTheme="minorHAnsi" w:cstheme="minorHAnsi"/>
          <w:b/>
          <w:bCs/>
          <w:szCs w:val="24"/>
          <w:lang w:eastAsia="zh-CN"/>
        </w:rPr>
        <w:t xml:space="preserve">Responsibility for reclamation. </w:t>
      </w:r>
      <w:r w:rsidRPr="002F4954">
        <w:rPr>
          <w:rFonts w:asciiTheme="minorHAnsi" w:eastAsiaTheme="minorEastAsia" w:hAnsiTheme="minorHAnsi" w:cstheme="minorHAnsi"/>
          <w:szCs w:val="24"/>
          <w:lang w:eastAsia="zh-CN"/>
        </w:rPr>
        <w:t xml:space="preserve">The assignment of specific issuer identifier numbers should be the responsibility of a country or group of countries as appropriate. As a result, the responsibility for reclaiming IINs lies with the National Administrations. In case of non-payment, ITU’s role is limited to notifying Member States that the corresponding IINs should be considered for reclamation. The corresponding IINs can be marked in ITU database as “under reclamation consideration by the National </w:t>
      </w:r>
      <w:r w:rsidRPr="002F4954">
        <w:rPr>
          <w:rFonts w:asciiTheme="minorHAnsi" w:eastAsiaTheme="minorEastAsia" w:hAnsiTheme="minorHAnsi" w:cstheme="minorHAnsi"/>
          <w:szCs w:val="24"/>
          <w:lang w:eastAsia="zh-CN"/>
        </w:rPr>
        <w:lastRenderedPageBreak/>
        <w:t>Administration”. However, without explicit approval of the Member States, ITU cannot reclaim IINs.</w:t>
      </w:r>
    </w:p>
    <w:p w14:paraId="7E646912" w14:textId="77777777" w:rsidR="002F4954" w:rsidRPr="002F4954" w:rsidRDefault="002F4954" w:rsidP="00CB3182">
      <w:pPr>
        <w:tabs>
          <w:tab w:val="clear" w:pos="567"/>
          <w:tab w:val="clear" w:pos="1134"/>
          <w:tab w:val="clear" w:pos="1701"/>
          <w:tab w:val="clear" w:pos="2268"/>
          <w:tab w:val="clear" w:pos="2835"/>
        </w:tabs>
        <w:spacing w:after="120"/>
        <w:ind w:left="720"/>
        <w:jc w:val="both"/>
        <w:rPr>
          <w:rFonts w:asciiTheme="minorHAnsi" w:eastAsiaTheme="minorEastAsia" w:hAnsiTheme="minorHAnsi" w:cstheme="minorHAnsi"/>
          <w:szCs w:val="24"/>
          <w:lang w:eastAsia="zh-CN"/>
        </w:rPr>
      </w:pPr>
      <w:r w:rsidRPr="002F4954">
        <w:rPr>
          <w:rFonts w:asciiTheme="minorHAnsi" w:eastAsiaTheme="minorEastAsia" w:hAnsiTheme="minorHAnsi" w:cstheme="minorHAnsi"/>
          <w:b/>
          <w:bCs/>
          <w:szCs w:val="24"/>
          <w:lang w:eastAsia="zh-CN"/>
        </w:rPr>
        <w:t>Perception of ITU Authority.</w:t>
      </w:r>
      <w:r w:rsidRPr="002F4954">
        <w:rPr>
          <w:rFonts w:asciiTheme="minorHAnsi" w:eastAsiaTheme="minorEastAsia" w:hAnsiTheme="minorHAnsi" w:cstheme="minorHAnsi"/>
          <w:szCs w:val="24"/>
          <w:lang w:eastAsia="zh-CN"/>
        </w:rPr>
        <w:t xml:space="preserve"> This limitation may create the perception among IIN assignees that ITU lack enforcement mechanisms to compel payment of the outstanding bills, potentially undermining the effectiveness of billing efforts. </w:t>
      </w:r>
    </w:p>
    <w:p w14:paraId="6D1FD20B" w14:textId="71784FEE" w:rsidR="002F4954" w:rsidRPr="002F4954" w:rsidRDefault="002F4954" w:rsidP="00CB3182">
      <w:pPr>
        <w:keepNext/>
        <w:keepLines/>
        <w:tabs>
          <w:tab w:val="clear" w:pos="567"/>
          <w:tab w:val="clear" w:pos="1134"/>
          <w:tab w:val="clear" w:pos="1701"/>
          <w:tab w:val="clear" w:pos="2268"/>
          <w:tab w:val="clear" w:pos="2835"/>
        </w:tabs>
        <w:spacing w:before="240" w:after="120"/>
        <w:jc w:val="both"/>
        <w:rPr>
          <w:rFonts w:asciiTheme="minorHAnsi" w:eastAsiaTheme="minorEastAsia" w:hAnsiTheme="minorHAnsi" w:cstheme="minorHAnsi"/>
          <w:b/>
          <w:bCs/>
          <w:szCs w:val="24"/>
          <w:lang w:eastAsia="zh-CN"/>
        </w:rPr>
      </w:pPr>
      <w:r w:rsidRPr="002F4954">
        <w:rPr>
          <w:rFonts w:asciiTheme="minorHAnsi" w:eastAsiaTheme="minorEastAsia" w:hAnsiTheme="minorHAnsi" w:cstheme="minorHAnsi"/>
          <w:b/>
          <w:bCs/>
          <w:szCs w:val="24"/>
        </w:rPr>
        <w:t>2.</w:t>
      </w:r>
      <w:r w:rsidRPr="002F4954">
        <w:rPr>
          <w:rFonts w:asciiTheme="minorHAnsi" w:eastAsiaTheme="minorEastAsia" w:hAnsiTheme="minorHAnsi" w:cstheme="minorHAnsi"/>
          <w:b/>
          <w:bCs/>
          <w:szCs w:val="24"/>
          <w:lang w:eastAsia="zh-CN"/>
        </w:rPr>
        <w:t>2</w:t>
      </w:r>
      <w:r w:rsidRPr="002F4954">
        <w:rPr>
          <w:rFonts w:asciiTheme="minorHAnsi" w:eastAsiaTheme="minorEastAsia" w:hAnsiTheme="minorHAnsi" w:cstheme="minorHAnsi"/>
          <w:b/>
          <w:bCs/>
          <w:szCs w:val="24"/>
        </w:rPr>
        <w:tab/>
        <w:t xml:space="preserve">Revenue from </w:t>
      </w:r>
      <w:r w:rsidRPr="002F4954">
        <w:rPr>
          <w:rFonts w:asciiTheme="minorHAnsi" w:eastAsiaTheme="minorEastAsia" w:hAnsiTheme="minorHAnsi" w:cstheme="minorHAnsi"/>
          <w:b/>
          <w:bCs/>
          <w:szCs w:val="24"/>
          <w:lang w:eastAsia="zh-CN"/>
        </w:rPr>
        <w:t>IIN</w:t>
      </w:r>
      <w:r w:rsidRPr="002F4954">
        <w:rPr>
          <w:rFonts w:asciiTheme="minorHAnsi" w:eastAsiaTheme="minorEastAsia" w:hAnsiTheme="minorHAnsi" w:cstheme="minorHAnsi"/>
          <w:b/>
          <w:bCs/>
          <w:szCs w:val="24"/>
        </w:rPr>
        <w:t xml:space="preserve"> maintenance fees remains minimal</w:t>
      </w:r>
    </w:p>
    <w:p w14:paraId="78C9EF99" w14:textId="72663FF2" w:rsidR="002F4954" w:rsidRPr="002F4954" w:rsidRDefault="002F4954" w:rsidP="00CB3182">
      <w:pPr>
        <w:keepNext/>
        <w:keepLines/>
        <w:tabs>
          <w:tab w:val="clear" w:pos="567"/>
          <w:tab w:val="clear" w:pos="1134"/>
          <w:tab w:val="clear" w:pos="1701"/>
          <w:tab w:val="clear" w:pos="2268"/>
          <w:tab w:val="clear" w:pos="2835"/>
        </w:tabs>
        <w:spacing w:after="120"/>
        <w:jc w:val="both"/>
        <w:rPr>
          <w:rFonts w:asciiTheme="minorHAnsi" w:eastAsiaTheme="minorEastAsia" w:hAnsiTheme="minorHAnsi" w:cstheme="minorHAnsi"/>
          <w:szCs w:val="24"/>
        </w:rPr>
      </w:pPr>
      <w:r w:rsidRPr="002F4954">
        <w:rPr>
          <w:rFonts w:asciiTheme="minorHAnsi" w:eastAsiaTheme="minorEastAsia" w:hAnsiTheme="minorHAnsi" w:cstheme="minorHAnsi"/>
          <w:szCs w:val="24"/>
        </w:rPr>
        <w:t xml:space="preserve">If annual maintenance fees </w:t>
      </w:r>
      <w:r w:rsidRPr="002F4954">
        <w:rPr>
          <w:rFonts w:asciiTheme="minorHAnsi" w:eastAsiaTheme="minorEastAsia" w:hAnsiTheme="minorHAnsi" w:cstheme="minorHAnsi"/>
          <w:szCs w:val="24"/>
          <w:lang w:eastAsia="zh-CN"/>
        </w:rPr>
        <w:t xml:space="preserve">for IINs </w:t>
      </w:r>
      <w:r w:rsidRPr="002F4954">
        <w:rPr>
          <w:rFonts w:asciiTheme="minorHAnsi" w:eastAsiaTheme="minorEastAsia" w:hAnsiTheme="minorHAnsi" w:cstheme="minorHAnsi"/>
          <w:szCs w:val="24"/>
        </w:rPr>
        <w:t xml:space="preserve">were successfully collected, the estimated revenue would be approximately </w:t>
      </w:r>
      <w:r w:rsidR="00C65C18">
        <w:rPr>
          <w:rFonts w:asciiTheme="minorHAnsi" w:eastAsiaTheme="minorEastAsia" w:hAnsiTheme="minorHAnsi" w:cstheme="minorHAnsi"/>
          <w:szCs w:val="24"/>
        </w:rPr>
        <w:t>CHF </w:t>
      </w:r>
      <w:r w:rsidRPr="002F4954">
        <w:rPr>
          <w:rFonts w:asciiTheme="minorHAnsi" w:eastAsiaTheme="minorEastAsia" w:hAnsiTheme="minorHAnsi" w:cstheme="minorHAnsi"/>
          <w:szCs w:val="24"/>
        </w:rPr>
        <w:t>30</w:t>
      </w:r>
      <w:r w:rsidR="00C65C18">
        <w:rPr>
          <w:rFonts w:asciiTheme="minorHAnsi" w:eastAsiaTheme="minorEastAsia" w:hAnsiTheme="minorHAnsi" w:cstheme="minorHAnsi"/>
          <w:szCs w:val="24"/>
        </w:rPr>
        <w:t> </w:t>
      </w:r>
      <w:r w:rsidRPr="002F4954">
        <w:rPr>
          <w:rFonts w:asciiTheme="minorHAnsi" w:eastAsiaTheme="minorEastAsia" w:hAnsiTheme="minorHAnsi" w:cstheme="minorHAnsi"/>
          <w:szCs w:val="24"/>
        </w:rPr>
        <w:t xml:space="preserve">000 per year, assuming a 60% payment success rate. </w:t>
      </w:r>
    </w:p>
    <w:p w14:paraId="75F9A74E" w14:textId="22B82EAE" w:rsidR="002F4954" w:rsidRPr="002F4954" w:rsidRDefault="002F4954" w:rsidP="00C65C18">
      <w:pPr>
        <w:keepNext/>
        <w:keepLines/>
        <w:tabs>
          <w:tab w:val="clear" w:pos="567"/>
          <w:tab w:val="clear" w:pos="1134"/>
          <w:tab w:val="clear" w:pos="1701"/>
          <w:tab w:val="clear" w:pos="2268"/>
          <w:tab w:val="clear" w:pos="2835"/>
        </w:tabs>
        <w:spacing w:after="120"/>
        <w:jc w:val="both"/>
        <w:rPr>
          <w:rFonts w:asciiTheme="minorHAnsi" w:eastAsiaTheme="minorEastAsia" w:hAnsiTheme="minorHAnsi" w:cstheme="minorHAnsi"/>
          <w:szCs w:val="24"/>
        </w:rPr>
      </w:pPr>
      <w:r w:rsidRPr="002F4954">
        <w:rPr>
          <w:rFonts w:asciiTheme="minorHAnsi" w:eastAsiaTheme="minorEastAsia" w:hAnsiTheme="minorHAnsi" w:cstheme="minorHAnsi"/>
          <w:szCs w:val="24"/>
        </w:rPr>
        <w:t xml:space="preserve">Currently, IINs registered after 2018 are charged a one-time fee combined with the annual maintenance fee for the year of registration. This results in revenue of approximately </w:t>
      </w:r>
      <w:r w:rsidR="00C65C18">
        <w:rPr>
          <w:rFonts w:asciiTheme="minorHAnsi" w:eastAsiaTheme="minorEastAsia" w:hAnsiTheme="minorHAnsi" w:cstheme="minorHAnsi"/>
          <w:szCs w:val="24"/>
        </w:rPr>
        <w:t>CHF </w:t>
      </w:r>
      <w:r w:rsidRPr="002F4954">
        <w:rPr>
          <w:rFonts w:asciiTheme="minorHAnsi" w:eastAsiaTheme="minorEastAsia" w:hAnsiTheme="minorHAnsi" w:cstheme="minorHAnsi"/>
          <w:szCs w:val="24"/>
        </w:rPr>
        <w:t>5</w:t>
      </w:r>
      <w:r w:rsidR="00C65C18">
        <w:rPr>
          <w:rFonts w:asciiTheme="minorHAnsi" w:eastAsiaTheme="minorEastAsia" w:hAnsiTheme="minorHAnsi" w:cstheme="minorHAnsi"/>
          <w:szCs w:val="24"/>
        </w:rPr>
        <w:t> </w:t>
      </w:r>
      <w:r w:rsidRPr="002F4954">
        <w:rPr>
          <w:rFonts w:asciiTheme="minorHAnsi" w:eastAsiaTheme="minorEastAsia" w:hAnsiTheme="minorHAnsi" w:cstheme="minorHAnsi"/>
          <w:szCs w:val="24"/>
        </w:rPr>
        <w:t>000 annually, given that around 20 new IINs are registered each year.</w:t>
      </w:r>
    </w:p>
    <w:p w14:paraId="05945CBE" w14:textId="77777777" w:rsidR="002F4954" w:rsidRPr="002F4954" w:rsidRDefault="002F4954" w:rsidP="00CB3182">
      <w:pPr>
        <w:keepNext/>
        <w:keepLines/>
        <w:tabs>
          <w:tab w:val="clear" w:pos="567"/>
          <w:tab w:val="clear" w:pos="1134"/>
          <w:tab w:val="clear" w:pos="1701"/>
          <w:tab w:val="clear" w:pos="2268"/>
          <w:tab w:val="clear" w:pos="2835"/>
        </w:tabs>
        <w:spacing w:after="120"/>
        <w:jc w:val="both"/>
        <w:rPr>
          <w:rFonts w:asciiTheme="minorHAnsi" w:eastAsiaTheme="minorEastAsia" w:hAnsiTheme="minorHAnsi" w:cstheme="minorHAnsi"/>
          <w:szCs w:val="24"/>
        </w:rPr>
      </w:pPr>
      <w:r w:rsidRPr="002F4954">
        <w:rPr>
          <w:rFonts w:asciiTheme="minorHAnsi" w:eastAsiaTheme="minorEastAsia" w:hAnsiTheme="minorHAnsi" w:cstheme="minorHAnsi"/>
          <w:szCs w:val="24"/>
        </w:rPr>
        <w:t>No additional fees are charged for requests to update IIN records, further limiting revenue generation from IIN-related services.</w:t>
      </w:r>
    </w:p>
    <w:p w14:paraId="6760426E" w14:textId="6B0F1703" w:rsidR="002F4954" w:rsidRPr="002F4954" w:rsidRDefault="008976FE" w:rsidP="00CB3182">
      <w:pPr>
        <w:keepNext/>
        <w:keepLines/>
        <w:tabs>
          <w:tab w:val="clear" w:pos="567"/>
          <w:tab w:val="clear" w:pos="1134"/>
          <w:tab w:val="clear" w:pos="1701"/>
          <w:tab w:val="clear" w:pos="2268"/>
          <w:tab w:val="clear" w:pos="2835"/>
        </w:tabs>
        <w:spacing w:before="480" w:after="120"/>
        <w:ind w:left="709" w:hanging="709"/>
        <w:jc w:val="both"/>
        <w:outlineLvl w:val="0"/>
        <w:rPr>
          <w:rFonts w:asciiTheme="minorHAnsi" w:eastAsia="Calibri" w:hAnsiTheme="minorHAnsi" w:cstheme="minorHAnsi"/>
          <w:b/>
          <w:sz w:val="28"/>
          <w:szCs w:val="28"/>
        </w:rPr>
      </w:pPr>
      <w:r>
        <w:rPr>
          <w:rFonts w:asciiTheme="minorHAnsi" w:eastAsiaTheme="minorEastAsia" w:hAnsiTheme="minorHAnsi" w:cstheme="minorHAnsi"/>
          <w:b/>
          <w:sz w:val="28"/>
          <w:szCs w:val="28"/>
          <w:lang w:val="en-US"/>
        </w:rPr>
        <w:t>3</w:t>
      </w:r>
      <w:r w:rsidR="002F4954" w:rsidRPr="002F4954">
        <w:rPr>
          <w:rFonts w:asciiTheme="minorHAnsi" w:eastAsia="Calibri" w:hAnsiTheme="minorHAnsi" w:cstheme="minorHAnsi"/>
          <w:b/>
          <w:sz w:val="28"/>
          <w:szCs w:val="28"/>
        </w:rPr>
        <w:tab/>
        <w:t>Conclusion</w:t>
      </w:r>
    </w:p>
    <w:p w14:paraId="42145E2D" w14:textId="477CA09D" w:rsidR="002F4954" w:rsidRPr="002F4954" w:rsidRDefault="002F4954" w:rsidP="00C65C18">
      <w:pPr>
        <w:keepNext/>
        <w:tabs>
          <w:tab w:val="clear" w:pos="567"/>
          <w:tab w:val="clear" w:pos="1134"/>
          <w:tab w:val="clear" w:pos="1701"/>
          <w:tab w:val="clear" w:pos="2268"/>
          <w:tab w:val="clear" w:pos="2835"/>
        </w:tabs>
        <w:spacing w:after="120"/>
        <w:jc w:val="both"/>
        <w:rPr>
          <w:rFonts w:asciiTheme="minorHAnsi" w:eastAsia="Calibri" w:hAnsiTheme="minorHAnsi" w:cstheme="minorHAnsi"/>
        </w:rPr>
      </w:pPr>
      <w:r w:rsidRPr="002F4954">
        <w:rPr>
          <w:rFonts w:asciiTheme="minorHAnsi" w:eastAsia="Calibri" w:hAnsiTheme="minorHAnsi" w:cstheme="minorHAnsi"/>
        </w:rPr>
        <w:t xml:space="preserve">The secretariat </w:t>
      </w:r>
      <w:r w:rsidRPr="002F4954">
        <w:rPr>
          <w:rFonts w:asciiTheme="minorHAnsi" w:eastAsiaTheme="minorEastAsia" w:hAnsiTheme="minorHAnsi" w:cstheme="minorHAnsi"/>
          <w:lang w:eastAsia="zh-CN"/>
        </w:rPr>
        <w:t>invite</w:t>
      </w:r>
      <w:r w:rsidRPr="002F4954">
        <w:rPr>
          <w:rFonts w:asciiTheme="minorHAnsi" w:eastAsia="Calibri" w:hAnsiTheme="minorHAnsi" w:cstheme="minorHAnsi"/>
        </w:rPr>
        <w:t xml:space="preserve">s </w:t>
      </w:r>
      <w:r w:rsidR="00C65C18">
        <w:rPr>
          <w:rFonts w:asciiTheme="minorHAnsi" w:eastAsiaTheme="minorEastAsia" w:hAnsiTheme="minorHAnsi" w:cstheme="minorHAnsi"/>
          <w:lang w:eastAsia="zh-CN"/>
        </w:rPr>
        <w:t>the Council Working Group on financial and human resources</w:t>
      </w:r>
      <w:r w:rsidRPr="002F4954">
        <w:rPr>
          <w:rFonts w:asciiTheme="minorHAnsi" w:eastAsiaTheme="minorEastAsia" w:hAnsiTheme="minorHAnsi" w:cstheme="minorHAnsi"/>
          <w:lang w:eastAsia="zh-CN"/>
        </w:rPr>
        <w:t xml:space="preserve"> to </w:t>
      </w:r>
      <w:r w:rsidR="00F33358" w:rsidRPr="006E558A">
        <w:rPr>
          <w:rFonts w:asciiTheme="minorHAnsi" w:eastAsiaTheme="minorEastAsia" w:hAnsiTheme="minorHAnsi" w:cstheme="minorHAnsi"/>
          <w:b/>
          <w:bCs/>
          <w:lang w:eastAsia="zh-CN"/>
        </w:rPr>
        <w:t>consider</w:t>
      </w:r>
      <w:r w:rsidR="00F33358">
        <w:rPr>
          <w:rFonts w:asciiTheme="minorHAnsi" w:eastAsiaTheme="minorEastAsia" w:hAnsiTheme="minorHAnsi" w:cstheme="minorHAnsi"/>
          <w:lang w:eastAsia="zh-CN"/>
        </w:rPr>
        <w:t xml:space="preserve"> the above challenges in implementing</w:t>
      </w:r>
      <w:r w:rsidRPr="002F4954">
        <w:rPr>
          <w:rFonts w:asciiTheme="minorHAnsi" w:eastAsiaTheme="minorEastAsia" w:hAnsiTheme="minorHAnsi" w:cstheme="minorHAnsi"/>
          <w:lang w:eastAsia="zh-CN"/>
        </w:rPr>
        <w:t xml:space="preserve"> Council Decision 601</w:t>
      </w:r>
      <w:r w:rsidRPr="002F4954">
        <w:rPr>
          <w:rFonts w:asciiTheme="minorHAnsi" w:eastAsia="Calibri" w:hAnsiTheme="minorHAnsi" w:cstheme="minorHAnsi"/>
        </w:rPr>
        <w:t>.</w:t>
      </w:r>
    </w:p>
    <w:p w14:paraId="59E8A3B4" w14:textId="77777777" w:rsidR="002F4954" w:rsidRPr="002F4954" w:rsidRDefault="002F4954" w:rsidP="00C65C18">
      <w:pPr>
        <w:spacing w:before="720" w:line="259" w:lineRule="auto"/>
        <w:jc w:val="center"/>
        <w:rPr>
          <w:rFonts w:asciiTheme="minorHAnsi" w:eastAsiaTheme="minorEastAsia" w:hAnsiTheme="minorHAnsi" w:cstheme="minorHAnsi"/>
          <w:lang w:val="en-US"/>
        </w:rPr>
      </w:pPr>
      <w:r w:rsidRPr="002F4954">
        <w:rPr>
          <w:rFonts w:asciiTheme="minorHAnsi" w:eastAsiaTheme="minorEastAsia" w:hAnsiTheme="minorHAnsi" w:cstheme="minorHAnsi"/>
          <w:lang w:val="en-US"/>
        </w:rPr>
        <w:t>_____________________</w:t>
      </w:r>
    </w:p>
    <w:sectPr w:rsidR="002F4954" w:rsidRPr="002F4954" w:rsidSect="00AD3606">
      <w:footerReference w:type="default" r:id="rId24"/>
      <w:headerReference w:type="first" r:id="rId25"/>
      <w:footerReference w:type="first" r:id="rId2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E3B31" w14:textId="77777777" w:rsidR="00C1454C" w:rsidRDefault="00C1454C">
      <w:r>
        <w:separator/>
      </w:r>
    </w:p>
  </w:endnote>
  <w:endnote w:type="continuationSeparator" w:id="0">
    <w:p w14:paraId="10640CE7" w14:textId="77777777" w:rsidR="00C1454C" w:rsidRDefault="00C1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7DF8D60D" w14:textId="77777777" w:rsidTr="0042469C">
      <w:trPr>
        <w:jc w:val="center"/>
      </w:trPr>
      <w:tc>
        <w:tcPr>
          <w:tcW w:w="1803" w:type="dxa"/>
          <w:vAlign w:val="center"/>
        </w:tcPr>
        <w:p w14:paraId="42F3407A" w14:textId="77777777" w:rsidR="00EE49E8" w:rsidRDefault="00EE49E8" w:rsidP="00EE49E8">
          <w:pPr>
            <w:pStyle w:val="Header"/>
            <w:jc w:val="left"/>
            <w:rPr>
              <w:noProof/>
            </w:rPr>
          </w:pPr>
        </w:p>
      </w:tc>
      <w:tc>
        <w:tcPr>
          <w:tcW w:w="8261" w:type="dxa"/>
        </w:tcPr>
        <w:p w14:paraId="08FD7186" w14:textId="0A03C32F" w:rsidR="00EE49E8" w:rsidRPr="00BA3A51" w:rsidRDefault="00EE49E8" w:rsidP="000F6AB8">
          <w:pPr>
            <w:pStyle w:val="Header"/>
            <w:tabs>
              <w:tab w:val="left" w:pos="6309"/>
              <w:tab w:val="right" w:pos="8505"/>
              <w:tab w:val="right" w:pos="9639"/>
            </w:tabs>
            <w:jc w:val="left"/>
            <w:rPr>
              <w:rFonts w:ascii="Arial" w:hAnsi="Arial" w:cs="Arial"/>
              <w:b/>
              <w:bCs/>
              <w:szCs w:val="18"/>
              <w:lang w:val="fr-CH"/>
            </w:rPr>
          </w:pPr>
          <w:r w:rsidRPr="005C13D4">
            <w:rPr>
              <w:bCs/>
              <w:lang w:val="fr-CH"/>
            </w:rPr>
            <w:tab/>
          </w:r>
          <w:r w:rsidR="00A52C84" w:rsidRPr="00BA3A51">
            <w:rPr>
              <w:bCs/>
              <w:lang w:val="fr-CH"/>
            </w:rPr>
            <w:t>CWG-</w:t>
          </w:r>
          <w:r w:rsidR="000F6AB8">
            <w:rPr>
              <w:bCs/>
              <w:lang w:val="fr-CH"/>
            </w:rPr>
            <w:t>FHR</w:t>
          </w:r>
          <w:r w:rsidR="00A52C84" w:rsidRPr="00BA3A51">
            <w:rPr>
              <w:bCs/>
              <w:lang w:val="fr-CH"/>
            </w:rPr>
            <w:t>-</w:t>
          </w:r>
          <w:r w:rsidR="0025570E">
            <w:rPr>
              <w:bCs/>
              <w:lang w:val="fr-CH"/>
            </w:rPr>
            <w:t>2</w:t>
          </w:r>
          <w:r w:rsidR="000F6AB8">
            <w:rPr>
              <w:bCs/>
              <w:lang w:val="fr-CH"/>
            </w:rPr>
            <w:t>0/</w:t>
          </w:r>
          <w:r w:rsidR="006E558A">
            <w:rPr>
              <w:bCs/>
              <w:lang w:val="fr-CH"/>
            </w:rPr>
            <w:t>13</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4E38AFA7"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3EF303D2" w14:textId="77777777" w:rsidTr="00A52C84">
      <w:trPr>
        <w:jc w:val="center"/>
      </w:trPr>
      <w:tc>
        <w:tcPr>
          <w:tcW w:w="3107" w:type="dxa"/>
          <w:vAlign w:val="center"/>
        </w:tcPr>
        <w:p w14:paraId="5F132838" w14:textId="77777777" w:rsidR="00EE49E8" w:rsidRPr="00F56F10" w:rsidRDefault="0025570E" w:rsidP="00EE49E8">
          <w:pPr>
            <w:pStyle w:val="Header"/>
            <w:jc w:val="left"/>
            <w:rPr>
              <w:noProof/>
            </w:rPr>
          </w:pPr>
          <w:hyperlink r:id="rId1" w:history="1">
            <w:r w:rsidRPr="00F56F10">
              <w:rPr>
                <w:rStyle w:val="Hyperlink"/>
                <w:u w:val="none"/>
              </w:rPr>
              <w:t>https://council.itu.int/working-groups</w:t>
            </w:r>
          </w:hyperlink>
        </w:p>
      </w:tc>
      <w:tc>
        <w:tcPr>
          <w:tcW w:w="6957" w:type="dxa"/>
        </w:tcPr>
        <w:p w14:paraId="7CFADCBC" w14:textId="56E4650D" w:rsidR="00EE49E8" w:rsidRPr="000F6AB8" w:rsidRDefault="00EE49E8" w:rsidP="000F6AB8">
          <w:pPr>
            <w:pStyle w:val="Header"/>
            <w:tabs>
              <w:tab w:val="left" w:pos="5008"/>
              <w:tab w:val="right" w:pos="8505"/>
              <w:tab w:val="right" w:pos="9639"/>
            </w:tabs>
            <w:jc w:val="left"/>
            <w:rPr>
              <w:rFonts w:ascii="Arial" w:hAnsi="Arial" w:cs="Arial"/>
              <w:b/>
              <w:bCs/>
              <w:szCs w:val="18"/>
              <w:lang w:val="es-ES"/>
            </w:rPr>
          </w:pPr>
          <w:r>
            <w:rPr>
              <w:bCs/>
            </w:rPr>
            <w:tab/>
          </w:r>
          <w:r w:rsidRPr="000F6AB8">
            <w:rPr>
              <w:bCs/>
              <w:lang w:val="es-ES"/>
            </w:rPr>
            <w:t>C</w:t>
          </w:r>
          <w:r w:rsidR="00A52C84" w:rsidRPr="000F6AB8">
            <w:rPr>
              <w:bCs/>
              <w:lang w:val="es-ES"/>
            </w:rPr>
            <w:t>WG-</w:t>
          </w:r>
          <w:r w:rsidR="000F6AB8" w:rsidRPr="000F6AB8">
            <w:rPr>
              <w:bCs/>
              <w:lang w:val="es-ES"/>
            </w:rPr>
            <w:t>FHR</w:t>
          </w:r>
          <w:r w:rsidR="00A52C84" w:rsidRPr="000F6AB8">
            <w:rPr>
              <w:bCs/>
              <w:lang w:val="es-ES"/>
            </w:rPr>
            <w:t>-</w:t>
          </w:r>
          <w:r w:rsidR="0025570E" w:rsidRPr="000F6AB8">
            <w:rPr>
              <w:bCs/>
              <w:lang w:val="es-ES"/>
            </w:rPr>
            <w:t>2</w:t>
          </w:r>
          <w:r w:rsidR="000F6AB8">
            <w:rPr>
              <w:bCs/>
              <w:lang w:val="es-ES"/>
            </w:rPr>
            <w:t>0</w:t>
          </w:r>
          <w:r w:rsidRPr="000F6AB8">
            <w:rPr>
              <w:bCs/>
              <w:lang w:val="es-ES"/>
            </w:rPr>
            <w:t>/</w:t>
          </w:r>
          <w:r w:rsidR="006E558A">
            <w:rPr>
              <w:bCs/>
              <w:lang w:val="es-ES"/>
            </w:rPr>
            <w:t>13</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0BE65BF2"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93E1A" w14:textId="77777777" w:rsidR="00C1454C" w:rsidRDefault="00C1454C">
      <w:r>
        <w:t>____________________</w:t>
      </w:r>
    </w:p>
  </w:footnote>
  <w:footnote w:type="continuationSeparator" w:id="0">
    <w:p w14:paraId="44269501" w14:textId="77777777" w:rsidR="00C1454C" w:rsidRDefault="00C14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114242FC" w14:textId="77777777" w:rsidTr="00F74694">
      <w:trPr>
        <w:trHeight w:val="1304"/>
        <w:jc w:val="center"/>
      </w:trPr>
      <w:tc>
        <w:tcPr>
          <w:tcW w:w="6546" w:type="dxa"/>
        </w:tcPr>
        <w:p w14:paraId="6A22278E" w14:textId="77777777" w:rsidR="00AD3606" w:rsidRPr="009621F8" w:rsidRDefault="00F56F10" w:rsidP="00130599">
          <w:pPr>
            <w:pStyle w:val="Header"/>
            <w:jc w:val="left"/>
            <w:rPr>
              <w:rFonts w:ascii="Arial" w:hAnsi="Arial" w:cs="Arial"/>
              <w:b/>
              <w:bCs/>
              <w:color w:val="009CD6"/>
              <w:sz w:val="36"/>
              <w:szCs w:val="36"/>
            </w:rPr>
          </w:pPr>
          <w:bookmarkStart w:id="13" w:name="_Hlk133422111"/>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018AED90" wp14:editId="34251946">
                    <wp:simplePos x="0" y="0"/>
                    <wp:positionH relativeFrom="column">
                      <wp:posOffset>1433251</wp:posOffset>
                    </wp:positionH>
                    <wp:positionV relativeFrom="paragraph">
                      <wp:posOffset>5080</wp:posOffset>
                    </wp:positionV>
                    <wp:extent cx="4399153" cy="471170"/>
                    <wp:effectExtent l="0" t="0" r="1905"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153" cy="471170"/>
                            </a:xfrm>
                            <a:prstGeom prst="rect">
                              <a:avLst/>
                            </a:prstGeom>
                            <a:solidFill>
                              <a:schemeClr val="bg1"/>
                            </a:solidFill>
                            <a:ln w="9525">
                              <a:noFill/>
                              <a:miter lim="800000"/>
                              <a:headEnd/>
                              <a:tailEnd/>
                            </a:ln>
                          </wps:spPr>
                          <wps:txbx>
                            <w:txbxContent>
                              <w:p w14:paraId="53B59D24" w14:textId="263DAB34" w:rsidR="00130599" w:rsidRDefault="00A43C03" w:rsidP="000120E4">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Twentieth</w:t>
                                </w:r>
                                <w:r w:rsidRPr="00130599">
                                  <w:rPr>
                                    <w:sz w:val="20"/>
                                  </w:rPr>
                                  <w:t xml:space="preserve"> meeting </w:t>
                                </w:r>
                                <w:r>
                                  <w:rPr>
                                    <w:sz w:val="20"/>
                                  </w:rPr>
                                  <w:t>– From 17 to 1</w:t>
                                </w:r>
                                <w:r w:rsidR="004D3B0A">
                                  <w:rPr>
                                    <w:sz w:val="20"/>
                                  </w:rPr>
                                  <w:t>9</w:t>
                                </w:r>
                                <w:r>
                                  <w:rPr>
                                    <w:sz w:val="20"/>
                                  </w:rPr>
                                  <w:t xml:space="preserve">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18AED90" id="_x0000_t202" coordsize="21600,21600" o:spt="202" path="m,l,21600r21600,l21600,xe">
                    <v:stroke joinstyle="miter"/>
                    <v:path gradientshapeok="t" o:connecttype="rect"/>
                  </v:shapetype>
                  <v:shape id="Text Box 2" o:spid="_x0000_s1026" type="#_x0000_t202" style="position:absolute;margin-left:112.85pt;margin-top:.4pt;width:346.4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uKuEQ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" fillcolor="white [3212]" stroked="f">
                    <v:textbox style="mso-fit-shape-to-text:t" inset="1mm">
                      <w:txbxContent>
                        <w:p w14:paraId="53B59D24" w14:textId="263DAB34" w:rsidR="00130599" w:rsidRDefault="00A43C03" w:rsidP="000120E4">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Twentieth</w:t>
                          </w:r>
                          <w:r w:rsidRPr="00130599">
                            <w:rPr>
                              <w:sz w:val="20"/>
                            </w:rPr>
                            <w:t xml:space="preserve"> meeting </w:t>
                          </w:r>
                          <w:r>
                            <w:rPr>
                              <w:sz w:val="20"/>
                            </w:rPr>
                            <w:t>– From 17 to 1</w:t>
                          </w:r>
                          <w:r w:rsidR="004D3B0A">
                            <w:rPr>
                              <w:sz w:val="20"/>
                            </w:rPr>
                            <w:t>9</w:t>
                          </w:r>
                          <w:r>
                            <w:rPr>
                              <w:sz w:val="20"/>
                            </w:rPr>
                            <w:t xml:space="preserve"> February 2025</w:t>
                          </w:r>
                        </w:p>
                      </w:txbxContent>
                    </v:textbox>
                  </v:shape>
                </w:pict>
              </mc:Fallback>
            </mc:AlternateContent>
          </w:r>
          <w:r>
            <w:rPr>
              <w:rFonts w:ascii="Arial" w:hAnsi="Arial" w:cs="Arial"/>
              <w:b/>
              <w:bCs/>
              <w:noProof/>
              <w:color w:val="009CD6"/>
              <w:sz w:val="36"/>
              <w:szCs w:val="36"/>
            </w:rPr>
            <w:drawing>
              <wp:inline distT="0" distB="0" distL="0" distR="0" wp14:anchorId="25FF8506" wp14:editId="569F0CBF">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3B5458B7" w14:textId="77777777" w:rsidR="00AD3606" w:rsidRDefault="00AD3606" w:rsidP="00AD3606">
          <w:pPr>
            <w:pStyle w:val="Header"/>
            <w:jc w:val="right"/>
            <w:rPr>
              <w:rFonts w:ascii="Arial" w:hAnsi="Arial" w:cs="Arial"/>
              <w:b/>
              <w:bCs/>
              <w:color w:val="009CD6"/>
              <w:szCs w:val="18"/>
            </w:rPr>
          </w:pPr>
        </w:p>
        <w:p w14:paraId="2DDC2E10" w14:textId="77777777" w:rsidR="00AD3606" w:rsidRDefault="00AD3606" w:rsidP="00AD3606">
          <w:pPr>
            <w:pStyle w:val="Header"/>
            <w:jc w:val="right"/>
            <w:rPr>
              <w:rFonts w:ascii="Arial" w:hAnsi="Arial" w:cs="Arial"/>
              <w:b/>
              <w:bCs/>
              <w:color w:val="009CD6"/>
              <w:szCs w:val="18"/>
            </w:rPr>
          </w:pPr>
        </w:p>
        <w:p w14:paraId="72DFDD86"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36108734"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EB8E5DC" wp14:editId="06570709">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80037"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C5"/>
    <w:rsid w:val="000120E4"/>
    <w:rsid w:val="00016CBB"/>
    <w:rsid w:val="000210D4"/>
    <w:rsid w:val="00063016"/>
    <w:rsid w:val="00066795"/>
    <w:rsid w:val="00076AF6"/>
    <w:rsid w:val="00085CF2"/>
    <w:rsid w:val="000B1705"/>
    <w:rsid w:val="000D75B2"/>
    <w:rsid w:val="000F6AB8"/>
    <w:rsid w:val="001121F5"/>
    <w:rsid w:val="00130599"/>
    <w:rsid w:val="001400DC"/>
    <w:rsid w:val="00140CE1"/>
    <w:rsid w:val="00147C54"/>
    <w:rsid w:val="00156542"/>
    <w:rsid w:val="0017539C"/>
    <w:rsid w:val="00175AC2"/>
    <w:rsid w:val="0017609F"/>
    <w:rsid w:val="001A7D1D"/>
    <w:rsid w:val="001B51DD"/>
    <w:rsid w:val="001C1DD6"/>
    <w:rsid w:val="001C628E"/>
    <w:rsid w:val="001E0F7B"/>
    <w:rsid w:val="001E0FBE"/>
    <w:rsid w:val="001E5FE7"/>
    <w:rsid w:val="002119FD"/>
    <w:rsid w:val="002130E0"/>
    <w:rsid w:val="00244F7F"/>
    <w:rsid w:val="0025570E"/>
    <w:rsid w:val="00264425"/>
    <w:rsid w:val="00265875"/>
    <w:rsid w:val="0027303B"/>
    <w:rsid w:val="0028109B"/>
    <w:rsid w:val="002A2188"/>
    <w:rsid w:val="002B1F58"/>
    <w:rsid w:val="002C1C7A"/>
    <w:rsid w:val="002C54E2"/>
    <w:rsid w:val="002E0AC3"/>
    <w:rsid w:val="002F01DC"/>
    <w:rsid w:val="002F4954"/>
    <w:rsid w:val="0030160F"/>
    <w:rsid w:val="00301AEE"/>
    <w:rsid w:val="003145DF"/>
    <w:rsid w:val="00320223"/>
    <w:rsid w:val="00322D0D"/>
    <w:rsid w:val="00361465"/>
    <w:rsid w:val="003877F5"/>
    <w:rsid w:val="003942D4"/>
    <w:rsid w:val="0039514F"/>
    <w:rsid w:val="003958A8"/>
    <w:rsid w:val="003B29C2"/>
    <w:rsid w:val="003C20CA"/>
    <w:rsid w:val="003C2533"/>
    <w:rsid w:val="003D5A7F"/>
    <w:rsid w:val="003D635C"/>
    <w:rsid w:val="004016E2"/>
    <w:rsid w:val="0040435A"/>
    <w:rsid w:val="00416A24"/>
    <w:rsid w:val="0042059E"/>
    <w:rsid w:val="00431D9E"/>
    <w:rsid w:val="00433CE8"/>
    <w:rsid w:val="00434A5C"/>
    <w:rsid w:val="004544D9"/>
    <w:rsid w:val="00472BAD"/>
    <w:rsid w:val="00484009"/>
    <w:rsid w:val="00490E72"/>
    <w:rsid w:val="00491157"/>
    <w:rsid w:val="004921C8"/>
    <w:rsid w:val="00495B0B"/>
    <w:rsid w:val="004A1B8B"/>
    <w:rsid w:val="004D1851"/>
    <w:rsid w:val="004D3B0A"/>
    <w:rsid w:val="004D599D"/>
    <w:rsid w:val="004E2EA5"/>
    <w:rsid w:val="004E3AEB"/>
    <w:rsid w:val="0050223C"/>
    <w:rsid w:val="005039C5"/>
    <w:rsid w:val="005243FF"/>
    <w:rsid w:val="005311D6"/>
    <w:rsid w:val="00533063"/>
    <w:rsid w:val="00536422"/>
    <w:rsid w:val="00564FBC"/>
    <w:rsid w:val="005800BC"/>
    <w:rsid w:val="00582442"/>
    <w:rsid w:val="005A335D"/>
    <w:rsid w:val="005C13D4"/>
    <w:rsid w:val="005C6F1C"/>
    <w:rsid w:val="005E2BD5"/>
    <w:rsid w:val="005F3269"/>
    <w:rsid w:val="00615802"/>
    <w:rsid w:val="00615961"/>
    <w:rsid w:val="00623AE3"/>
    <w:rsid w:val="006261F4"/>
    <w:rsid w:val="0064737F"/>
    <w:rsid w:val="006535F1"/>
    <w:rsid w:val="0065557D"/>
    <w:rsid w:val="00660D50"/>
    <w:rsid w:val="00662984"/>
    <w:rsid w:val="006716BB"/>
    <w:rsid w:val="00695922"/>
    <w:rsid w:val="0069774E"/>
    <w:rsid w:val="006B1859"/>
    <w:rsid w:val="006B6680"/>
    <w:rsid w:val="006B6DCC"/>
    <w:rsid w:val="006E558A"/>
    <w:rsid w:val="00701C70"/>
    <w:rsid w:val="00702DEF"/>
    <w:rsid w:val="00706861"/>
    <w:rsid w:val="00726B8C"/>
    <w:rsid w:val="007353C0"/>
    <w:rsid w:val="0075051B"/>
    <w:rsid w:val="00775655"/>
    <w:rsid w:val="00793188"/>
    <w:rsid w:val="00794D34"/>
    <w:rsid w:val="00806E3C"/>
    <w:rsid w:val="00813E5E"/>
    <w:rsid w:val="00816C2C"/>
    <w:rsid w:val="0083581B"/>
    <w:rsid w:val="00860EED"/>
    <w:rsid w:val="00863874"/>
    <w:rsid w:val="00864AFF"/>
    <w:rsid w:val="00865925"/>
    <w:rsid w:val="00891503"/>
    <w:rsid w:val="008976FE"/>
    <w:rsid w:val="008B4A6A"/>
    <w:rsid w:val="008C7E27"/>
    <w:rsid w:val="008F3822"/>
    <w:rsid w:val="008F7448"/>
    <w:rsid w:val="0090147A"/>
    <w:rsid w:val="0090389B"/>
    <w:rsid w:val="009173EF"/>
    <w:rsid w:val="00932906"/>
    <w:rsid w:val="00961860"/>
    <w:rsid w:val="00961B0B"/>
    <w:rsid w:val="00962D33"/>
    <w:rsid w:val="009B38C3"/>
    <w:rsid w:val="009E17BD"/>
    <w:rsid w:val="009E485A"/>
    <w:rsid w:val="009E5D2F"/>
    <w:rsid w:val="00A04CEC"/>
    <w:rsid w:val="00A27F92"/>
    <w:rsid w:val="00A32257"/>
    <w:rsid w:val="00A36D20"/>
    <w:rsid w:val="00A43C03"/>
    <w:rsid w:val="00A46CD0"/>
    <w:rsid w:val="00A514A4"/>
    <w:rsid w:val="00A52C84"/>
    <w:rsid w:val="00A55622"/>
    <w:rsid w:val="00A83502"/>
    <w:rsid w:val="00AC682D"/>
    <w:rsid w:val="00AD15B3"/>
    <w:rsid w:val="00AD3606"/>
    <w:rsid w:val="00AD4A3D"/>
    <w:rsid w:val="00AE78F3"/>
    <w:rsid w:val="00AF6E49"/>
    <w:rsid w:val="00B04A67"/>
    <w:rsid w:val="00B0583C"/>
    <w:rsid w:val="00B248BC"/>
    <w:rsid w:val="00B358B2"/>
    <w:rsid w:val="00B40A81"/>
    <w:rsid w:val="00B44910"/>
    <w:rsid w:val="00B72267"/>
    <w:rsid w:val="00B73DD1"/>
    <w:rsid w:val="00B76EB6"/>
    <w:rsid w:val="00B7737B"/>
    <w:rsid w:val="00B824C8"/>
    <w:rsid w:val="00B849D3"/>
    <w:rsid w:val="00B84B9D"/>
    <w:rsid w:val="00B975F9"/>
    <w:rsid w:val="00BA09FF"/>
    <w:rsid w:val="00BA3A51"/>
    <w:rsid w:val="00BC251A"/>
    <w:rsid w:val="00BD032B"/>
    <w:rsid w:val="00BD0614"/>
    <w:rsid w:val="00BD094B"/>
    <w:rsid w:val="00BD3A74"/>
    <w:rsid w:val="00BE2640"/>
    <w:rsid w:val="00C01189"/>
    <w:rsid w:val="00C0614E"/>
    <w:rsid w:val="00C1454C"/>
    <w:rsid w:val="00C306F2"/>
    <w:rsid w:val="00C374DE"/>
    <w:rsid w:val="00C3796A"/>
    <w:rsid w:val="00C47AD4"/>
    <w:rsid w:val="00C52D81"/>
    <w:rsid w:val="00C55198"/>
    <w:rsid w:val="00C65C18"/>
    <w:rsid w:val="00C725C6"/>
    <w:rsid w:val="00C922C7"/>
    <w:rsid w:val="00CA6393"/>
    <w:rsid w:val="00CB18FF"/>
    <w:rsid w:val="00CB24AA"/>
    <w:rsid w:val="00CB3182"/>
    <w:rsid w:val="00CD0C08"/>
    <w:rsid w:val="00CD3C91"/>
    <w:rsid w:val="00CE03FB"/>
    <w:rsid w:val="00CE38C1"/>
    <w:rsid w:val="00CE433C"/>
    <w:rsid w:val="00CF0161"/>
    <w:rsid w:val="00CF33F3"/>
    <w:rsid w:val="00D06183"/>
    <w:rsid w:val="00D22C42"/>
    <w:rsid w:val="00D45669"/>
    <w:rsid w:val="00D464CC"/>
    <w:rsid w:val="00D522F6"/>
    <w:rsid w:val="00D65041"/>
    <w:rsid w:val="00DB00D5"/>
    <w:rsid w:val="00DB1936"/>
    <w:rsid w:val="00DB384B"/>
    <w:rsid w:val="00DF0189"/>
    <w:rsid w:val="00E06FD5"/>
    <w:rsid w:val="00E10E80"/>
    <w:rsid w:val="00E124F0"/>
    <w:rsid w:val="00E227F3"/>
    <w:rsid w:val="00E4728B"/>
    <w:rsid w:val="00E545C6"/>
    <w:rsid w:val="00E60F04"/>
    <w:rsid w:val="00E65B24"/>
    <w:rsid w:val="00E854E4"/>
    <w:rsid w:val="00E86DBF"/>
    <w:rsid w:val="00EB0D6F"/>
    <w:rsid w:val="00EB2232"/>
    <w:rsid w:val="00EC5337"/>
    <w:rsid w:val="00EE49E8"/>
    <w:rsid w:val="00F10B59"/>
    <w:rsid w:val="00F16BAB"/>
    <w:rsid w:val="00F2150A"/>
    <w:rsid w:val="00F231D8"/>
    <w:rsid w:val="00F33358"/>
    <w:rsid w:val="00F44C00"/>
    <w:rsid w:val="00F45D2C"/>
    <w:rsid w:val="00F46C5F"/>
    <w:rsid w:val="00F56F10"/>
    <w:rsid w:val="00F632C0"/>
    <w:rsid w:val="00F74694"/>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27D12"/>
  <w15:docId w15:val="{83AE87BC-DE25-4F6F-9375-28C99189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5C6F1C"/>
    <w:rPr>
      <w:color w:val="666666"/>
    </w:rPr>
  </w:style>
  <w:style w:type="paragraph" w:styleId="Revision">
    <w:name w:val="Revision"/>
    <w:hidden/>
    <w:uiPriority w:val="99"/>
    <w:semiHidden/>
    <w:rsid w:val="00CB3182"/>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7-CL-C-0067/en" TargetMode="External"/><Relationship Id="rId18" Type="http://schemas.openxmlformats.org/officeDocument/2006/relationships/hyperlink" Target="https://www.itu.int/md/S17-CL-C-0133/e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tu.int/md/S19-CL-C-0120/en" TargetMode="External"/><Relationship Id="rId7" Type="http://schemas.openxmlformats.org/officeDocument/2006/relationships/settings" Target="settings.xml"/><Relationship Id="rId12" Type="http://schemas.openxmlformats.org/officeDocument/2006/relationships/hyperlink" Target="https://www.itu.int/md/S17-CL-C-0043/en" TargetMode="External"/><Relationship Id="rId17" Type="http://schemas.openxmlformats.org/officeDocument/2006/relationships/hyperlink" Target="https://www.itu.int/md/S24-CL-C-0038/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S19-CL-C-0120/en" TargetMode="External"/><Relationship Id="rId20" Type="http://schemas.openxmlformats.org/officeDocument/2006/relationships/hyperlink" Target="https://www.itu.int/md/S24-CL-C-0038/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fhr/Pages/default.asp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md/S17-CL-C-0134/en" TargetMode="External"/><Relationship Id="rId23" Type="http://schemas.openxmlformats.org/officeDocument/2006/relationships/hyperlink" Target="https://www.itu.int/itu-t/recommendations/rec.aspx?rec=8728"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md/S17-CL-C-0134/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7-CL-C-0133/en" TargetMode="External"/><Relationship Id="rId22" Type="http://schemas.openxmlformats.org/officeDocument/2006/relationships/chart" Target="charts/chart1.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600" b="1" i="0" u="none" strike="noStrike" kern="1200" spc="0" normalizeH="0" baseline="0">
                <a:solidFill>
                  <a:schemeClr val="dk1">
                    <a:lumMod val="50000"/>
                    <a:lumOff val="50000"/>
                  </a:schemeClr>
                </a:solidFill>
                <a:latin typeface="+mj-lt"/>
                <a:ea typeface="+mj-ea"/>
                <a:cs typeface="+mj-cs"/>
              </a:defRPr>
            </a:pPr>
            <a:r>
              <a:rPr lang="en-US" sz="1200" b="0">
                <a:solidFill>
                  <a:schemeClr val="tx1"/>
                </a:solidFill>
                <a:latin typeface="+mn-lt"/>
              </a:rPr>
              <a:t>15 December 2024 - IIN contact information status</a:t>
            </a:r>
            <a:br>
              <a:rPr lang="en-US" sz="1200" b="0">
                <a:solidFill>
                  <a:schemeClr val="tx1"/>
                </a:solidFill>
                <a:latin typeface="+mn-lt"/>
              </a:rPr>
            </a:br>
            <a:r>
              <a:rPr lang="en-US" sz="1200" b="0">
                <a:solidFill>
                  <a:schemeClr val="tx1"/>
                </a:solidFill>
                <a:latin typeface="+mn-lt"/>
              </a:rPr>
              <a:t>(total IIN records</a:t>
            </a:r>
            <a:r>
              <a:rPr lang="en-US" sz="1200" b="0" baseline="0">
                <a:solidFill>
                  <a:schemeClr val="tx1"/>
                </a:solidFill>
                <a:latin typeface="+mn-lt"/>
              </a:rPr>
              <a:t> = 917)</a:t>
            </a:r>
            <a:endParaRPr lang="en-US" sz="1200" b="0">
              <a:solidFill>
                <a:schemeClr val="tx1"/>
              </a:solidFill>
              <a:latin typeface="+mn-lt"/>
            </a:endParaRPr>
          </a:p>
        </c:rich>
      </c:tx>
      <c:layout>
        <c:manualLayout>
          <c:xMode val="edge"/>
          <c:yMode val="edge"/>
          <c:x val="4.290266841644795E-2"/>
          <c:y val="4.1666666666666664E-2"/>
        </c:manualLayout>
      </c:layout>
      <c:overlay val="0"/>
      <c:spPr>
        <a:noFill/>
        <a:ln>
          <a:noFill/>
        </a:ln>
        <a:effectLst/>
      </c:spPr>
      <c:txPr>
        <a:bodyPr rot="0" spcFirstLastPara="1" vertOverflow="ellipsis" vert="horz" wrap="square" anchor="ctr" anchorCtr="1"/>
        <a:lstStyle/>
        <a:p>
          <a:pPr algn="ctr">
            <a:defRPr sz="1600" b="1" i="0" u="none" strike="noStrike" kern="1200" spc="0" normalizeH="0" baseline="0">
              <a:solidFill>
                <a:schemeClr val="dk1">
                  <a:lumMod val="50000"/>
                  <a:lumOff val="50000"/>
                </a:schemeClr>
              </a:solidFill>
              <a:latin typeface="+mj-lt"/>
              <a:ea typeface="+mj-ea"/>
              <a:cs typeface="+mj-cs"/>
            </a:defRPr>
          </a:pPr>
          <a:endParaRPr lang="en-US"/>
        </a:p>
      </c:txPr>
    </c:title>
    <c:autoTitleDeleted val="0"/>
    <c:plotArea>
      <c:layout/>
      <c:pieChart>
        <c:varyColors val="1"/>
        <c:ser>
          <c:idx val="0"/>
          <c:order val="0"/>
          <c:dPt>
            <c:idx val="0"/>
            <c:bubble3D val="0"/>
            <c:spPr>
              <a:solidFill>
                <a:srgbClr val="00B050"/>
              </a:solidFill>
              <a:ln w="19050">
                <a:solidFill>
                  <a:schemeClr val="lt1"/>
                </a:solidFill>
              </a:ln>
              <a:effectLst/>
            </c:spPr>
            <c:extLst>
              <c:ext xmlns:c16="http://schemas.microsoft.com/office/drawing/2014/chart" uri="{C3380CC4-5D6E-409C-BE32-E72D297353CC}">
                <c16:uniqueId val="{00000001-061C-4280-B5AE-7DBB7CB5EA45}"/>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061C-4280-B5AE-7DBB7CB5EA45}"/>
              </c:ext>
            </c:extLst>
          </c:dPt>
          <c:dPt>
            <c:idx val="2"/>
            <c:bubble3D val="0"/>
            <c:spPr>
              <a:solidFill>
                <a:schemeClr val="accent2"/>
              </a:solidFill>
              <a:ln w="19050">
                <a:solidFill>
                  <a:schemeClr val="lt1"/>
                </a:solidFill>
              </a:ln>
              <a:effectLst/>
            </c:spPr>
            <c:extLst>
              <c:ext xmlns:c16="http://schemas.microsoft.com/office/drawing/2014/chart" uri="{C3380CC4-5D6E-409C-BE32-E72D297353CC}">
                <c16:uniqueId val="{00000005-061C-4280-B5AE-7DBB7CB5EA45}"/>
              </c:ext>
            </c:extLst>
          </c:dPt>
          <c:dPt>
            <c:idx val="3"/>
            <c:bubble3D val="0"/>
            <c:spPr>
              <a:solidFill>
                <a:schemeClr val="bg1">
                  <a:lumMod val="50000"/>
                </a:schemeClr>
              </a:solidFill>
              <a:ln w="19050">
                <a:solidFill>
                  <a:schemeClr val="lt1"/>
                </a:solidFill>
              </a:ln>
              <a:effectLst/>
            </c:spPr>
            <c:extLst>
              <c:ext xmlns:c16="http://schemas.microsoft.com/office/drawing/2014/chart" uri="{C3380CC4-5D6E-409C-BE32-E72D297353CC}">
                <c16:uniqueId val="{00000007-061C-4280-B5AE-7DBB7CB5EA45}"/>
              </c:ext>
            </c:extLst>
          </c:dPt>
          <c:dPt>
            <c:idx val="4"/>
            <c:bubble3D val="0"/>
            <c:spPr>
              <a:solidFill>
                <a:srgbClr val="FFC000"/>
              </a:solidFill>
              <a:ln w="19050">
                <a:solidFill>
                  <a:schemeClr val="lt1"/>
                </a:solidFill>
              </a:ln>
              <a:effectLst/>
            </c:spPr>
            <c:extLst>
              <c:ext xmlns:c16="http://schemas.microsoft.com/office/drawing/2014/chart" uri="{C3380CC4-5D6E-409C-BE32-E72D297353CC}">
                <c16:uniqueId val="{00000009-061C-4280-B5AE-7DBB7CB5EA45}"/>
              </c:ext>
            </c:extLst>
          </c:dPt>
          <c:dPt>
            <c:idx val="5"/>
            <c:bubble3D val="0"/>
            <c:spPr>
              <a:solidFill>
                <a:srgbClr val="0070C0"/>
              </a:solidFill>
              <a:ln w="19050">
                <a:solidFill>
                  <a:schemeClr val="lt1"/>
                </a:solidFill>
              </a:ln>
              <a:effectLst/>
            </c:spPr>
            <c:extLst>
              <c:ext xmlns:c16="http://schemas.microsoft.com/office/drawing/2014/chart" uri="{C3380CC4-5D6E-409C-BE32-E72D297353CC}">
                <c16:uniqueId val="{0000000B-061C-4280-B5AE-7DBB7CB5EA45}"/>
              </c:ext>
            </c:extLst>
          </c:dPt>
          <c:dLbls>
            <c:dLbl>
              <c:idx val="0"/>
              <c:tx>
                <c:rich>
                  <a:bodyPr/>
                  <a:lstStyle/>
                  <a:p>
                    <a:r>
                      <a:rPr lang="en-US"/>
                      <a:t>533</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61C-4280-B5AE-7DBB7CB5EA45}"/>
                </c:ext>
              </c:extLst>
            </c:dLbl>
            <c:dLbl>
              <c:idx val="4"/>
              <c:layout>
                <c:manualLayout>
                  <c:x val="2.1744750656167978E-2"/>
                  <c:y val="3.9749198016914549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61C-4280-B5AE-7DBB7CB5EA45}"/>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Sheet1!$A$1:$A$6</c:f>
              <c:strCache>
                <c:ptCount val="6"/>
                <c:pt idx="0">
                  <c:v>contact info confirmed</c:v>
                </c:pt>
                <c:pt idx="1">
                  <c:v>Canada-
contact info in progress</c:v>
                </c:pt>
                <c:pt idx="2">
                  <c:v>USA-
contact info in progress</c:v>
                </c:pt>
                <c:pt idx="3">
                  <c:v>UK-
contact info in progress</c:v>
                </c:pt>
                <c:pt idx="4">
                  <c:v>Netherlands-
contact info in progress</c:v>
                </c:pt>
                <c:pt idx="5">
                  <c:v>Other countries-
contact info in progress</c:v>
                </c:pt>
              </c:strCache>
            </c:strRef>
          </c:cat>
          <c:val>
            <c:numRef>
              <c:f>Sheet1!$B$1:$B$6</c:f>
              <c:numCache>
                <c:formatCode>General</c:formatCode>
                <c:ptCount val="6"/>
                <c:pt idx="0">
                  <c:v>514</c:v>
                </c:pt>
                <c:pt idx="1">
                  <c:v>28</c:v>
                </c:pt>
                <c:pt idx="2">
                  <c:v>140</c:v>
                </c:pt>
                <c:pt idx="3">
                  <c:v>50</c:v>
                </c:pt>
                <c:pt idx="4">
                  <c:v>19</c:v>
                </c:pt>
                <c:pt idx="5">
                  <c:v>147</c:v>
                </c:pt>
              </c:numCache>
            </c:numRef>
          </c:val>
          <c:extLst>
            <c:ext xmlns:c16="http://schemas.microsoft.com/office/drawing/2014/chart" uri="{C3380CC4-5D6E-409C-BE32-E72D297353CC}">
              <c16:uniqueId val="{0000000C-061C-4280-B5AE-7DBB7CB5EA4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6664698162729663"/>
          <c:y val="0.1918773134127465"/>
          <c:w val="0.28335301837270344"/>
          <c:h val="0.7115445184736523"/>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ée un document." ma:contentTypeScope="" ma:versionID="d6c6e38c4589dcee62b48f8a665f3987">
  <xsd:schema xmlns:xsd="http://www.w3.org/2001/XMLSchema" xmlns:xs="http://www.w3.org/2001/XMLSchema" xmlns:p="http://schemas.microsoft.com/office/2006/metadata/properties" xmlns:ns2="a1cf676c-2816-4389-ad5d-0f2e7c7e67c4" targetNamespace="http://schemas.microsoft.com/office/2006/metadata/properties" ma:root="true" ma:fieldsID="44755b07a5be81f22226977d6deff6e5"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4B3919-1497-4C50-B81F-40CE7056DE2D}">
  <ds:schemaRefs>
    <ds:schemaRef ds:uri="http://purl.org/dc/dcmitype/"/>
    <ds:schemaRef ds:uri="a1cf676c-2816-4389-ad5d-0f2e7c7e67c4"/>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D6042DEA-7245-4407-8B98-B79B6943F447}">
  <ds:schemaRefs>
    <ds:schemaRef ds:uri="http://schemas.microsoft.com/sharepoint/v3/contenttype/forms"/>
  </ds:schemaRefs>
</ds:datastoreItem>
</file>

<file path=customXml/itemProps4.xml><?xml version="1.0" encoding="utf-8"?>
<ds:datastoreItem xmlns:ds="http://schemas.openxmlformats.org/officeDocument/2006/customXml" ds:itemID="{52D6F110-7E0E-4D8B-8507-CEE30AB5F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853</Words>
  <Characters>5608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Proposed revision to Council Decision 601</vt:lpstr>
    </vt:vector>
  </TitlesOfParts>
  <Manager/>
  <Company/>
  <LinksUpToDate>false</LinksUpToDate>
  <CharactersWithSpaces>6449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revision to Council Decision 601</dc:title>
  <dc:subject>ITU Council Working Group on financial and human resources</dc:subject>
  <cp:keywords>CWG-FHR</cp:keywords>
  <dc:description/>
  <cp:revision>3</cp:revision>
  <dcterms:created xsi:type="dcterms:W3CDTF">2025-01-20T15:52:00Z</dcterms:created>
  <dcterms:modified xsi:type="dcterms:W3CDTF">2025-01-20T15:59:00Z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0x01010096B2CC4DF5F10149B2E37F08EDC3AC3A</vt:lpwstr>
  </property>
</Properties>
</file>