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37FB4389">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249ABA44"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007D92">
              <w:rPr>
                <w:b/>
                <w:lang w:val="fr-FR"/>
              </w:rPr>
              <w:t>12</w:t>
            </w:r>
          </w:p>
        </w:tc>
      </w:tr>
      <w:tr w:rsidR="00AD3606" w:rsidRPr="00147C54" w14:paraId="6F6AB1F4" w14:textId="77777777" w:rsidTr="37FB4389">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0C32677C" w:rsidR="00AD3606" w:rsidRPr="00147C54" w:rsidRDefault="00FA086C" w:rsidP="00AD3606">
            <w:pPr>
              <w:tabs>
                <w:tab w:val="left" w:pos="851"/>
              </w:tabs>
              <w:spacing w:before="0"/>
              <w:jc w:val="right"/>
              <w:rPr>
                <w:b/>
              </w:rPr>
            </w:pPr>
            <w:r>
              <w:rPr>
                <w:b/>
              </w:rPr>
              <w:t>20</w:t>
            </w:r>
            <w:r w:rsidR="004D274F">
              <w:rPr>
                <w:b/>
              </w:rPr>
              <w:t xml:space="preserve"> January 2025</w:t>
            </w:r>
          </w:p>
        </w:tc>
      </w:tr>
      <w:tr w:rsidR="00AD3606" w:rsidRPr="00147C54" w14:paraId="15660587" w14:textId="77777777" w:rsidTr="37FB4389">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37FB4389">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37FB4389">
        <w:trPr>
          <w:cantSplit/>
        </w:trPr>
        <w:tc>
          <w:tcPr>
            <w:tcW w:w="9214" w:type="dxa"/>
            <w:gridSpan w:val="2"/>
            <w:tcMar>
              <w:left w:w="0" w:type="dxa"/>
            </w:tcMar>
          </w:tcPr>
          <w:p w14:paraId="57AE1C6C" w14:textId="5CE57145" w:rsidR="00AD3606" w:rsidRPr="00147C54" w:rsidRDefault="000F6AB8" w:rsidP="00E4728B">
            <w:pPr>
              <w:pStyle w:val="Source"/>
              <w:framePr w:hSpace="0" w:wrap="auto" w:vAnchor="margin" w:hAnchor="text" w:xAlign="left" w:yAlign="inline"/>
            </w:pPr>
            <w:bookmarkStart w:id="8" w:name="dsource" w:colFirst="0" w:colLast="0"/>
            <w:bookmarkEnd w:id="7"/>
            <w:r>
              <w:t>Report</w:t>
            </w:r>
            <w:r w:rsidRPr="00676C7D">
              <w:t xml:space="preserve"> by the </w:t>
            </w:r>
            <w:r w:rsidR="004D3B0A">
              <w:t>Secretary-General</w:t>
            </w:r>
          </w:p>
        </w:tc>
      </w:tr>
      <w:tr w:rsidR="00AD3606" w:rsidRPr="00147C54" w14:paraId="16EB458A" w14:textId="77777777" w:rsidTr="37FB4389">
        <w:trPr>
          <w:cantSplit/>
        </w:trPr>
        <w:tc>
          <w:tcPr>
            <w:tcW w:w="9214" w:type="dxa"/>
            <w:gridSpan w:val="2"/>
            <w:tcMar>
              <w:left w:w="0" w:type="dxa"/>
            </w:tcMar>
          </w:tcPr>
          <w:p w14:paraId="0DA1E56D" w14:textId="4DC069B9" w:rsidR="00AD3606" w:rsidRPr="00147C54" w:rsidRDefault="00A769C7" w:rsidP="00E4728B">
            <w:pPr>
              <w:pStyle w:val="Subtitle"/>
              <w:framePr w:hSpace="0" w:wrap="auto" w:xAlign="left" w:yAlign="inline"/>
            </w:pPr>
            <w:bookmarkStart w:id="9" w:name="dtitle1" w:colFirst="0" w:colLast="0"/>
            <w:bookmarkEnd w:id="8"/>
            <w:r w:rsidRPr="00E3336A">
              <w:t xml:space="preserve">PROGRESS </w:t>
            </w:r>
            <w:r w:rsidRPr="4474BFC3">
              <w:rPr>
                <w:rFonts w:eastAsia="Calibri" w:cs="Calibri"/>
              </w:rPr>
              <w:t xml:space="preserve">ON THE IMPLEMENTATION OF IT, CYBERSECURITY, AND DATA GOVERNANCE </w:t>
            </w:r>
            <w:r w:rsidRPr="00E3336A">
              <w:t xml:space="preserve">AND IT </w:t>
            </w:r>
            <w:r>
              <w:t>ROADMAP</w:t>
            </w:r>
            <w:r w:rsidRPr="00E3336A">
              <w:t xml:space="preserve"> </w:t>
            </w:r>
            <w:r>
              <w:t>I</w:t>
            </w:r>
            <w:r w:rsidRPr="00E3336A">
              <w:t xml:space="preserve">MPLEMENTATION </w:t>
            </w:r>
            <w:r>
              <w:t>R</w:t>
            </w:r>
            <w:r w:rsidRPr="00E3336A">
              <w:t>EPORT</w:t>
            </w:r>
          </w:p>
        </w:tc>
      </w:tr>
      <w:tr w:rsidR="00AD3606" w:rsidRPr="00147C54" w14:paraId="5E1AA971" w14:textId="77777777" w:rsidTr="37FB4389">
        <w:trPr>
          <w:cantSplit/>
        </w:trPr>
        <w:tc>
          <w:tcPr>
            <w:tcW w:w="9214" w:type="dxa"/>
            <w:gridSpan w:val="2"/>
            <w:tcBorders>
              <w:top w:val="single" w:sz="4" w:space="0" w:color="auto"/>
              <w:bottom w:val="single" w:sz="4" w:space="0" w:color="auto"/>
            </w:tcBorders>
            <w:tcMar>
              <w:left w:w="0" w:type="dxa"/>
            </w:tcMar>
          </w:tcPr>
          <w:p w14:paraId="5AD788C9" w14:textId="77777777" w:rsidR="00AD3606" w:rsidRPr="00147C54" w:rsidRDefault="3B17F24A" w:rsidP="00F16BAB">
            <w:pPr>
              <w:spacing w:before="160"/>
              <w:rPr>
                <w:b/>
                <w:bCs/>
                <w:sz w:val="26"/>
                <w:szCs w:val="26"/>
              </w:rPr>
            </w:pPr>
            <w:r w:rsidRPr="37FB4389">
              <w:rPr>
                <w:b/>
                <w:bCs/>
                <w:sz w:val="26"/>
                <w:szCs w:val="26"/>
              </w:rPr>
              <w:t>Purpose</w:t>
            </w:r>
          </w:p>
          <w:p w14:paraId="5F2E305D" w14:textId="05B2F644" w:rsidR="0E42F7EB" w:rsidRDefault="0E42F7EB" w:rsidP="37FB4389">
            <w:pPr>
              <w:spacing w:before="160"/>
              <w:jc w:val="both"/>
              <w:rPr>
                <w:rFonts w:eastAsia="Calibri" w:cs="Calibri"/>
                <w:szCs w:val="24"/>
              </w:rPr>
            </w:pPr>
            <w:r w:rsidRPr="37FB4389">
              <w:rPr>
                <w:rFonts w:eastAsia="Calibri" w:cs="Calibri"/>
                <w:color w:val="000000" w:themeColor="text1"/>
                <w:szCs w:val="24"/>
              </w:rPr>
              <w:t>This document provides an update on the implementation of IT, cybersecurity, and data governance in ITU, along with progress on the implementation of the IT roadmap.</w:t>
            </w:r>
          </w:p>
          <w:p w14:paraId="486924FF" w14:textId="77777777" w:rsidR="00AD3606" w:rsidRPr="00147C54" w:rsidRDefault="00AD3606" w:rsidP="00F16BAB">
            <w:pPr>
              <w:spacing w:before="160"/>
              <w:rPr>
                <w:b/>
                <w:bCs/>
                <w:sz w:val="26"/>
                <w:szCs w:val="26"/>
              </w:rPr>
            </w:pPr>
            <w:r w:rsidRPr="00147C54">
              <w:rPr>
                <w:b/>
                <w:bCs/>
                <w:sz w:val="26"/>
                <w:szCs w:val="26"/>
              </w:rPr>
              <w:t>Action required</w:t>
            </w:r>
          </w:p>
          <w:p w14:paraId="04BD14AB" w14:textId="788C1387" w:rsidR="0025570E" w:rsidRPr="004405AB" w:rsidRDefault="000F6AB8" w:rsidP="000F6AB8">
            <w:pPr>
              <w:spacing w:before="160"/>
            </w:pPr>
            <w:r w:rsidRPr="00FD7016">
              <w:t xml:space="preserve">The </w:t>
            </w:r>
            <w:r>
              <w:t>Council Working Group on financial and human resources</w:t>
            </w:r>
            <w:r w:rsidRPr="00FD7016">
              <w:t xml:space="preserve"> is invited to</w:t>
            </w:r>
            <w:r>
              <w:t xml:space="preserve"> </w:t>
            </w:r>
            <w:r w:rsidR="004D274F">
              <w:rPr>
                <w:b/>
                <w:bCs/>
              </w:rPr>
              <w:t>note</w:t>
            </w:r>
            <w:r w:rsidR="004D274F" w:rsidRPr="004D274F">
              <w:t xml:space="preserve"> the report</w:t>
            </w:r>
            <w:r>
              <w:t>.</w:t>
            </w:r>
          </w:p>
          <w:p w14:paraId="64CEA947" w14:textId="77777777" w:rsidR="00AD3606" w:rsidRPr="00CD3C91" w:rsidRDefault="00CD3C91" w:rsidP="00CD3C91">
            <w:r>
              <w:t>_______________</w:t>
            </w:r>
          </w:p>
          <w:p w14:paraId="6740FBB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43062733" w14:textId="40A70D2A" w:rsidR="00AD3606" w:rsidRPr="004D274F" w:rsidRDefault="00876929" w:rsidP="004D274F">
            <w:pPr>
              <w:spacing w:after="160"/>
              <w:rPr>
                <w:i/>
                <w:iCs/>
                <w:sz w:val="22"/>
                <w:szCs w:val="22"/>
              </w:rPr>
            </w:pPr>
            <w:hyperlink r:id="rId11" w:history="1">
              <w:r w:rsidRPr="00695508">
                <w:rPr>
                  <w:rStyle w:val="Hyperlink"/>
                  <w:i/>
                  <w:iCs/>
                  <w:sz w:val="22"/>
                  <w:szCs w:val="22"/>
                </w:rPr>
                <w:t>CWG-FHR website</w:t>
              </w:r>
            </w:hyperlink>
            <w:r w:rsidRPr="00695508">
              <w:rPr>
                <w:i/>
                <w:iCs/>
                <w:sz w:val="22"/>
                <w:szCs w:val="22"/>
              </w:rPr>
              <w:t xml:space="preserve">; Documents </w:t>
            </w:r>
            <w:hyperlink r:id="rId12" w:history="1">
              <w:r w:rsidRPr="00695508">
                <w:rPr>
                  <w:rStyle w:val="Hyperlink"/>
                  <w:rFonts w:cstheme="minorHAnsi"/>
                  <w:i/>
                  <w:iCs/>
                  <w:sz w:val="22"/>
                  <w:szCs w:val="22"/>
                  <w:lang w:val="en-US"/>
                </w:rPr>
                <w:t>CWG-FHR-16/6(Rev.1)</w:t>
              </w:r>
            </w:hyperlink>
            <w:r w:rsidRPr="00695508">
              <w:rPr>
                <w:rFonts w:cstheme="minorHAnsi"/>
                <w:i/>
                <w:iCs/>
                <w:sz w:val="22"/>
                <w:szCs w:val="22"/>
                <w:lang w:val="en-US"/>
              </w:rPr>
              <w:t xml:space="preserve"> and </w:t>
            </w:r>
            <w:hyperlink r:id="rId13" w:history="1">
              <w:r w:rsidRPr="00695508">
                <w:rPr>
                  <w:rStyle w:val="Hyperlink"/>
                  <w:rFonts w:cstheme="minorHAnsi"/>
                  <w:i/>
                  <w:iCs/>
                  <w:sz w:val="22"/>
                  <w:szCs w:val="22"/>
                  <w:lang w:val="en-US"/>
                </w:rPr>
                <w:t>CWG-FHR-17/5</w:t>
              </w:r>
            </w:hyperlink>
            <w:r w:rsidRPr="00695508">
              <w:rPr>
                <w:rFonts w:cstheme="minorHAnsi"/>
                <w:i/>
                <w:iCs/>
                <w:sz w:val="22"/>
                <w:szCs w:val="22"/>
                <w:lang w:val="en-US"/>
              </w:rPr>
              <w:t>; Council Documents</w:t>
            </w:r>
            <w:r w:rsidRPr="00695508">
              <w:rPr>
                <w:i/>
                <w:iCs/>
                <w:sz w:val="22"/>
                <w:szCs w:val="22"/>
              </w:rPr>
              <w:t xml:space="preserve"> </w:t>
            </w:r>
            <w:hyperlink r:id="rId14" w:history="1">
              <w:r w:rsidRPr="00695508">
                <w:rPr>
                  <w:rStyle w:val="Hyperlink"/>
                  <w:i/>
                  <w:iCs/>
                  <w:sz w:val="22"/>
                  <w:szCs w:val="22"/>
                </w:rPr>
                <w:t>C22/57</w:t>
              </w:r>
            </w:hyperlink>
            <w:r w:rsidRPr="00695508">
              <w:rPr>
                <w:i/>
                <w:iCs/>
                <w:sz w:val="22"/>
                <w:szCs w:val="22"/>
              </w:rPr>
              <w:t>,</w:t>
            </w:r>
            <w:r w:rsidRPr="00695508">
              <w:rPr>
                <w:rFonts w:cstheme="minorHAnsi"/>
                <w:i/>
                <w:iCs/>
                <w:sz w:val="22"/>
                <w:szCs w:val="22"/>
                <w:lang w:val="en-US"/>
              </w:rPr>
              <w:t xml:space="preserve"> </w:t>
            </w:r>
            <w:hyperlink r:id="rId15" w:history="1">
              <w:r w:rsidRPr="00695508">
                <w:rPr>
                  <w:rStyle w:val="Hyperlink"/>
                  <w:i/>
                  <w:iCs/>
                  <w:sz w:val="22"/>
                  <w:szCs w:val="22"/>
                </w:rPr>
                <w:t>C23/22</w:t>
              </w:r>
            </w:hyperlink>
            <w:r w:rsidRPr="00695508">
              <w:rPr>
                <w:i/>
                <w:iCs/>
                <w:sz w:val="22"/>
                <w:szCs w:val="22"/>
              </w:rPr>
              <w:t xml:space="preserve">, </w:t>
            </w:r>
            <w:hyperlink r:id="rId16" w:history="1">
              <w:r w:rsidRPr="00695508">
                <w:rPr>
                  <w:rStyle w:val="Hyperlink"/>
                  <w:i/>
                  <w:iCs/>
                  <w:sz w:val="22"/>
                  <w:szCs w:val="22"/>
                </w:rPr>
                <w:t>C23/52</w:t>
              </w:r>
            </w:hyperlink>
            <w:r w:rsidRPr="00695508">
              <w:rPr>
                <w:i/>
                <w:iCs/>
                <w:sz w:val="22"/>
                <w:szCs w:val="22"/>
              </w:rPr>
              <w:t xml:space="preserve">, </w:t>
            </w:r>
            <w:hyperlink r:id="rId17" w:history="1">
              <w:r w:rsidRPr="00695508">
                <w:rPr>
                  <w:rStyle w:val="Hyperlink"/>
                  <w:i/>
                  <w:iCs/>
                  <w:sz w:val="22"/>
                  <w:szCs w:val="22"/>
                </w:rPr>
                <w:t>C23/INF/11</w:t>
              </w:r>
            </w:hyperlink>
            <w:r w:rsidRPr="00695508">
              <w:rPr>
                <w:i/>
                <w:iCs/>
                <w:sz w:val="22"/>
                <w:szCs w:val="22"/>
              </w:rPr>
              <w:t xml:space="preserve">, </w:t>
            </w:r>
            <w:hyperlink r:id="rId18" w:history="1">
              <w:r w:rsidRPr="00695508">
                <w:rPr>
                  <w:rStyle w:val="Hyperlink"/>
                  <w:i/>
                  <w:iCs/>
                  <w:sz w:val="22"/>
                  <w:szCs w:val="22"/>
                </w:rPr>
                <w:t>C24/19</w:t>
              </w:r>
            </w:hyperlink>
            <w:r w:rsidRPr="00695508">
              <w:rPr>
                <w:i/>
                <w:iCs/>
                <w:sz w:val="22"/>
                <w:szCs w:val="22"/>
              </w:rPr>
              <w:t xml:space="preserve">, </w:t>
            </w:r>
            <w:hyperlink r:id="rId19" w:history="1">
              <w:r w:rsidRPr="00695508">
                <w:rPr>
                  <w:rStyle w:val="Hyperlink"/>
                  <w:i/>
                  <w:iCs/>
                  <w:sz w:val="22"/>
                  <w:szCs w:val="22"/>
                </w:rPr>
                <w:t>C24/52</w:t>
              </w:r>
            </w:hyperlink>
            <w:r w:rsidRPr="00695508">
              <w:rPr>
                <w:i/>
                <w:iCs/>
                <w:sz w:val="22"/>
                <w:szCs w:val="22"/>
              </w:rPr>
              <w:t xml:space="preserve">, </w:t>
            </w:r>
            <w:hyperlink r:id="rId20" w:history="1">
              <w:r w:rsidRPr="00695508">
                <w:rPr>
                  <w:rStyle w:val="Hyperlink"/>
                  <w:i/>
                  <w:iCs/>
                  <w:sz w:val="22"/>
                  <w:szCs w:val="22"/>
                </w:rPr>
                <w:t>C24/54</w:t>
              </w:r>
            </w:hyperlink>
            <w:r w:rsidRPr="00695508">
              <w:rPr>
                <w:i/>
                <w:iCs/>
                <w:sz w:val="22"/>
                <w:szCs w:val="22"/>
              </w:rPr>
              <w:t xml:space="preserve"> and </w:t>
            </w:r>
            <w:hyperlink r:id="rId21" w:history="1">
              <w:r w:rsidRPr="00695508">
                <w:rPr>
                  <w:rStyle w:val="Hyperlink"/>
                  <w:i/>
                  <w:iCs/>
                  <w:sz w:val="22"/>
                  <w:szCs w:val="22"/>
                </w:rPr>
                <w:t>C24/73</w:t>
              </w:r>
            </w:hyperlink>
            <w:r w:rsidRPr="00695508">
              <w:rPr>
                <w:i/>
                <w:iCs/>
                <w:sz w:val="22"/>
                <w:szCs w:val="22"/>
              </w:rPr>
              <w:t xml:space="preserve">; </w:t>
            </w:r>
            <w:hyperlink r:id="rId22" w:history="1">
              <w:r w:rsidRPr="00695508">
                <w:rPr>
                  <w:rStyle w:val="Hyperlink"/>
                  <w:i/>
                  <w:iCs/>
                  <w:sz w:val="22"/>
                  <w:szCs w:val="22"/>
                </w:rPr>
                <w:t>JIU/REP/2021/3</w:t>
              </w:r>
            </w:hyperlink>
            <w:r w:rsidRPr="00695508">
              <w:rPr>
                <w:rStyle w:val="Hyperlink"/>
                <w:i/>
                <w:iCs/>
                <w:sz w:val="22"/>
                <w:szCs w:val="22"/>
              </w:rPr>
              <w:t>:</w:t>
            </w:r>
            <w:r w:rsidRPr="00695508">
              <w:rPr>
                <w:i/>
                <w:iCs/>
                <w:sz w:val="22"/>
                <w:szCs w:val="22"/>
              </w:rPr>
              <w:t xml:space="preserve"> Cybersecurity in the United Nations system organizations.</w:t>
            </w:r>
          </w:p>
        </w:tc>
      </w:tr>
    </w:tbl>
    <w:p w14:paraId="3FE32CB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386B5DD" w14:textId="77777777" w:rsidR="00C06D31" w:rsidRDefault="0090147A" w:rsidP="00C06D31">
      <w:r w:rsidRPr="00147C54">
        <w:br w:type="page"/>
      </w:r>
    </w:p>
    <w:p w14:paraId="55D0C9A8" w14:textId="1B55BED5" w:rsidR="006873FD" w:rsidRPr="009960B3" w:rsidRDefault="006873FD" w:rsidP="006873FD">
      <w:pPr>
        <w:pStyle w:val="Heading1"/>
      </w:pPr>
      <w:r w:rsidRPr="00077178">
        <w:lastRenderedPageBreak/>
        <w:t>1</w:t>
      </w:r>
      <w:r w:rsidRPr="00077178">
        <w:tab/>
      </w:r>
      <w:r w:rsidRPr="009960B3">
        <w:t xml:space="preserve">Introduction </w:t>
      </w:r>
    </w:p>
    <w:p w14:paraId="45D52532" w14:textId="77777777" w:rsidR="006873FD" w:rsidRDefault="006873FD" w:rsidP="006873FD">
      <w:pPr>
        <w:jc w:val="both"/>
      </w:pPr>
      <w:r w:rsidRPr="00742B10">
        <w:t xml:space="preserve">ITU is undergoing a significant transformation to adapt to </w:t>
      </w:r>
      <w:r>
        <w:t>the</w:t>
      </w:r>
      <w:r w:rsidRPr="00742B10">
        <w:t xml:space="preserve"> rapidly evolving global landscape, enhance </w:t>
      </w:r>
      <w:r>
        <w:t xml:space="preserve">operational </w:t>
      </w:r>
      <w:r w:rsidRPr="00742B10">
        <w:t>efficiency, foster innovation, and deliver exceptional services to its members (</w:t>
      </w:r>
      <w:r>
        <w:t xml:space="preserve">Documents </w:t>
      </w:r>
      <w:hyperlink r:id="rId23" w:history="1">
        <w:r w:rsidRPr="00742B10">
          <w:rPr>
            <w:rStyle w:val="Hyperlink"/>
            <w:rFonts w:cs="Calibri"/>
          </w:rPr>
          <w:t>C23/52</w:t>
        </w:r>
      </w:hyperlink>
      <w:r w:rsidRPr="00742B10">
        <w:t xml:space="preserve">, </w:t>
      </w:r>
      <w:hyperlink r:id="rId24" w:history="1">
        <w:r w:rsidRPr="00742B10">
          <w:rPr>
            <w:rStyle w:val="Hyperlink"/>
            <w:rFonts w:cs="Calibri"/>
          </w:rPr>
          <w:t>C24/52</w:t>
        </w:r>
      </w:hyperlink>
      <w:r>
        <w:t xml:space="preserve"> and</w:t>
      </w:r>
      <w:r w:rsidRPr="00742B10">
        <w:t xml:space="preserve"> </w:t>
      </w:r>
      <w:hyperlink r:id="rId25" w:history="1">
        <w:r w:rsidRPr="00742B10">
          <w:rPr>
            <w:rStyle w:val="Hyperlink"/>
            <w:rFonts w:cs="Calibri"/>
          </w:rPr>
          <w:t>C24/73</w:t>
        </w:r>
      </w:hyperlink>
      <w:r w:rsidRPr="00742B10">
        <w:t>).</w:t>
      </w:r>
      <w:r>
        <w:t xml:space="preserve"> </w:t>
      </w:r>
      <w:r w:rsidRPr="00742B10">
        <w:t xml:space="preserve">To support this transformation and ensure long-term </w:t>
      </w:r>
      <w:r>
        <w:t>sustainability</w:t>
      </w:r>
      <w:r w:rsidRPr="00742B10">
        <w:t xml:space="preserve">, ITU </w:t>
      </w:r>
      <w:r>
        <w:t>needs</w:t>
      </w:r>
      <w:r w:rsidRPr="00742B10">
        <w:t xml:space="preserve"> a robust IT foundation aligned with its business strategy and </w:t>
      </w:r>
      <w:r>
        <w:t>requirements</w:t>
      </w:r>
      <w:r w:rsidRPr="00742B10">
        <w:t xml:space="preserve">. </w:t>
      </w:r>
      <w:r>
        <w:t xml:space="preserve">This will require </w:t>
      </w:r>
      <w:r w:rsidRPr="00742B10">
        <w:t>both immediate and long-term substantial investments. To address these challenges, ITU has established a</w:t>
      </w:r>
      <w:r>
        <w:t xml:space="preserve">n </w:t>
      </w:r>
      <w:r w:rsidRPr="00742B10">
        <w:t>IT governance</w:t>
      </w:r>
      <w:r>
        <w:t xml:space="preserve"> framework that promotes collaboration </w:t>
      </w:r>
      <w:r w:rsidRPr="00742B10">
        <w:t xml:space="preserve">between business </w:t>
      </w:r>
      <w:r>
        <w:t xml:space="preserve">units </w:t>
      </w:r>
      <w:r w:rsidRPr="00742B10">
        <w:t xml:space="preserve">and IT for more efficient resource </w:t>
      </w:r>
      <w:r>
        <w:t>use</w:t>
      </w:r>
      <w:r w:rsidRPr="00742B10">
        <w:t>.</w:t>
      </w:r>
    </w:p>
    <w:p w14:paraId="1D00CFF9" w14:textId="77777777" w:rsidR="006873FD" w:rsidRPr="009960B3" w:rsidRDefault="006873FD" w:rsidP="006873FD">
      <w:pPr>
        <w:pStyle w:val="Heading1"/>
      </w:pPr>
      <w:r w:rsidRPr="00077178">
        <w:t>2</w:t>
      </w:r>
      <w:r w:rsidRPr="00077178">
        <w:tab/>
      </w:r>
      <w:r w:rsidRPr="009960B3">
        <w:t>Information and Communication Technology Governance Committee (ICTGC)</w:t>
      </w:r>
    </w:p>
    <w:p w14:paraId="43375102" w14:textId="77777777" w:rsidR="006873FD" w:rsidRDefault="006873FD" w:rsidP="006873FD">
      <w:pPr>
        <w:jc w:val="both"/>
      </w:pPr>
      <w:r>
        <w:t xml:space="preserve">As reported in Document </w:t>
      </w:r>
      <w:hyperlink r:id="rId26" w:history="1">
        <w:r w:rsidRPr="004362C7">
          <w:rPr>
            <w:rStyle w:val="Hyperlink"/>
            <w:rFonts w:cs="Calibri"/>
          </w:rPr>
          <w:t>C24/54</w:t>
        </w:r>
      </w:hyperlink>
      <w:r>
        <w:t xml:space="preserve">, the Information and Communication Technology Governance Committee (ICTGC) was established in 2024 </w:t>
      </w:r>
      <w:r w:rsidRPr="004362C7">
        <w:t xml:space="preserve">to oversee and strategically manage all governance aspects of Information Technology (IT), cybersecurity, and </w:t>
      </w:r>
      <w:r>
        <w:t>information/</w:t>
      </w:r>
      <w:r w:rsidRPr="004362C7">
        <w:t xml:space="preserve">data governance within </w:t>
      </w:r>
      <w:r>
        <w:t xml:space="preserve">ITU. </w:t>
      </w:r>
    </w:p>
    <w:p w14:paraId="3C2B937E" w14:textId="77777777" w:rsidR="006873FD" w:rsidRDefault="006873FD" w:rsidP="006873FD">
      <w:pPr>
        <w:jc w:val="both"/>
      </w:pPr>
      <w:r>
        <w:t>The Terms of Reference of the Committee were established by Service Order 24/10 (20 September 2024), “Information and Communication Technology Governance Committee.” Chaired by the Deputy Secretary-General, the ICTGC includes officials appointed by the Secretary-General and representatives from the Bureaux to ensure diverse ICT governance perspectives.</w:t>
      </w:r>
    </w:p>
    <w:p w14:paraId="6EC61379" w14:textId="77777777" w:rsidR="006873FD" w:rsidRDefault="006873FD" w:rsidP="006873FD">
      <w:pPr>
        <w:jc w:val="both"/>
      </w:pPr>
      <w:r>
        <w:t>Members appointed by the Secretary-General include:</w:t>
      </w:r>
    </w:p>
    <w:p w14:paraId="3FE60CD5" w14:textId="77777777" w:rsidR="006873FD" w:rsidRPr="009960B3" w:rsidRDefault="006873FD" w:rsidP="006873FD">
      <w:pPr>
        <w:pStyle w:val="enumlev1"/>
        <w:jc w:val="both"/>
      </w:pPr>
      <w:r w:rsidRPr="00AF5EBB">
        <w:rPr>
          <w:rFonts w:ascii="Symbol" w:hAnsi="Symbol"/>
        </w:rPr>
        <w:t></w:t>
      </w:r>
      <w:r w:rsidRPr="00AF5EBB">
        <w:rPr>
          <w:rFonts w:ascii="Symbol" w:hAnsi="Symbol"/>
        </w:rPr>
        <w:tab/>
      </w:r>
      <w:r w:rsidRPr="009960B3">
        <w:t>Chief, of Administration and Finance Department</w:t>
      </w:r>
    </w:p>
    <w:p w14:paraId="7787153A" w14:textId="77777777" w:rsidR="006873FD" w:rsidRPr="009960B3" w:rsidRDefault="006873FD" w:rsidP="006873FD">
      <w:pPr>
        <w:pStyle w:val="enumlev1"/>
        <w:jc w:val="both"/>
      </w:pPr>
      <w:r w:rsidRPr="00AF5EBB">
        <w:rPr>
          <w:rFonts w:ascii="Symbol" w:hAnsi="Symbol"/>
        </w:rPr>
        <w:t></w:t>
      </w:r>
      <w:r w:rsidRPr="00AF5EBB">
        <w:rPr>
          <w:rFonts w:ascii="Symbol" w:hAnsi="Symbol"/>
        </w:rPr>
        <w:tab/>
      </w:r>
      <w:r w:rsidRPr="009960B3">
        <w:t>one member from the Strategic Planning and Membership Department</w:t>
      </w:r>
    </w:p>
    <w:p w14:paraId="144647B6" w14:textId="77777777" w:rsidR="006873FD" w:rsidRPr="009960B3" w:rsidRDefault="006873FD" w:rsidP="006873FD">
      <w:pPr>
        <w:pStyle w:val="enumlev1"/>
        <w:jc w:val="both"/>
      </w:pPr>
      <w:r w:rsidRPr="00AF5EBB">
        <w:rPr>
          <w:rFonts w:ascii="Symbol" w:hAnsi="Symbol"/>
        </w:rPr>
        <w:t></w:t>
      </w:r>
      <w:r w:rsidRPr="00AF5EBB">
        <w:rPr>
          <w:rFonts w:ascii="Symbol" w:hAnsi="Symbol"/>
        </w:rPr>
        <w:tab/>
      </w:r>
      <w:r w:rsidRPr="009960B3">
        <w:t>one member from the Financial Resources Management Department</w:t>
      </w:r>
    </w:p>
    <w:p w14:paraId="6739CB7C" w14:textId="77777777" w:rsidR="006873FD" w:rsidRPr="009960B3" w:rsidRDefault="006873FD" w:rsidP="006873FD">
      <w:pPr>
        <w:pStyle w:val="enumlev1"/>
        <w:jc w:val="both"/>
      </w:pPr>
      <w:r w:rsidRPr="00AF5EBB">
        <w:rPr>
          <w:rFonts w:ascii="Symbol" w:hAnsi="Symbol"/>
        </w:rPr>
        <w:t></w:t>
      </w:r>
      <w:r w:rsidRPr="00AF5EBB">
        <w:rPr>
          <w:rFonts w:ascii="Symbol" w:hAnsi="Symbol"/>
        </w:rPr>
        <w:tab/>
      </w:r>
      <w:r w:rsidRPr="009960B3">
        <w:t>one member from the Transformation Team Unit</w:t>
      </w:r>
    </w:p>
    <w:p w14:paraId="2F4040FE" w14:textId="77777777" w:rsidR="006873FD" w:rsidRPr="009960B3" w:rsidRDefault="006873FD" w:rsidP="006873FD">
      <w:pPr>
        <w:pStyle w:val="enumlev1"/>
        <w:jc w:val="both"/>
      </w:pPr>
      <w:r w:rsidRPr="00AF5EBB">
        <w:rPr>
          <w:rFonts w:ascii="Symbol" w:hAnsi="Symbol"/>
        </w:rPr>
        <w:t></w:t>
      </w:r>
      <w:r w:rsidRPr="00AF5EBB">
        <w:rPr>
          <w:rFonts w:ascii="Symbol" w:hAnsi="Symbol"/>
        </w:rPr>
        <w:tab/>
      </w:r>
      <w:r w:rsidRPr="009960B3">
        <w:t>one member from the Conferences and Publications Department</w:t>
      </w:r>
    </w:p>
    <w:p w14:paraId="4F0A2E28" w14:textId="77777777" w:rsidR="006873FD" w:rsidRPr="009960B3" w:rsidRDefault="006873FD" w:rsidP="006873FD">
      <w:pPr>
        <w:pStyle w:val="enumlev1"/>
        <w:jc w:val="both"/>
      </w:pPr>
      <w:r w:rsidRPr="00AF5EBB">
        <w:rPr>
          <w:rFonts w:ascii="Symbol" w:hAnsi="Symbol"/>
        </w:rPr>
        <w:t></w:t>
      </w:r>
      <w:r w:rsidRPr="00AF5EBB">
        <w:rPr>
          <w:rFonts w:ascii="Symbol" w:hAnsi="Symbol"/>
        </w:rPr>
        <w:tab/>
      </w:r>
      <w:r w:rsidRPr="009960B3">
        <w:t>one member from the Information Services Department</w:t>
      </w:r>
    </w:p>
    <w:p w14:paraId="5499A539" w14:textId="77777777" w:rsidR="006873FD" w:rsidRPr="009960B3" w:rsidRDefault="006873FD" w:rsidP="006873FD">
      <w:pPr>
        <w:pStyle w:val="enumlev1"/>
        <w:jc w:val="both"/>
      </w:pPr>
      <w:r w:rsidRPr="00AF5EBB">
        <w:rPr>
          <w:rFonts w:ascii="Symbol" w:hAnsi="Symbol"/>
        </w:rPr>
        <w:t></w:t>
      </w:r>
      <w:r w:rsidRPr="00AF5EBB">
        <w:rPr>
          <w:rFonts w:ascii="Symbol" w:hAnsi="Symbol"/>
        </w:rPr>
        <w:tab/>
      </w:r>
      <w:r w:rsidRPr="009960B3">
        <w:t>one member from the Information Services Department, ICT Security</w:t>
      </w:r>
    </w:p>
    <w:p w14:paraId="25645CBE" w14:textId="77777777" w:rsidR="006873FD" w:rsidRPr="009960B3" w:rsidRDefault="006873FD" w:rsidP="006873FD">
      <w:pPr>
        <w:pStyle w:val="enumlev1"/>
        <w:jc w:val="both"/>
      </w:pPr>
      <w:r>
        <w:rPr>
          <w:rFonts w:ascii="Symbol" w:hAnsi="Symbol"/>
        </w:rPr>
        <w:t></w:t>
      </w:r>
      <w:r>
        <w:rPr>
          <w:rFonts w:ascii="Symbol" w:hAnsi="Symbol"/>
        </w:rPr>
        <w:tab/>
      </w:r>
      <w:r w:rsidRPr="009960B3">
        <w:t>one member from the Information Services Department, Information Management Service</w:t>
      </w:r>
      <w:r>
        <w:t>.</w:t>
      </w:r>
    </w:p>
    <w:p w14:paraId="1646A11E" w14:textId="77777777" w:rsidR="006873FD" w:rsidRDefault="006873FD" w:rsidP="006873FD">
      <w:pPr>
        <w:jc w:val="both"/>
      </w:pPr>
      <w:r>
        <w:t>Members appointed upon recommendation of the Director of the Bureau concerned include:</w:t>
      </w:r>
    </w:p>
    <w:p w14:paraId="2E9FC94D" w14:textId="77777777" w:rsidR="006873FD" w:rsidRPr="009960B3" w:rsidRDefault="006873FD" w:rsidP="006873FD">
      <w:pPr>
        <w:pStyle w:val="enumlev1"/>
        <w:jc w:val="both"/>
      </w:pPr>
      <w:r w:rsidRPr="00D300A9">
        <w:rPr>
          <w:rFonts w:ascii="Symbol" w:hAnsi="Symbol"/>
        </w:rPr>
        <w:t></w:t>
      </w:r>
      <w:r w:rsidRPr="00D300A9">
        <w:rPr>
          <w:rFonts w:ascii="Symbol" w:hAnsi="Symbol"/>
        </w:rPr>
        <w:tab/>
      </w:r>
      <w:r w:rsidRPr="009960B3">
        <w:t>one member from the Radiocommunication Bureau</w:t>
      </w:r>
    </w:p>
    <w:p w14:paraId="42FA5ACD" w14:textId="77777777" w:rsidR="006873FD" w:rsidRPr="009960B3" w:rsidRDefault="006873FD" w:rsidP="006873FD">
      <w:pPr>
        <w:pStyle w:val="enumlev1"/>
        <w:jc w:val="both"/>
      </w:pPr>
      <w:r w:rsidRPr="00D300A9">
        <w:rPr>
          <w:rFonts w:ascii="Symbol" w:hAnsi="Symbol"/>
        </w:rPr>
        <w:t></w:t>
      </w:r>
      <w:r w:rsidRPr="00D300A9">
        <w:rPr>
          <w:rFonts w:ascii="Symbol" w:hAnsi="Symbol"/>
        </w:rPr>
        <w:tab/>
      </w:r>
      <w:r w:rsidRPr="009960B3">
        <w:t>one member from the Telecommunication Standardization Bureau</w:t>
      </w:r>
    </w:p>
    <w:p w14:paraId="197A3D6C" w14:textId="77777777" w:rsidR="006873FD" w:rsidRPr="009960B3" w:rsidRDefault="006873FD" w:rsidP="006873FD">
      <w:pPr>
        <w:pStyle w:val="enumlev1"/>
        <w:jc w:val="both"/>
      </w:pPr>
      <w:r w:rsidRPr="00D300A9">
        <w:rPr>
          <w:rFonts w:ascii="Symbol" w:hAnsi="Symbol"/>
        </w:rPr>
        <w:t></w:t>
      </w:r>
      <w:r w:rsidRPr="00D300A9">
        <w:rPr>
          <w:rFonts w:ascii="Symbol" w:hAnsi="Symbol"/>
        </w:rPr>
        <w:tab/>
      </w:r>
      <w:r w:rsidRPr="009960B3">
        <w:t>one member from the Telecommunication Development Bureau.</w:t>
      </w:r>
    </w:p>
    <w:p w14:paraId="01930EA3" w14:textId="77777777" w:rsidR="006873FD" w:rsidRDefault="006873FD" w:rsidP="006873FD">
      <w:pPr>
        <w:jc w:val="both"/>
      </w:pPr>
      <w:r>
        <w:t xml:space="preserve">The ICTGC meets on a regular basis and reports to the Secretary-General. The meetings in 2024 </w:t>
      </w:r>
      <w:r w:rsidRPr="00AF5EBB">
        <w:t>focus</w:t>
      </w:r>
      <w:r>
        <w:t xml:space="preserve">sed </w:t>
      </w:r>
      <w:r w:rsidRPr="00AF5EBB">
        <w:t>on several essential areas:</w:t>
      </w:r>
    </w:p>
    <w:p w14:paraId="01A531C0" w14:textId="13F5BAF6" w:rsidR="006873FD" w:rsidRPr="009960B3" w:rsidRDefault="006873FD" w:rsidP="006873FD">
      <w:pPr>
        <w:pStyle w:val="enumlev1"/>
      </w:pPr>
      <w:r>
        <w:t>1</w:t>
      </w:r>
      <w:r>
        <w:tab/>
      </w:r>
      <w:r w:rsidR="000604F2" w:rsidRPr="009960B3">
        <w:t xml:space="preserve">information </w:t>
      </w:r>
      <w:r w:rsidRPr="009960B3">
        <w:t>governance</w:t>
      </w:r>
    </w:p>
    <w:p w14:paraId="39723E83" w14:textId="56512A83" w:rsidR="006873FD" w:rsidRPr="00B158C9" w:rsidRDefault="006873FD" w:rsidP="006873FD">
      <w:pPr>
        <w:pStyle w:val="enumlev1"/>
      </w:pPr>
      <w:r w:rsidRPr="00B158C9">
        <w:t>2</w:t>
      </w:r>
      <w:r w:rsidRPr="00B158C9">
        <w:tab/>
      </w:r>
      <w:r w:rsidR="000604F2" w:rsidRPr="00B158C9">
        <w:t xml:space="preserve">enterprise </w:t>
      </w:r>
      <w:r w:rsidR="000604F2">
        <w:t>a</w:t>
      </w:r>
      <w:r w:rsidR="000604F2" w:rsidRPr="00B158C9">
        <w:t>rchitecture</w:t>
      </w:r>
    </w:p>
    <w:p w14:paraId="6ED4E98F" w14:textId="433BC93C" w:rsidR="006873FD" w:rsidRPr="009960B3" w:rsidRDefault="006873FD" w:rsidP="006873FD">
      <w:pPr>
        <w:pStyle w:val="enumlev1"/>
      </w:pPr>
      <w:r>
        <w:t>3</w:t>
      </w:r>
      <w:r>
        <w:tab/>
      </w:r>
      <w:r w:rsidR="000604F2" w:rsidRPr="009960B3">
        <w:t xml:space="preserve">review </w:t>
      </w:r>
      <w:r w:rsidRPr="009960B3">
        <w:t>of cross-Sector projects financed by the ICT Capital Fund</w:t>
      </w:r>
      <w:r>
        <w:t>.</w:t>
      </w:r>
    </w:p>
    <w:p w14:paraId="79110CDB" w14:textId="202858C7" w:rsidR="006873FD" w:rsidRDefault="006873FD" w:rsidP="000604F2">
      <w:pPr>
        <w:jc w:val="both"/>
      </w:pPr>
      <w:r>
        <w:lastRenderedPageBreak/>
        <w:t xml:space="preserve">The guidance of the ICTGC is crucial for refining IT strategy and activities and aligning them with the ITU Transformation Roadmap </w:t>
      </w:r>
      <w:r w:rsidRPr="004F7727">
        <w:t>(</w:t>
      </w:r>
      <w:r w:rsidR="000604F2">
        <w:t xml:space="preserve">Doc. </w:t>
      </w:r>
      <w:hyperlink r:id="rId27">
        <w:r w:rsidRPr="51C26575">
          <w:rPr>
            <w:rStyle w:val="Hyperlink"/>
            <w:rFonts w:cs="Calibri"/>
          </w:rPr>
          <w:t>C24/73</w:t>
        </w:r>
      </w:hyperlink>
      <w:r w:rsidRPr="004F7727">
        <w:t>)</w:t>
      </w:r>
      <w:r>
        <w:t xml:space="preserve"> to improve the organization's IT capabilities and infrastructure.</w:t>
      </w:r>
    </w:p>
    <w:p w14:paraId="1E271BC8" w14:textId="77777777" w:rsidR="006873FD" w:rsidRPr="009960B3" w:rsidRDefault="006873FD" w:rsidP="006873FD">
      <w:pPr>
        <w:pStyle w:val="Heading1"/>
      </w:pPr>
      <w:r w:rsidRPr="00077178">
        <w:t>3</w:t>
      </w:r>
      <w:r w:rsidRPr="00077178">
        <w:tab/>
      </w:r>
      <w:r w:rsidRPr="009960B3">
        <w:t>Progress with respect to the IT transformation roadmap</w:t>
      </w:r>
    </w:p>
    <w:p w14:paraId="5D6182A0" w14:textId="3807A2AB" w:rsidR="006873FD" w:rsidRPr="00181EA0" w:rsidRDefault="006873FD" w:rsidP="006873FD">
      <w:pPr>
        <w:jc w:val="both"/>
        <w:rPr>
          <w:color w:val="000000"/>
        </w:rPr>
      </w:pPr>
      <w:r>
        <w:rPr>
          <w:color w:val="000000"/>
        </w:rPr>
        <w:t>De</w:t>
      </w:r>
      <w:r w:rsidRPr="006D4F64">
        <w:rPr>
          <w:color w:val="000000"/>
        </w:rPr>
        <w:t xml:space="preserve">tails on ITU’s IT transformation roadmap are outlined in the full </w:t>
      </w:r>
      <w:r w:rsidRPr="00642894">
        <w:rPr>
          <w:color w:val="000000"/>
        </w:rPr>
        <w:t xml:space="preserve">report </w:t>
      </w:r>
      <w:hyperlink r:id="rId28" w:history="1">
        <w:r w:rsidRPr="00642894">
          <w:rPr>
            <w:rStyle w:val="Hyperlink"/>
            <w:rFonts w:cs="Calibri"/>
          </w:rPr>
          <w:t>C23/INF/11</w:t>
        </w:r>
      </w:hyperlink>
      <w:r w:rsidRPr="00642894">
        <w:t>.</w:t>
      </w:r>
      <w:r>
        <w:t xml:space="preserve"> This roadmap has led to developments in various technological domains. </w:t>
      </w:r>
    </w:p>
    <w:p w14:paraId="00DD0C18" w14:textId="77777777" w:rsidR="006873FD" w:rsidRDefault="006873FD" w:rsidP="006873FD">
      <w:pPr>
        <w:pStyle w:val="enumlev1"/>
        <w:jc w:val="both"/>
      </w:pPr>
      <w:r>
        <w:rPr>
          <w:rFonts w:ascii="Symbol" w:hAnsi="Symbol"/>
        </w:rPr>
        <w:t></w:t>
      </w:r>
      <w:r>
        <w:rPr>
          <w:rFonts w:ascii="Symbol" w:hAnsi="Symbol"/>
        </w:rPr>
        <w:tab/>
      </w:r>
      <w:r w:rsidRPr="00C04DE1">
        <w:rPr>
          <w:b/>
          <w:bCs/>
        </w:rPr>
        <w:t>Cybersecurity:</w:t>
      </w:r>
      <w:r w:rsidRPr="00C04DE1">
        <w:t xml:space="preserve"> </w:t>
      </w:r>
      <w:r w:rsidRPr="00181EA0">
        <w:t xml:space="preserve">the organization has modernized its Security Operations Center (SOC), implementing state-of-the-art technologies and advanced analytics to significantly strengthen </w:t>
      </w:r>
      <w:r>
        <w:t xml:space="preserve">its </w:t>
      </w:r>
      <w:r w:rsidRPr="00181EA0">
        <w:t>cyber defence mechanisms.</w:t>
      </w:r>
    </w:p>
    <w:p w14:paraId="3B25B1A3" w14:textId="77777777" w:rsidR="006873FD" w:rsidRDefault="006873FD" w:rsidP="006873FD">
      <w:pPr>
        <w:pStyle w:val="enumlev1"/>
        <w:jc w:val="both"/>
        <w:rPr>
          <w:rFonts w:cs="Calibri"/>
          <w:color w:val="000000" w:themeColor="text1"/>
          <w:lang w:val="en-US"/>
        </w:rPr>
      </w:pPr>
      <w:r w:rsidRPr="103BBE0F">
        <w:rPr>
          <w:rFonts w:ascii="Symbol" w:hAnsi="Symbol" w:cs="Calibri"/>
          <w:color w:val="000000" w:themeColor="text1"/>
          <w:lang w:val="en-US"/>
        </w:rPr>
        <w:t></w:t>
      </w:r>
      <w:r>
        <w:tab/>
      </w:r>
      <w:r w:rsidRPr="103BBE0F">
        <w:rPr>
          <w:rFonts w:cs="Calibri"/>
          <w:b/>
          <w:bCs/>
          <w:color w:val="000000" w:themeColor="text1"/>
        </w:rPr>
        <w:t xml:space="preserve">Information governance (IG): </w:t>
      </w:r>
      <w:r w:rsidRPr="51C26575">
        <w:rPr>
          <w:rFonts w:cs="Calibri"/>
          <w:color w:val="000000" w:themeColor="text1"/>
        </w:rPr>
        <w:t>IG initiative</w:t>
      </w:r>
      <w:r>
        <w:rPr>
          <w:rFonts w:cs="Calibri"/>
          <w:color w:val="000000" w:themeColor="text1"/>
        </w:rPr>
        <w:t>s</w:t>
      </w:r>
      <w:r w:rsidRPr="51C26575">
        <w:rPr>
          <w:rFonts w:cs="Calibri"/>
          <w:color w:val="000000" w:themeColor="text1"/>
        </w:rPr>
        <w:t xml:space="preserve"> aim to ensure </w:t>
      </w:r>
      <w:r w:rsidRPr="51C26575">
        <w:rPr>
          <w:rFonts w:cs="Calibri"/>
          <w:color w:val="000000" w:themeColor="text1"/>
          <w:lang w:val="en-US"/>
        </w:rPr>
        <w:t>that ITU information is accessible, reliable, complete, and protected to facilitate decision-making, transparency, accountability, business continuity, and institutional memory. Recent efforts have concentrated on implementing key IG elements in ITU’s cloud-based collaboration platform, setting the stage for development and implementation of information lifecycle management and information security classification across all of ITU’s information environments.</w:t>
      </w:r>
    </w:p>
    <w:p w14:paraId="7BD5E0F5" w14:textId="5AAA24A2" w:rsidR="00D2681A" w:rsidRPr="00D2681A" w:rsidRDefault="00FE0AD8" w:rsidP="00FE0AD8">
      <w:pPr>
        <w:pStyle w:val="enumlev1"/>
        <w:jc w:val="both"/>
        <w:rPr>
          <w:lang w:val="en-US"/>
        </w:rPr>
      </w:pPr>
      <w:r w:rsidRPr="103BBE0F">
        <w:rPr>
          <w:rFonts w:ascii="Symbol" w:hAnsi="Symbol" w:cs="Calibri"/>
          <w:color w:val="000000" w:themeColor="text1"/>
          <w:lang w:val="en-US"/>
        </w:rPr>
        <w:t></w:t>
      </w:r>
      <w:r>
        <w:tab/>
      </w:r>
      <w:r w:rsidR="00D2681A" w:rsidRPr="00D2681A">
        <w:rPr>
          <w:b/>
          <w:bCs/>
          <w:szCs w:val="24"/>
          <w:lang w:val="en-US"/>
        </w:rPr>
        <w:t xml:space="preserve">Enterprise </w:t>
      </w:r>
      <w:r w:rsidR="000604F2" w:rsidRPr="00D2681A">
        <w:rPr>
          <w:b/>
          <w:bCs/>
          <w:szCs w:val="24"/>
          <w:lang w:val="en-US"/>
        </w:rPr>
        <w:t xml:space="preserve">architecture </w:t>
      </w:r>
      <w:r w:rsidR="00D2681A" w:rsidRPr="00D2681A">
        <w:rPr>
          <w:b/>
          <w:bCs/>
          <w:szCs w:val="24"/>
          <w:lang w:val="en-US"/>
        </w:rPr>
        <w:t xml:space="preserve">(EA): </w:t>
      </w:r>
      <w:r w:rsidR="00D2681A" w:rsidRPr="00D2681A">
        <w:rPr>
          <w:lang w:val="en-US"/>
        </w:rPr>
        <w:t>The organization has launched an EA initiative to facilitate ITU’s digital transformation by ensuring that IT systems, processes, and tools are aligned with ITU’s strategic objectives. It aims to address legacy systems and a disjointed IT landscape, promoting a cohesive, agile, and modern IT system environment to support the organization. This transformation will enhance ITU’s ability to deliver innovative solutions, drive operational excellence, and maximize investment efficiency. The EA project will include assessments of both the current state (“As-is”) and the desired future state (“To-be”) across various architectural layers, such as business, data, applications, and infrastructure.</w:t>
      </w:r>
    </w:p>
    <w:p w14:paraId="301C878B" w14:textId="77777777" w:rsidR="006873FD" w:rsidRDefault="006873FD" w:rsidP="006873FD">
      <w:pPr>
        <w:pStyle w:val="enumlev1"/>
        <w:jc w:val="both"/>
        <w:rPr>
          <w:rFonts w:cs="Calibri"/>
          <w:color w:val="000000" w:themeColor="text1"/>
        </w:rPr>
      </w:pPr>
      <w:r>
        <w:rPr>
          <w:rFonts w:ascii="Symbol" w:hAnsi="Symbol" w:cs="Calibri"/>
          <w:color w:val="000000" w:themeColor="text1"/>
        </w:rPr>
        <w:t></w:t>
      </w:r>
      <w:r>
        <w:rPr>
          <w:rFonts w:ascii="Symbol" w:hAnsi="Symbol" w:cs="Calibri"/>
          <w:color w:val="000000" w:themeColor="text1"/>
        </w:rPr>
        <w:tab/>
      </w:r>
      <w:r w:rsidRPr="51C26575">
        <w:rPr>
          <w:rFonts w:cs="Calibri"/>
          <w:b/>
          <w:color w:val="000000" w:themeColor="text1"/>
        </w:rPr>
        <w:t>Cloud adoption:</w:t>
      </w:r>
      <w:r w:rsidRPr="51C26575">
        <w:rPr>
          <w:rFonts w:cs="Calibri"/>
          <w:color w:val="000000" w:themeColor="text1"/>
          <w:lang w:val="en-US"/>
        </w:rPr>
        <w:t xml:space="preserve"> </w:t>
      </w:r>
      <w:r w:rsidRPr="51C26575">
        <w:rPr>
          <w:rFonts w:cs="Calibri"/>
          <w:color w:val="000000" w:themeColor="text1"/>
        </w:rPr>
        <w:t xml:space="preserve">Since </w:t>
      </w:r>
      <w:r>
        <w:rPr>
          <w:rFonts w:cs="Calibri"/>
          <w:color w:val="000000" w:themeColor="text1"/>
        </w:rPr>
        <w:t xml:space="preserve">its introduction in the </w:t>
      </w:r>
      <w:r w:rsidRPr="006873FD">
        <w:t>Information</w:t>
      </w:r>
      <w:r w:rsidRPr="006873FD">
        <w:rPr>
          <w:rFonts w:cs="Calibri"/>
        </w:rPr>
        <w:t xml:space="preserve"> Services Department (ISD) in </w:t>
      </w:r>
      <w:r w:rsidRPr="51C26575">
        <w:rPr>
          <w:rFonts w:cs="Calibri"/>
          <w:color w:val="000000" w:themeColor="text1"/>
        </w:rPr>
        <w:t xml:space="preserve">2021, </w:t>
      </w:r>
      <w:r>
        <w:rPr>
          <w:rFonts w:cs="Calibri"/>
          <w:color w:val="000000" w:themeColor="text1"/>
        </w:rPr>
        <w:t>the Cloud advisory role has successfully guided various Cloud projects, including proofs of concept, workload migrations, legacy applications redevelopment, and cybersecurity enhancements such as DNS services. Each project integrates security and business continuity. All three ITU Bureaux now actively collaborate with ISD on Cloud initiatives, demonstrating ITU’s commitment to improved security, innovation, and operational efficiency through Cloud technologies.</w:t>
      </w:r>
    </w:p>
    <w:p w14:paraId="5188AFD2" w14:textId="0CB4B630" w:rsidR="006873FD" w:rsidRPr="000604F2" w:rsidRDefault="2ECB03AA" w:rsidP="006873FD">
      <w:pPr>
        <w:pStyle w:val="enumlev1"/>
        <w:jc w:val="both"/>
        <w:rPr>
          <w:rFonts w:cs="Calibri"/>
          <w:color w:val="000000"/>
        </w:rPr>
      </w:pPr>
      <w:r w:rsidRPr="37FB4389">
        <w:rPr>
          <w:rFonts w:ascii="Symbol" w:hAnsi="Symbol" w:cs="Calibri"/>
          <w:color w:val="000000" w:themeColor="text1"/>
        </w:rPr>
        <w:t></w:t>
      </w:r>
      <w:r w:rsidR="006873FD">
        <w:tab/>
      </w:r>
      <w:r w:rsidRPr="37FB4389">
        <w:rPr>
          <w:rFonts w:cs="Calibri"/>
          <w:b/>
          <w:bCs/>
          <w:color w:val="000000" w:themeColor="text1"/>
        </w:rPr>
        <w:t xml:space="preserve">Virtual events and remote participation: </w:t>
      </w:r>
      <w:r w:rsidRPr="37FB4389">
        <w:rPr>
          <w:rFonts w:cs="Calibri"/>
          <w:color w:val="000000" w:themeColor="text1"/>
        </w:rPr>
        <w:t xml:space="preserve">The </w:t>
      </w:r>
      <w:r>
        <w:t>Correspondence</w:t>
      </w:r>
      <w:r w:rsidRPr="37FB4389">
        <w:rPr>
          <w:rFonts w:cs="Calibri"/>
          <w:color w:val="000000" w:themeColor="text1"/>
        </w:rPr>
        <w:t xml:space="preserve"> Group on </w:t>
      </w:r>
      <w:r w:rsidR="000604F2" w:rsidRPr="37FB4389">
        <w:rPr>
          <w:rFonts w:cs="Calibri"/>
          <w:color w:val="000000" w:themeColor="text1"/>
        </w:rPr>
        <w:t xml:space="preserve">draft guidelines on the management of fully virtual meetings and physical meetings with remote participation </w:t>
      </w:r>
      <w:r w:rsidRPr="37FB4389">
        <w:rPr>
          <w:rFonts w:cs="Calibri"/>
          <w:color w:val="000000" w:themeColor="text1"/>
        </w:rPr>
        <w:t>concluded there are four modalities of ITU meetings (Doc</w:t>
      </w:r>
      <w:r w:rsidR="000604F2">
        <w:rPr>
          <w:rFonts w:cs="Calibri"/>
          <w:color w:val="000000" w:themeColor="text1"/>
        </w:rPr>
        <w:t>.</w:t>
      </w:r>
      <w:r w:rsidR="000604F2">
        <w:rPr>
          <w:rFonts w:eastAsia="Calibri" w:cs="Calibri"/>
          <w:b/>
          <w:bCs/>
          <w:i/>
          <w:iCs/>
          <w:color w:val="000000" w:themeColor="text1"/>
          <w:szCs w:val="24"/>
        </w:rPr>
        <w:t> </w:t>
      </w:r>
      <w:hyperlink r:id="rId29" w:history="1">
        <w:r w:rsidR="617041F4" w:rsidRPr="000604F2">
          <w:rPr>
            <w:rStyle w:val="Hyperlink"/>
            <w:rFonts w:eastAsia="Calibri" w:cs="Calibri"/>
            <w:szCs w:val="24"/>
          </w:rPr>
          <w:t>CWG</w:t>
        </w:r>
        <w:r w:rsidR="000604F2" w:rsidRPr="000604F2">
          <w:rPr>
            <w:rStyle w:val="Hyperlink"/>
            <w:rFonts w:eastAsia="Calibri" w:cs="Calibri"/>
            <w:szCs w:val="24"/>
          </w:rPr>
          <w:noBreakHyphen/>
        </w:r>
        <w:r w:rsidR="617041F4" w:rsidRPr="000604F2">
          <w:rPr>
            <w:rStyle w:val="Hyperlink"/>
            <w:rFonts w:eastAsia="Calibri" w:cs="Calibri"/>
            <w:szCs w:val="24"/>
          </w:rPr>
          <w:t>FHR-20/3</w:t>
        </w:r>
      </w:hyperlink>
      <w:r w:rsidR="617041F4" w:rsidRPr="000604F2">
        <w:rPr>
          <w:rFonts w:eastAsia="Calibri" w:cs="Calibri"/>
          <w:color w:val="000000" w:themeColor="text1"/>
          <w:szCs w:val="24"/>
        </w:rPr>
        <w:t>)</w:t>
      </w:r>
      <w:r w:rsidRPr="000604F2">
        <w:rPr>
          <w:rFonts w:cs="Calibri"/>
          <w:color w:val="000000" w:themeColor="text1"/>
        </w:rPr>
        <w:t>:</w:t>
      </w:r>
    </w:p>
    <w:p w14:paraId="03CDDA58" w14:textId="6480D9AA" w:rsidR="006873FD" w:rsidRPr="00EB72F8" w:rsidRDefault="006873FD" w:rsidP="006873FD">
      <w:pPr>
        <w:pStyle w:val="enumlev2"/>
      </w:pPr>
      <w:r>
        <w:rPr>
          <w:rFonts w:ascii="Courier New" w:hAnsi="Courier New" w:cs="Courier New"/>
        </w:rPr>
        <w:t>–</w:t>
      </w:r>
      <w:r>
        <w:rPr>
          <w:rFonts w:ascii="Courier New" w:hAnsi="Courier New" w:cs="Courier New"/>
        </w:rPr>
        <w:tab/>
      </w:r>
      <w:r w:rsidR="000604F2" w:rsidRPr="00EB72F8">
        <w:t>physical</w:t>
      </w:r>
    </w:p>
    <w:p w14:paraId="0B3E0749" w14:textId="31E752AF" w:rsidR="006873FD" w:rsidRPr="00EB72F8" w:rsidRDefault="006873FD" w:rsidP="006873FD">
      <w:pPr>
        <w:pStyle w:val="enumlev2"/>
      </w:pPr>
      <w:r>
        <w:rPr>
          <w:rFonts w:ascii="Courier New" w:hAnsi="Courier New" w:cs="Courier New"/>
        </w:rPr>
        <w:t>–</w:t>
      </w:r>
      <w:r w:rsidRPr="00EB72F8">
        <w:rPr>
          <w:rFonts w:ascii="Courier New" w:hAnsi="Courier New" w:cs="Courier New"/>
        </w:rPr>
        <w:tab/>
      </w:r>
      <w:r w:rsidR="000604F2" w:rsidRPr="00EB72F8">
        <w:t xml:space="preserve">fully </w:t>
      </w:r>
      <w:r w:rsidRPr="00EB72F8">
        <w:t>virtual</w:t>
      </w:r>
    </w:p>
    <w:p w14:paraId="65AA4087" w14:textId="4A0095AD" w:rsidR="006873FD" w:rsidRPr="00EB72F8" w:rsidRDefault="006873FD" w:rsidP="006873FD">
      <w:pPr>
        <w:pStyle w:val="enumlev2"/>
      </w:pPr>
      <w:r>
        <w:rPr>
          <w:rFonts w:ascii="Courier New" w:hAnsi="Courier New" w:cs="Courier New"/>
        </w:rPr>
        <w:t>–</w:t>
      </w:r>
      <w:r>
        <w:rPr>
          <w:rFonts w:ascii="Courier New" w:hAnsi="Courier New" w:cs="Courier New"/>
        </w:rPr>
        <w:tab/>
      </w:r>
      <w:r w:rsidR="000604F2" w:rsidRPr="00EB72F8">
        <w:t xml:space="preserve">physical </w:t>
      </w:r>
      <w:r w:rsidRPr="00EB72F8">
        <w:t>with remote participation (intervention)</w:t>
      </w:r>
    </w:p>
    <w:p w14:paraId="4F7A600C" w14:textId="55C1E0DC" w:rsidR="006873FD" w:rsidRDefault="006873FD" w:rsidP="006873FD">
      <w:pPr>
        <w:pStyle w:val="enumlev2"/>
      </w:pPr>
      <w:r>
        <w:rPr>
          <w:rFonts w:ascii="Courier New" w:hAnsi="Courier New" w:cs="Courier New"/>
        </w:rPr>
        <w:t>–</w:t>
      </w:r>
      <w:r>
        <w:rPr>
          <w:rFonts w:ascii="Courier New" w:hAnsi="Courier New" w:cs="Courier New"/>
        </w:rPr>
        <w:tab/>
      </w:r>
      <w:r w:rsidR="000604F2" w:rsidRPr="00EB72F8">
        <w:t xml:space="preserve">physical </w:t>
      </w:r>
      <w:r w:rsidRPr="00EB72F8">
        <w:t>with webcasting</w:t>
      </w:r>
      <w:r>
        <w:t>.</w:t>
      </w:r>
    </w:p>
    <w:p w14:paraId="24C38081" w14:textId="77777777" w:rsidR="006873FD" w:rsidRDefault="006873FD" w:rsidP="006873FD">
      <w:pPr>
        <w:pStyle w:val="enumlev1"/>
        <w:jc w:val="both"/>
        <w:rPr>
          <w:rFonts w:cs="Calibri"/>
          <w:color w:val="000000"/>
        </w:rPr>
      </w:pPr>
      <w:r>
        <w:rPr>
          <w:rFonts w:cs="Calibri"/>
          <w:color w:val="000000"/>
        </w:rPr>
        <w:tab/>
      </w:r>
      <w:r w:rsidRPr="00EB72F8">
        <w:rPr>
          <w:rFonts w:cs="Calibri"/>
          <w:color w:val="000000"/>
        </w:rPr>
        <w:t>All four modalities are fully supported by ITU</w:t>
      </w:r>
      <w:r>
        <w:rPr>
          <w:rFonts w:cs="Calibri"/>
          <w:color w:val="000000"/>
        </w:rPr>
        <w:t>.</w:t>
      </w:r>
    </w:p>
    <w:p w14:paraId="7B25AE06" w14:textId="0DE7EE08" w:rsidR="006873FD" w:rsidRPr="00450938" w:rsidRDefault="393F6338" w:rsidP="006873FD">
      <w:pPr>
        <w:pStyle w:val="enumlev1"/>
        <w:jc w:val="both"/>
        <w:rPr>
          <w:rFonts w:cs="Calibri"/>
          <w:color w:val="000000"/>
        </w:rPr>
      </w:pPr>
      <w:r w:rsidRPr="50D65B1D">
        <w:rPr>
          <w:rFonts w:ascii="Symbol" w:hAnsi="Symbol" w:cs="Calibri"/>
          <w:color w:val="000000" w:themeColor="text1"/>
        </w:rPr>
        <w:lastRenderedPageBreak/>
        <w:t></w:t>
      </w:r>
      <w:r w:rsidR="06E8F51B">
        <w:tab/>
      </w:r>
      <w:r w:rsidRPr="50D65B1D">
        <w:rPr>
          <w:rFonts w:cs="Calibri"/>
          <w:b/>
          <w:bCs/>
          <w:color w:val="000000" w:themeColor="text1"/>
        </w:rPr>
        <w:t xml:space="preserve">ITU Web: </w:t>
      </w:r>
      <w:r w:rsidRPr="50D65B1D">
        <w:rPr>
          <w:rFonts w:cs="Calibri"/>
          <w:color w:val="000000" w:themeColor="text1"/>
        </w:rPr>
        <w:t xml:space="preserve">ITU is enhancing its digital presence with the launch of the </w:t>
      </w:r>
      <w:r w:rsidR="7A153F28" w:rsidRPr="50D65B1D">
        <w:rPr>
          <w:rFonts w:cs="Calibri"/>
          <w:color w:val="000000" w:themeColor="text1"/>
        </w:rPr>
        <w:t xml:space="preserve">new </w:t>
      </w:r>
      <w:r w:rsidRPr="50D65B1D">
        <w:rPr>
          <w:rFonts w:cs="Calibri"/>
          <w:color w:val="000000" w:themeColor="text1"/>
        </w:rPr>
        <w:t>ITU Hub</w:t>
      </w:r>
      <w:r w:rsidR="00FC3C19">
        <w:rPr>
          <w:rFonts w:cs="Calibri"/>
          <w:color w:val="000000" w:themeColor="text1"/>
        </w:rPr>
        <w:t>.</w:t>
      </w:r>
      <w:r w:rsidR="450250A7" w:rsidRPr="50D65B1D">
        <w:rPr>
          <w:rFonts w:cs="Calibri"/>
          <w:color w:val="000000" w:themeColor="text1"/>
        </w:rPr>
        <w:t xml:space="preserve"> </w:t>
      </w:r>
      <w:r w:rsidR="00FC3C19" w:rsidRPr="00FC3C19">
        <w:rPr>
          <w:rFonts w:cs="Calibri"/>
          <w:color w:val="000000" w:themeColor="text1"/>
        </w:rPr>
        <w:t xml:space="preserve">This revamped platform includes enhanced pages for Event Overviews, Publications, News, and Membership, all leveraging </w:t>
      </w:r>
      <w:r w:rsidR="009924AA">
        <w:rPr>
          <w:rFonts w:cs="Calibri"/>
          <w:color w:val="000000" w:themeColor="text1"/>
        </w:rPr>
        <w:t>new</w:t>
      </w:r>
      <w:r w:rsidR="00FC3C19" w:rsidRPr="00FC3C19">
        <w:rPr>
          <w:rFonts w:cs="Calibri"/>
          <w:color w:val="000000" w:themeColor="text1"/>
        </w:rPr>
        <w:t xml:space="preserve"> technology and ITU's updated branding. The Council 2024 website has also been redesigned to align with these improvements.</w:t>
      </w:r>
      <w:r w:rsidR="003173A4">
        <w:rPr>
          <w:rFonts w:cs="Calibri"/>
          <w:color w:val="000000" w:themeColor="text1"/>
        </w:rPr>
        <w:t xml:space="preserve"> Another</w:t>
      </w:r>
      <w:r w:rsidR="00487C90">
        <w:rPr>
          <w:rFonts w:cs="Calibri"/>
          <w:color w:val="000000" w:themeColor="text1"/>
        </w:rPr>
        <w:t xml:space="preserve"> </w:t>
      </w:r>
      <w:r w:rsidR="003173A4">
        <w:rPr>
          <w:rFonts w:cs="Calibri"/>
          <w:color w:val="000000" w:themeColor="text1"/>
        </w:rPr>
        <w:t>ini</w:t>
      </w:r>
      <w:r w:rsidR="00487C90">
        <w:rPr>
          <w:rFonts w:cs="Calibri"/>
          <w:color w:val="000000" w:themeColor="text1"/>
        </w:rPr>
        <w:t>tiative</w:t>
      </w:r>
      <w:r w:rsidR="00FA6207">
        <w:rPr>
          <w:rFonts w:cs="Calibri"/>
          <w:color w:val="000000" w:themeColor="text1"/>
        </w:rPr>
        <w:t xml:space="preserve"> is</w:t>
      </w:r>
      <w:r w:rsidRPr="50D65B1D">
        <w:rPr>
          <w:rFonts w:cs="Calibri"/>
          <w:color w:val="000000" w:themeColor="text1"/>
        </w:rPr>
        <w:t xml:space="preserve"> </w:t>
      </w:r>
      <w:r w:rsidR="00651177" w:rsidRPr="50D65B1D">
        <w:rPr>
          <w:rFonts w:cs="Calibri"/>
          <w:color w:val="000000" w:themeColor="text1"/>
        </w:rPr>
        <w:t>the upgrade</w:t>
      </w:r>
      <w:r w:rsidR="2108E34A" w:rsidRPr="50D65B1D">
        <w:rPr>
          <w:rFonts w:cs="Calibri"/>
          <w:color w:val="000000" w:themeColor="text1"/>
        </w:rPr>
        <w:t xml:space="preserve"> of its public-facing search functionality to Google Search</w:t>
      </w:r>
      <w:r w:rsidR="00010975">
        <w:rPr>
          <w:rFonts w:cs="Calibri"/>
          <w:color w:val="000000" w:themeColor="text1"/>
        </w:rPr>
        <w:t>, which</w:t>
      </w:r>
      <w:r w:rsidR="00BC1497">
        <w:rPr>
          <w:rFonts w:cs="Calibri"/>
          <w:color w:val="000000" w:themeColor="text1"/>
        </w:rPr>
        <w:t xml:space="preserve"> </w:t>
      </w:r>
      <w:r w:rsidR="005D4D51">
        <w:rPr>
          <w:rFonts w:cs="Calibri"/>
          <w:color w:val="000000" w:themeColor="text1"/>
        </w:rPr>
        <w:t xml:space="preserve">went live </w:t>
      </w:r>
      <w:r w:rsidR="00BA1737">
        <w:rPr>
          <w:rFonts w:cs="Calibri"/>
          <w:color w:val="000000" w:themeColor="text1"/>
        </w:rPr>
        <w:t>for Council 2024</w:t>
      </w:r>
      <w:r w:rsidR="00651177">
        <w:rPr>
          <w:rFonts w:cs="Calibri"/>
          <w:color w:val="000000" w:themeColor="text1"/>
        </w:rPr>
        <w:t>.</w:t>
      </w:r>
      <w:r w:rsidR="0094557A">
        <w:rPr>
          <w:rFonts w:cs="Calibri"/>
          <w:color w:val="000000" w:themeColor="text1"/>
        </w:rPr>
        <w:t xml:space="preserve"> </w:t>
      </w:r>
      <w:r w:rsidRPr="50D65B1D">
        <w:rPr>
          <w:rFonts w:cs="Calibri"/>
          <w:color w:val="000000" w:themeColor="text1"/>
        </w:rPr>
        <w:t xml:space="preserve">Through the ITU Web project, the organization seeks to further improve usability, accessibility, and content management while optimizing long-term maintenance costs. The initiative aims to deliver a modern, mobile-responsive, secure, and </w:t>
      </w:r>
      <w:r>
        <w:t>multilingual</w:t>
      </w:r>
      <w:r w:rsidRPr="50D65B1D">
        <w:rPr>
          <w:rFonts w:cs="Calibri"/>
          <w:color w:val="000000" w:themeColor="text1"/>
        </w:rPr>
        <w:t xml:space="preserve"> website featuring intuitive navigation, robust search capabilities, and consistent branding. This effort is supported by a unified information architecture and taxonomy, ensuring a cohesive and future-ready digital experience for all users.</w:t>
      </w:r>
    </w:p>
    <w:p w14:paraId="429E5E46" w14:textId="40572DE1" w:rsidR="00224402" w:rsidRDefault="06E8F51B" w:rsidP="006873FD">
      <w:pPr>
        <w:pStyle w:val="enumlev1"/>
        <w:jc w:val="both"/>
        <w:rPr>
          <w:rFonts w:cs="Calibri"/>
          <w:color w:val="000000" w:themeColor="text1"/>
        </w:rPr>
      </w:pPr>
      <w:r w:rsidRPr="6F8F688D">
        <w:rPr>
          <w:rFonts w:ascii="Symbol" w:hAnsi="Symbol" w:cs="Calibri"/>
          <w:color w:val="000000" w:themeColor="text1"/>
        </w:rPr>
        <w:t></w:t>
      </w:r>
      <w:r w:rsidR="006873FD">
        <w:tab/>
      </w:r>
      <w:r w:rsidRPr="6F8F688D">
        <w:rPr>
          <w:rFonts w:cs="Calibri"/>
          <w:b/>
          <w:bCs/>
          <w:color w:val="000000" w:themeColor="text1"/>
        </w:rPr>
        <w:t xml:space="preserve">AI </w:t>
      </w:r>
      <w:r w:rsidR="000604F2" w:rsidRPr="6F8F688D">
        <w:rPr>
          <w:rFonts w:cs="Calibri"/>
          <w:b/>
          <w:bCs/>
          <w:color w:val="000000" w:themeColor="text1"/>
        </w:rPr>
        <w:t>solutions</w:t>
      </w:r>
      <w:r w:rsidRPr="6F8F688D">
        <w:rPr>
          <w:rFonts w:cs="Calibri"/>
          <w:b/>
          <w:bCs/>
          <w:color w:val="000000" w:themeColor="text1"/>
        </w:rPr>
        <w:t>:</w:t>
      </w:r>
      <w:r w:rsidRPr="6F8F688D">
        <w:rPr>
          <w:rFonts w:cs="Calibri"/>
          <w:color w:val="000000" w:themeColor="text1"/>
          <w:lang w:val="en-US"/>
        </w:rPr>
        <w:t xml:space="preserve"> </w:t>
      </w:r>
      <w:r w:rsidRPr="6F8F688D">
        <w:rPr>
          <w:rFonts w:cs="Calibri"/>
          <w:color w:val="000000" w:themeColor="text1"/>
        </w:rPr>
        <w:t>In April 2024, ITU established a dedicated test team to evaluate the potential benefits and associated risks of implementing AI solution</w:t>
      </w:r>
      <w:r w:rsidR="14E048D6" w:rsidRPr="6F8F688D">
        <w:rPr>
          <w:rFonts w:cs="Calibri"/>
          <w:color w:val="000000" w:themeColor="text1"/>
        </w:rPr>
        <w:t>s</w:t>
      </w:r>
      <w:r w:rsidRPr="6F8F688D">
        <w:rPr>
          <w:rFonts w:cs="Calibri"/>
          <w:color w:val="000000" w:themeColor="text1"/>
        </w:rPr>
        <w:t xml:space="preserve"> within the organization. Over a four-month period, the team conducted a comprehensive assessment of potential use cases, anticipated benefits, risks, and ITU's organizational readiness. The </w:t>
      </w:r>
      <w:r>
        <w:t>team</w:t>
      </w:r>
      <w:r w:rsidRPr="6F8F688D">
        <w:rPr>
          <w:rFonts w:cs="Calibri"/>
          <w:color w:val="000000" w:themeColor="text1"/>
        </w:rPr>
        <w:t xml:space="preserve"> recommends the development of formal policies and guidelines to support high-value, low-risk use cases, the creation of a detailed rollout plan incorporating tailored user training programs, and continued engagement with other UN agencies to exchange best practices and insights for effective implementation.</w:t>
      </w:r>
    </w:p>
    <w:p w14:paraId="0D9D91C1" w14:textId="15A36287" w:rsidR="004127D2" w:rsidRPr="004127D2" w:rsidRDefault="004127D2" w:rsidP="004127D2">
      <w:pPr>
        <w:pStyle w:val="enumlev1"/>
        <w:jc w:val="both"/>
        <w:rPr>
          <w:rFonts w:cs="Calibri"/>
          <w:color w:val="000000" w:themeColor="text1"/>
        </w:rPr>
      </w:pPr>
      <w:r>
        <w:rPr>
          <w:rFonts w:cs="Calibri"/>
          <w:color w:val="000000" w:themeColor="text1"/>
        </w:rPr>
        <w:tab/>
      </w:r>
      <w:r w:rsidRPr="004127D2">
        <w:rPr>
          <w:rFonts w:cs="Calibri"/>
          <w:color w:val="000000" w:themeColor="text1"/>
        </w:rPr>
        <w:t>In 2024, ITU partnered with 13 other UN organizations on an interagency initiative to create an AI-powered chatbot tool designed to transform access to the HR knowledge base and policy repository. This groundbreaking tool, named UNify HR, was developed to provide comprehensive responses to questions on HR policies, help generate content such as training materials, FAQs, summaries, and translations, and analyze the inter-agency policy framework.</w:t>
      </w:r>
    </w:p>
    <w:p w14:paraId="6248F71F" w14:textId="42859650" w:rsidR="00404596" w:rsidRPr="00224402" w:rsidRDefault="004127D2" w:rsidP="00224402">
      <w:pPr>
        <w:pStyle w:val="enumlev1"/>
        <w:jc w:val="both"/>
        <w:rPr>
          <w:rFonts w:cs="Calibri"/>
          <w:color w:val="000000" w:themeColor="text1"/>
        </w:rPr>
      </w:pPr>
      <w:r>
        <w:rPr>
          <w:rFonts w:cs="Calibri"/>
          <w:color w:val="000000" w:themeColor="text1"/>
        </w:rPr>
        <w:tab/>
      </w:r>
      <w:r w:rsidRPr="004127D2">
        <w:rPr>
          <w:rFonts w:cs="Calibri"/>
          <w:color w:val="000000" w:themeColor="text1"/>
        </w:rPr>
        <w:t>UNify HR represents a significant step forward in leveraging AI to enhance HR efficiency and interagency collaboration across the UN system.</w:t>
      </w:r>
    </w:p>
    <w:p w14:paraId="655E9A75" w14:textId="77777777" w:rsidR="00CC19AD" w:rsidRDefault="004127D2" w:rsidP="006873FD">
      <w:pPr>
        <w:pStyle w:val="enumlev1"/>
        <w:jc w:val="both"/>
        <w:rPr>
          <w:rFonts w:cs="Calibri"/>
          <w:color w:val="000000" w:themeColor="text1"/>
        </w:rPr>
      </w:pPr>
      <w:r>
        <w:rPr>
          <w:rFonts w:cs="Calibri"/>
          <w:color w:val="000000" w:themeColor="text1"/>
        </w:rPr>
        <w:tab/>
      </w:r>
      <w:r w:rsidR="00CC19AD" w:rsidRPr="00CC19AD">
        <w:rPr>
          <w:rFonts w:cs="Calibri"/>
          <w:color w:val="000000" w:themeColor="text1"/>
        </w:rPr>
        <w:t>Moving forward, ITU aims to enhance data governance and security to bolster AI readiness for future use cases. Additionally, the organization will focus on increasing staff awareness while prioritizing skill development and capacity building to empower its workforce in leveraging AI-driven solutions effectively.</w:t>
      </w:r>
    </w:p>
    <w:p w14:paraId="5437E343" w14:textId="20407F41" w:rsidR="006873FD" w:rsidRPr="00A92E42" w:rsidRDefault="006873FD" w:rsidP="006873FD">
      <w:pPr>
        <w:pStyle w:val="enumlev1"/>
        <w:jc w:val="both"/>
        <w:rPr>
          <w:rFonts w:cs="Calibri"/>
          <w:b/>
          <w:bCs/>
          <w:color w:val="000000"/>
        </w:rPr>
      </w:pPr>
      <w:r w:rsidRPr="00A92E42">
        <w:rPr>
          <w:rFonts w:ascii="Symbol" w:hAnsi="Symbol" w:cs="Calibri"/>
          <w:bCs/>
          <w:color w:val="000000"/>
        </w:rPr>
        <w:t></w:t>
      </w:r>
      <w:r w:rsidRPr="00A92E42">
        <w:rPr>
          <w:rFonts w:ascii="Symbol" w:hAnsi="Symbol" w:cs="Calibri"/>
          <w:bCs/>
          <w:color w:val="000000"/>
        </w:rPr>
        <w:tab/>
      </w:r>
      <w:r w:rsidRPr="00A92E42">
        <w:rPr>
          <w:rFonts w:cs="Calibri"/>
          <w:b/>
          <w:bCs/>
          <w:color w:val="000000"/>
        </w:rPr>
        <w:t xml:space="preserve">Migration </w:t>
      </w:r>
      <w:r>
        <w:rPr>
          <w:rFonts w:cs="Calibri"/>
          <w:b/>
          <w:bCs/>
          <w:color w:val="000000"/>
        </w:rPr>
        <w:t xml:space="preserve">of corporate </w:t>
      </w:r>
      <w:r w:rsidRPr="00A92E42">
        <w:rPr>
          <w:rFonts w:cs="Calibri"/>
          <w:b/>
          <w:bCs/>
          <w:color w:val="000000"/>
        </w:rPr>
        <w:t>ERP and CRM</w:t>
      </w:r>
      <w:r>
        <w:rPr>
          <w:rFonts w:cs="Calibri"/>
          <w:b/>
          <w:bCs/>
          <w:color w:val="000000"/>
        </w:rPr>
        <w:t xml:space="preserve"> platforms</w:t>
      </w:r>
      <w:r w:rsidRPr="00A92E42">
        <w:rPr>
          <w:rFonts w:cs="Calibri"/>
          <w:b/>
          <w:bCs/>
          <w:color w:val="000000"/>
        </w:rPr>
        <w:t xml:space="preserve">: </w:t>
      </w:r>
    </w:p>
    <w:p w14:paraId="7F16533C" w14:textId="09DC2CBF" w:rsidR="006873FD" w:rsidRPr="00E722B5" w:rsidRDefault="006873FD" w:rsidP="006873FD">
      <w:pPr>
        <w:pStyle w:val="enumlev1"/>
        <w:jc w:val="both"/>
        <w:rPr>
          <w:rFonts w:cs="Calibri"/>
          <w:color w:val="000000"/>
        </w:rPr>
      </w:pPr>
      <w:r>
        <w:rPr>
          <w:rFonts w:cs="Calibri"/>
          <w:color w:val="000000"/>
        </w:rPr>
        <w:tab/>
      </w:r>
      <w:r w:rsidR="06E8F51B" w:rsidRPr="00E722B5">
        <w:rPr>
          <w:rFonts w:cs="Calibri"/>
          <w:color w:val="000000"/>
        </w:rPr>
        <w:t xml:space="preserve">The </w:t>
      </w:r>
      <w:r w:rsidR="7F3645FC" w:rsidRPr="00E722B5">
        <w:rPr>
          <w:rFonts w:cs="Calibri"/>
          <w:color w:val="000000"/>
        </w:rPr>
        <w:t xml:space="preserve">upgrade </w:t>
      </w:r>
      <w:r w:rsidR="06E8F51B" w:rsidRPr="00E722B5">
        <w:rPr>
          <w:rFonts w:cs="Calibri"/>
          <w:color w:val="000000"/>
        </w:rPr>
        <w:t xml:space="preserve">of ITU’s ERP and CRM </w:t>
      </w:r>
      <w:r w:rsidR="06E8F51B" w:rsidRPr="0050723C">
        <w:t>systems</w:t>
      </w:r>
      <w:r w:rsidR="06E8F51B" w:rsidRPr="00E722B5">
        <w:rPr>
          <w:rFonts w:cs="Calibri"/>
          <w:color w:val="000000"/>
        </w:rPr>
        <w:t xml:space="preserve"> is progressing, with several key </w:t>
      </w:r>
      <w:r w:rsidR="06E8F51B" w:rsidRPr="00E722B5">
        <w:rPr>
          <w:rFonts w:cs="Calibri"/>
          <w:color w:val="000000"/>
        </w:rPr>
        <w:t>milestones already achieved:</w:t>
      </w:r>
    </w:p>
    <w:p w14:paraId="16841318" w14:textId="77777777" w:rsidR="006873FD" w:rsidRPr="00E722B5" w:rsidRDefault="006873FD" w:rsidP="006873FD">
      <w:pPr>
        <w:pStyle w:val="enumlev2"/>
        <w:jc w:val="both"/>
      </w:pPr>
      <w:r w:rsidRPr="00E722B5">
        <w:t>1</w:t>
      </w:r>
      <w:r w:rsidRPr="00E722B5">
        <w:tab/>
      </w:r>
      <w:r w:rsidRPr="00E722B5">
        <w:rPr>
          <w:b/>
        </w:rPr>
        <w:t>Operational Planning System</w:t>
      </w:r>
      <w:r w:rsidRPr="00E722B5">
        <w:t xml:space="preserve">: The in-house </w:t>
      </w:r>
      <w:r>
        <w:t xml:space="preserve">BDT </w:t>
      </w:r>
      <w:r w:rsidRPr="00E722B5">
        <w:t>operational planning and project management solution was successfully migrated to the cloud and integrated with ITU’s ERP system, enhancing security, scalability, and process integration.</w:t>
      </w:r>
    </w:p>
    <w:p w14:paraId="63DD4194" w14:textId="77777777" w:rsidR="006873FD" w:rsidRPr="00E722B5" w:rsidRDefault="006873FD" w:rsidP="006873FD">
      <w:pPr>
        <w:pStyle w:val="enumlev2"/>
        <w:jc w:val="both"/>
        <w:rPr>
          <w:rFonts w:cs="Calibri"/>
          <w:color w:val="000000"/>
        </w:rPr>
      </w:pPr>
      <w:r w:rsidRPr="00E722B5">
        <w:rPr>
          <w:rFonts w:cs="Calibri"/>
          <w:color w:val="000000"/>
        </w:rPr>
        <w:t>2</w:t>
      </w:r>
      <w:r w:rsidRPr="00E722B5">
        <w:rPr>
          <w:rFonts w:cs="Calibri"/>
          <w:color w:val="000000"/>
        </w:rPr>
        <w:tab/>
      </w:r>
      <w:r w:rsidRPr="00E722B5">
        <w:rPr>
          <w:rFonts w:cs="Calibri"/>
          <w:b/>
          <w:color w:val="000000"/>
        </w:rPr>
        <w:t>Recruitment System</w:t>
      </w:r>
      <w:r w:rsidRPr="00E722B5">
        <w:rPr>
          <w:rFonts w:cs="Calibri"/>
          <w:color w:val="000000"/>
        </w:rPr>
        <w:t xml:space="preserve">: A bespoke on-premises recruitment system was transitioned </w:t>
      </w:r>
      <w:r w:rsidRPr="0050723C">
        <w:t>to</w:t>
      </w:r>
      <w:r w:rsidRPr="00E722B5">
        <w:rPr>
          <w:rFonts w:cs="Calibri"/>
          <w:color w:val="000000"/>
        </w:rPr>
        <w:t xml:space="preserve"> the ITU Recruitment Cloud platform, streamlining workflows and enabling modern, cloud-based talent management.</w:t>
      </w:r>
    </w:p>
    <w:p w14:paraId="3A29BE02" w14:textId="77777777" w:rsidR="006873FD" w:rsidRPr="00E722B5" w:rsidRDefault="006873FD" w:rsidP="006873FD">
      <w:pPr>
        <w:pStyle w:val="enumlev2"/>
        <w:jc w:val="both"/>
      </w:pPr>
      <w:r w:rsidRPr="00E722B5">
        <w:t>3</w:t>
      </w:r>
      <w:r w:rsidRPr="00E722B5">
        <w:tab/>
      </w:r>
      <w:r>
        <w:rPr>
          <w:b/>
        </w:rPr>
        <w:t xml:space="preserve">ITU </w:t>
      </w:r>
      <w:r w:rsidRPr="00E722B5">
        <w:rPr>
          <w:b/>
        </w:rPr>
        <w:t>User Account</w:t>
      </w:r>
      <w:r>
        <w:rPr>
          <w:b/>
        </w:rPr>
        <w:t>/TIES access rights management</w:t>
      </w:r>
      <w:r w:rsidRPr="00E722B5">
        <w:rPr>
          <w:b/>
        </w:rPr>
        <w:t xml:space="preserve"> and E-Commerce Platforms</w:t>
      </w:r>
      <w:r w:rsidRPr="00E722B5">
        <w:t xml:space="preserve">: In July 2024, </w:t>
      </w:r>
      <w:r>
        <w:t xml:space="preserve">these </w:t>
      </w:r>
      <w:r w:rsidRPr="00E722B5">
        <w:t>two critical applications</w:t>
      </w:r>
      <w:r>
        <w:t xml:space="preserve"> </w:t>
      </w:r>
      <w:r w:rsidRPr="00E722B5">
        <w:t xml:space="preserve">were migrated to the cloud. </w:t>
      </w:r>
      <w:r w:rsidRPr="0050723C">
        <w:t>These</w:t>
      </w:r>
      <w:r w:rsidRPr="00E722B5">
        <w:t xml:space="preserve"> upgrades introduced self-service functionalities,</w:t>
      </w:r>
      <w:r>
        <w:t xml:space="preserve"> </w:t>
      </w:r>
      <w:r w:rsidRPr="00E722B5">
        <w:t>strengthened security, and enhanced the customer experience.</w:t>
      </w:r>
    </w:p>
    <w:p w14:paraId="6E6B1423" w14:textId="77777777" w:rsidR="006873FD" w:rsidRDefault="006873FD" w:rsidP="006873FD">
      <w:pPr>
        <w:jc w:val="both"/>
      </w:pPr>
      <w:r w:rsidRPr="00E722B5">
        <w:lastRenderedPageBreak/>
        <w:t>Currently, ITU is finalizing its evaluation of options to migrate its on-premises ERP and CRM systems to the cloud. The assessment focuses on aligning solutions with business needs, adopting new technologies, ensuring architectural fit, managing IT investment, and understanding organizational impacts.</w:t>
      </w:r>
    </w:p>
    <w:p w14:paraId="1CF07283" w14:textId="77777777" w:rsidR="006873FD" w:rsidRDefault="006873FD" w:rsidP="006873FD"/>
    <w:p w14:paraId="09365793" w14:textId="2B0238BB" w:rsidR="0090147A" w:rsidRPr="006873FD" w:rsidRDefault="006873FD" w:rsidP="006873FD">
      <w:pPr>
        <w:jc w:val="center"/>
      </w:pPr>
      <w:r>
        <w:t>______________</w:t>
      </w:r>
      <w:bookmarkEnd w:id="5"/>
      <w:bookmarkEnd w:id="10"/>
    </w:p>
    <w:sectPr w:rsidR="0090147A" w:rsidRPr="006873FD" w:rsidSect="00AD360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075A5" w14:textId="77777777" w:rsidR="006013B2" w:rsidRDefault="006013B2">
      <w:r>
        <w:separator/>
      </w:r>
    </w:p>
  </w:endnote>
  <w:endnote w:type="continuationSeparator" w:id="0">
    <w:p w14:paraId="5D023BE8" w14:textId="77777777" w:rsidR="006013B2" w:rsidRDefault="006013B2">
      <w:r>
        <w:continuationSeparator/>
      </w:r>
    </w:p>
  </w:endnote>
  <w:endnote w:type="continuationNotice" w:id="1">
    <w:p w14:paraId="3FADDE16" w14:textId="77777777" w:rsidR="006013B2" w:rsidRDefault="006013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031946">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7857494F"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4D274F">
            <w:rPr>
              <w:bCs/>
              <w:lang w:val="fr-CH"/>
            </w:rPr>
            <w:t>12</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557DE2BB"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4D274F">
            <w:rPr>
              <w:bCs/>
              <w:lang w:val="es-ES"/>
            </w:rPr>
            <w:t>12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A006" w14:textId="77777777" w:rsidR="006013B2" w:rsidRDefault="006013B2">
      <w:r>
        <w:t>____________________</w:t>
      </w:r>
    </w:p>
  </w:footnote>
  <w:footnote w:type="continuationSeparator" w:id="0">
    <w:p w14:paraId="28948B02" w14:textId="77777777" w:rsidR="006013B2" w:rsidRDefault="006013B2">
      <w:r>
        <w:continuationSeparator/>
      </w:r>
    </w:p>
  </w:footnote>
  <w:footnote w:type="continuationNotice" w:id="1">
    <w:p w14:paraId="1B9A4235" w14:textId="77777777" w:rsidR="006013B2" w:rsidRDefault="006013B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bookmarkStart w:id="11" w:name="_Hlk133422111"/>
        <w:p w14:paraId="6A22278E" w14:textId="77777777" w:rsidR="00AD3606" w:rsidRPr="009621F8" w:rsidRDefault="00F56F10"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C775F9">
                  <v:shapetype id="_x0000_t202" coordsize="21600,21600" o:spt="202" path="m,l,21600r21600,l21600,xe" w14:anchorId="018AED90">
                    <v:stroke joinstyle="miter"/>
                    <v:path gradientshapeok="t" o:connecttype="rect"/>
                  </v:shapetype>
                  <v:shape id="Text Box 2" style="position:absolute;margin-left:112.85pt;margin-top:.4pt;width:346.4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v:textbox style="mso-fit-shape-to-text:t" inset="1mm">
                      <w:txbxContent>
                        <w:p w:rsidR="00130599" w:rsidP="000120E4" w:rsidRDefault="00A43C03" w14:paraId="435B31E1" w14:textId="263DAB34">
                          <w:pPr>
                            <w:spacing w:before="0"/>
                          </w:pPr>
                          <w:r w:rsidRPr="00F74694">
                            <w:rPr>
                              <w:b/>
                              <w:bCs/>
                              <w:szCs w:val="24"/>
                            </w:rPr>
                            <w:t xml:space="preserve">Council Working Group </w:t>
                          </w:r>
                          <w:r w:rsidRPr="00F74694">
                            <w:rPr>
                              <w:b/>
                              <w:bCs/>
                              <w:szCs w:val="24"/>
                            </w:rPr>
                            <w:br/>
                          </w:r>
                          <w:r w:rsidRPr="00F74694">
                            <w:rPr>
                              <w:b/>
                              <w:bCs/>
                              <w:szCs w:val="24"/>
                            </w:rP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73A04F">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287E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DBCBCF"/>
    <w:multiLevelType w:val="hybridMultilevel"/>
    <w:tmpl w:val="BB2C1DE2"/>
    <w:lvl w:ilvl="0" w:tplc="A78E82AC">
      <w:start w:val="1"/>
      <w:numFmt w:val="bullet"/>
      <w:lvlText w:val=""/>
      <w:lvlJc w:val="left"/>
      <w:pPr>
        <w:ind w:left="360" w:hanging="360"/>
      </w:pPr>
      <w:rPr>
        <w:rFonts w:ascii="Symbol" w:hAnsi="Symbol" w:hint="default"/>
      </w:rPr>
    </w:lvl>
    <w:lvl w:ilvl="1" w:tplc="680C1FB4">
      <w:start w:val="1"/>
      <w:numFmt w:val="bullet"/>
      <w:lvlText w:val="o"/>
      <w:lvlJc w:val="left"/>
      <w:pPr>
        <w:ind w:left="1080" w:hanging="360"/>
      </w:pPr>
      <w:rPr>
        <w:rFonts w:ascii="Courier New" w:hAnsi="Courier New" w:hint="default"/>
      </w:rPr>
    </w:lvl>
    <w:lvl w:ilvl="2" w:tplc="7F72D6F6">
      <w:start w:val="1"/>
      <w:numFmt w:val="bullet"/>
      <w:lvlText w:val=""/>
      <w:lvlJc w:val="left"/>
      <w:pPr>
        <w:ind w:left="1800" w:hanging="360"/>
      </w:pPr>
      <w:rPr>
        <w:rFonts w:ascii="Wingdings" w:hAnsi="Wingdings" w:hint="default"/>
      </w:rPr>
    </w:lvl>
    <w:lvl w:ilvl="3" w:tplc="2304D8CA">
      <w:start w:val="1"/>
      <w:numFmt w:val="bullet"/>
      <w:lvlText w:val=""/>
      <w:lvlJc w:val="left"/>
      <w:pPr>
        <w:ind w:left="2520" w:hanging="360"/>
      </w:pPr>
      <w:rPr>
        <w:rFonts w:ascii="Symbol" w:hAnsi="Symbol" w:hint="default"/>
      </w:rPr>
    </w:lvl>
    <w:lvl w:ilvl="4" w:tplc="45E25990">
      <w:start w:val="1"/>
      <w:numFmt w:val="bullet"/>
      <w:lvlText w:val="o"/>
      <w:lvlJc w:val="left"/>
      <w:pPr>
        <w:ind w:left="3240" w:hanging="360"/>
      </w:pPr>
      <w:rPr>
        <w:rFonts w:ascii="Courier New" w:hAnsi="Courier New" w:hint="default"/>
      </w:rPr>
    </w:lvl>
    <w:lvl w:ilvl="5" w:tplc="57FAA57E">
      <w:start w:val="1"/>
      <w:numFmt w:val="bullet"/>
      <w:lvlText w:val=""/>
      <w:lvlJc w:val="left"/>
      <w:pPr>
        <w:ind w:left="3960" w:hanging="360"/>
      </w:pPr>
      <w:rPr>
        <w:rFonts w:ascii="Wingdings" w:hAnsi="Wingdings" w:hint="default"/>
      </w:rPr>
    </w:lvl>
    <w:lvl w:ilvl="6" w:tplc="76540334">
      <w:start w:val="1"/>
      <w:numFmt w:val="bullet"/>
      <w:lvlText w:val=""/>
      <w:lvlJc w:val="left"/>
      <w:pPr>
        <w:ind w:left="4680" w:hanging="360"/>
      </w:pPr>
      <w:rPr>
        <w:rFonts w:ascii="Symbol" w:hAnsi="Symbol" w:hint="default"/>
      </w:rPr>
    </w:lvl>
    <w:lvl w:ilvl="7" w:tplc="2F0EB170">
      <w:start w:val="1"/>
      <w:numFmt w:val="bullet"/>
      <w:lvlText w:val="o"/>
      <w:lvlJc w:val="left"/>
      <w:pPr>
        <w:ind w:left="5400" w:hanging="360"/>
      </w:pPr>
      <w:rPr>
        <w:rFonts w:ascii="Courier New" w:hAnsi="Courier New" w:hint="default"/>
      </w:rPr>
    </w:lvl>
    <w:lvl w:ilvl="8" w:tplc="B0CE82A8">
      <w:start w:val="1"/>
      <w:numFmt w:val="bullet"/>
      <w:lvlText w:val=""/>
      <w:lvlJc w:val="left"/>
      <w:pPr>
        <w:ind w:left="6120" w:hanging="360"/>
      </w:pPr>
      <w:rPr>
        <w:rFonts w:ascii="Wingdings" w:hAnsi="Wingdings" w:hint="default"/>
      </w:rPr>
    </w:lvl>
  </w:abstractNum>
  <w:abstractNum w:abstractNumId="2" w15:restartNumberingAfterBreak="0">
    <w:nsid w:val="2E5076A2"/>
    <w:multiLevelType w:val="hybridMultilevel"/>
    <w:tmpl w:val="675E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5526E7"/>
    <w:multiLevelType w:val="hybridMultilevel"/>
    <w:tmpl w:val="6D4C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64F87"/>
    <w:multiLevelType w:val="hybridMultilevel"/>
    <w:tmpl w:val="7B68B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C73A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87154C"/>
    <w:multiLevelType w:val="multilevel"/>
    <w:tmpl w:val="84F0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13555"/>
    <w:multiLevelType w:val="hybridMultilevel"/>
    <w:tmpl w:val="AF585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31116"/>
    <w:multiLevelType w:val="hybridMultilevel"/>
    <w:tmpl w:val="416A0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DE58C3"/>
    <w:multiLevelType w:val="multilevel"/>
    <w:tmpl w:val="482E7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756C3F"/>
    <w:multiLevelType w:val="hybridMultilevel"/>
    <w:tmpl w:val="D7125C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33452780">
    <w:abstractNumId w:val="9"/>
  </w:num>
  <w:num w:numId="3" w16cid:durableId="492570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001991">
    <w:abstractNumId w:val="7"/>
  </w:num>
  <w:num w:numId="5" w16cid:durableId="1513371580">
    <w:abstractNumId w:val="6"/>
  </w:num>
  <w:num w:numId="6" w16cid:durableId="1582713141">
    <w:abstractNumId w:val="3"/>
  </w:num>
  <w:num w:numId="7" w16cid:durableId="1904292003">
    <w:abstractNumId w:val="5"/>
  </w:num>
  <w:num w:numId="8" w16cid:durableId="958796598">
    <w:abstractNumId w:val="1"/>
  </w:num>
  <w:num w:numId="9" w16cid:durableId="28530492">
    <w:abstractNumId w:val="4"/>
  </w:num>
  <w:num w:numId="10" w16cid:durableId="179315731">
    <w:abstractNumId w:val="2"/>
  </w:num>
  <w:num w:numId="11" w16cid:durableId="1895844928">
    <w:abstractNumId w:val="8"/>
  </w:num>
  <w:num w:numId="12" w16cid:durableId="804854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07D92"/>
    <w:rsid w:val="00010975"/>
    <w:rsid w:val="000120E4"/>
    <w:rsid w:val="00016CBB"/>
    <w:rsid w:val="000210D4"/>
    <w:rsid w:val="00031946"/>
    <w:rsid w:val="000403D1"/>
    <w:rsid w:val="0004404D"/>
    <w:rsid w:val="000604F2"/>
    <w:rsid w:val="00063016"/>
    <w:rsid w:val="00066795"/>
    <w:rsid w:val="000722F8"/>
    <w:rsid w:val="00076AF6"/>
    <w:rsid w:val="00085CF2"/>
    <w:rsid w:val="00093A07"/>
    <w:rsid w:val="000B1705"/>
    <w:rsid w:val="000C7F11"/>
    <w:rsid w:val="000D75B2"/>
    <w:rsid w:val="000F6AB8"/>
    <w:rsid w:val="001121F5"/>
    <w:rsid w:val="00130599"/>
    <w:rsid w:val="001400DC"/>
    <w:rsid w:val="00140CE1"/>
    <w:rsid w:val="00147C54"/>
    <w:rsid w:val="001649BD"/>
    <w:rsid w:val="0017539C"/>
    <w:rsid w:val="00175939"/>
    <w:rsid w:val="00175AC2"/>
    <w:rsid w:val="0017609F"/>
    <w:rsid w:val="001A67B2"/>
    <w:rsid w:val="001A7D1D"/>
    <w:rsid w:val="001B51DD"/>
    <w:rsid w:val="001C628E"/>
    <w:rsid w:val="001D486D"/>
    <w:rsid w:val="001E0F7B"/>
    <w:rsid w:val="001E0FBE"/>
    <w:rsid w:val="001E5FE7"/>
    <w:rsid w:val="002077FA"/>
    <w:rsid w:val="002119FD"/>
    <w:rsid w:val="002130E0"/>
    <w:rsid w:val="00223FAA"/>
    <w:rsid w:val="00224402"/>
    <w:rsid w:val="002244DD"/>
    <w:rsid w:val="00233EA0"/>
    <w:rsid w:val="0024492E"/>
    <w:rsid w:val="00244F7F"/>
    <w:rsid w:val="0025570E"/>
    <w:rsid w:val="00264425"/>
    <w:rsid w:val="00265875"/>
    <w:rsid w:val="0027303B"/>
    <w:rsid w:val="002734EE"/>
    <w:rsid w:val="0028109B"/>
    <w:rsid w:val="0028485C"/>
    <w:rsid w:val="002A2188"/>
    <w:rsid w:val="002B1F58"/>
    <w:rsid w:val="002C1C7A"/>
    <w:rsid w:val="002C54E2"/>
    <w:rsid w:val="002E0AC3"/>
    <w:rsid w:val="002E79DA"/>
    <w:rsid w:val="002F01DC"/>
    <w:rsid w:val="0030160F"/>
    <w:rsid w:val="00301AEE"/>
    <w:rsid w:val="003134DC"/>
    <w:rsid w:val="003145DF"/>
    <w:rsid w:val="003173A4"/>
    <w:rsid w:val="00320223"/>
    <w:rsid w:val="00322D0D"/>
    <w:rsid w:val="00323D04"/>
    <w:rsid w:val="00347616"/>
    <w:rsid w:val="00361465"/>
    <w:rsid w:val="003877F5"/>
    <w:rsid w:val="003942D4"/>
    <w:rsid w:val="0039514F"/>
    <w:rsid w:val="003958A8"/>
    <w:rsid w:val="00396A6E"/>
    <w:rsid w:val="0039787F"/>
    <w:rsid w:val="003B084D"/>
    <w:rsid w:val="003B29C2"/>
    <w:rsid w:val="003C20CA"/>
    <w:rsid w:val="003C2533"/>
    <w:rsid w:val="003D5A7F"/>
    <w:rsid w:val="003D635C"/>
    <w:rsid w:val="003E5F60"/>
    <w:rsid w:val="004016E2"/>
    <w:rsid w:val="0040435A"/>
    <w:rsid w:val="00404596"/>
    <w:rsid w:val="004048F7"/>
    <w:rsid w:val="004122E2"/>
    <w:rsid w:val="004127D2"/>
    <w:rsid w:val="00416A24"/>
    <w:rsid w:val="0042059E"/>
    <w:rsid w:val="00422136"/>
    <w:rsid w:val="00431D9E"/>
    <w:rsid w:val="00433CE8"/>
    <w:rsid w:val="00434A5C"/>
    <w:rsid w:val="0044077E"/>
    <w:rsid w:val="00452B62"/>
    <w:rsid w:val="004544D9"/>
    <w:rsid w:val="00472BAD"/>
    <w:rsid w:val="00484009"/>
    <w:rsid w:val="00487C90"/>
    <w:rsid w:val="00490E72"/>
    <w:rsid w:val="00491157"/>
    <w:rsid w:val="004921C8"/>
    <w:rsid w:val="00495B0B"/>
    <w:rsid w:val="004A1B8B"/>
    <w:rsid w:val="004B45EA"/>
    <w:rsid w:val="004D1851"/>
    <w:rsid w:val="004D274F"/>
    <w:rsid w:val="004D3B0A"/>
    <w:rsid w:val="004D3CAC"/>
    <w:rsid w:val="004D56F5"/>
    <w:rsid w:val="004D599D"/>
    <w:rsid w:val="004E2EA5"/>
    <w:rsid w:val="004E3AEB"/>
    <w:rsid w:val="0050223C"/>
    <w:rsid w:val="005039C5"/>
    <w:rsid w:val="00505DC4"/>
    <w:rsid w:val="005243FF"/>
    <w:rsid w:val="005311D6"/>
    <w:rsid w:val="00536422"/>
    <w:rsid w:val="00564FBC"/>
    <w:rsid w:val="005800BC"/>
    <w:rsid w:val="00582442"/>
    <w:rsid w:val="005A335D"/>
    <w:rsid w:val="005C13D4"/>
    <w:rsid w:val="005C6F1C"/>
    <w:rsid w:val="005D4D51"/>
    <w:rsid w:val="005E2BD5"/>
    <w:rsid w:val="005F3269"/>
    <w:rsid w:val="006013B2"/>
    <w:rsid w:val="006039C5"/>
    <w:rsid w:val="00615961"/>
    <w:rsid w:val="00615AAC"/>
    <w:rsid w:val="00622B8E"/>
    <w:rsid w:val="00623AE3"/>
    <w:rsid w:val="006261F4"/>
    <w:rsid w:val="0064737F"/>
    <w:rsid w:val="00651177"/>
    <w:rsid w:val="006535F1"/>
    <w:rsid w:val="00654E2C"/>
    <w:rsid w:val="0065557D"/>
    <w:rsid w:val="00660D50"/>
    <w:rsid w:val="00662984"/>
    <w:rsid w:val="006716BB"/>
    <w:rsid w:val="006774C1"/>
    <w:rsid w:val="006873FD"/>
    <w:rsid w:val="00691536"/>
    <w:rsid w:val="0069774E"/>
    <w:rsid w:val="006B1859"/>
    <w:rsid w:val="006B6680"/>
    <w:rsid w:val="006B6DCC"/>
    <w:rsid w:val="00701C70"/>
    <w:rsid w:val="00702DEF"/>
    <w:rsid w:val="00706861"/>
    <w:rsid w:val="00726B8C"/>
    <w:rsid w:val="007273EE"/>
    <w:rsid w:val="007353C0"/>
    <w:rsid w:val="0075051B"/>
    <w:rsid w:val="00775655"/>
    <w:rsid w:val="00793188"/>
    <w:rsid w:val="00794D34"/>
    <w:rsid w:val="007B4A3E"/>
    <w:rsid w:val="00806E3C"/>
    <w:rsid w:val="00813E5E"/>
    <w:rsid w:val="00816C2C"/>
    <w:rsid w:val="0083581B"/>
    <w:rsid w:val="0084451C"/>
    <w:rsid w:val="00860EED"/>
    <w:rsid w:val="00863874"/>
    <w:rsid w:val="00864AFF"/>
    <w:rsid w:val="00865925"/>
    <w:rsid w:val="00876929"/>
    <w:rsid w:val="00891503"/>
    <w:rsid w:val="00892BD7"/>
    <w:rsid w:val="008B4A6A"/>
    <w:rsid w:val="008C7E27"/>
    <w:rsid w:val="008D7E09"/>
    <w:rsid w:val="008F3822"/>
    <w:rsid w:val="008F7448"/>
    <w:rsid w:val="0090147A"/>
    <w:rsid w:val="00902406"/>
    <w:rsid w:val="0090389B"/>
    <w:rsid w:val="00912CEF"/>
    <w:rsid w:val="009173EF"/>
    <w:rsid w:val="00923034"/>
    <w:rsid w:val="00932906"/>
    <w:rsid w:val="00932C77"/>
    <w:rsid w:val="0094557A"/>
    <w:rsid w:val="00961860"/>
    <w:rsid w:val="00961B0B"/>
    <w:rsid w:val="00962D33"/>
    <w:rsid w:val="009801AE"/>
    <w:rsid w:val="009924AA"/>
    <w:rsid w:val="009B38C3"/>
    <w:rsid w:val="009C5A73"/>
    <w:rsid w:val="009E1644"/>
    <w:rsid w:val="009E17BD"/>
    <w:rsid w:val="009E485A"/>
    <w:rsid w:val="00A04CEC"/>
    <w:rsid w:val="00A21DC4"/>
    <w:rsid w:val="00A27F92"/>
    <w:rsid w:val="00A32257"/>
    <w:rsid w:val="00A36D20"/>
    <w:rsid w:val="00A424A3"/>
    <w:rsid w:val="00A43C03"/>
    <w:rsid w:val="00A46CD0"/>
    <w:rsid w:val="00A514A4"/>
    <w:rsid w:val="00A52C84"/>
    <w:rsid w:val="00A55622"/>
    <w:rsid w:val="00A67D00"/>
    <w:rsid w:val="00A769C7"/>
    <w:rsid w:val="00A76FEB"/>
    <w:rsid w:val="00A83502"/>
    <w:rsid w:val="00A95B87"/>
    <w:rsid w:val="00AA470B"/>
    <w:rsid w:val="00AD0510"/>
    <w:rsid w:val="00AD15B3"/>
    <w:rsid w:val="00AD3606"/>
    <w:rsid w:val="00AD4A3D"/>
    <w:rsid w:val="00AE7626"/>
    <w:rsid w:val="00AF3A51"/>
    <w:rsid w:val="00AF6E49"/>
    <w:rsid w:val="00B04A67"/>
    <w:rsid w:val="00B0583C"/>
    <w:rsid w:val="00B161DB"/>
    <w:rsid w:val="00B248BC"/>
    <w:rsid w:val="00B30A58"/>
    <w:rsid w:val="00B358B2"/>
    <w:rsid w:val="00B37C9D"/>
    <w:rsid w:val="00B40A81"/>
    <w:rsid w:val="00B4405C"/>
    <w:rsid w:val="00B44910"/>
    <w:rsid w:val="00B72267"/>
    <w:rsid w:val="00B73DD1"/>
    <w:rsid w:val="00B76EB6"/>
    <w:rsid w:val="00B7737B"/>
    <w:rsid w:val="00B824C8"/>
    <w:rsid w:val="00B849D3"/>
    <w:rsid w:val="00B84B9D"/>
    <w:rsid w:val="00B858AD"/>
    <w:rsid w:val="00B9445C"/>
    <w:rsid w:val="00B975F9"/>
    <w:rsid w:val="00BA1737"/>
    <w:rsid w:val="00BA34BA"/>
    <w:rsid w:val="00BA3A51"/>
    <w:rsid w:val="00BC1497"/>
    <w:rsid w:val="00BC251A"/>
    <w:rsid w:val="00BD032B"/>
    <w:rsid w:val="00BD0614"/>
    <w:rsid w:val="00BD094B"/>
    <w:rsid w:val="00BE2640"/>
    <w:rsid w:val="00BF1214"/>
    <w:rsid w:val="00C01189"/>
    <w:rsid w:val="00C0614E"/>
    <w:rsid w:val="00C06D31"/>
    <w:rsid w:val="00C137A0"/>
    <w:rsid w:val="00C374DE"/>
    <w:rsid w:val="00C3796A"/>
    <w:rsid w:val="00C47AD4"/>
    <w:rsid w:val="00C52D81"/>
    <w:rsid w:val="00C55198"/>
    <w:rsid w:val="00C60EA4"/>
    <w:rsid w:val="00C61B30"/>
    <w:rsid w:val="00C62FDD"/>
    <w:rsid w:val="00C725C6"/>
    <w:rsid w:val="00C922C7"/>
    <w:rsid w:val="00C9767F"/>
    <w:rsid w:val="00CA6393"/>
    <w:rsid w:val="00CB18FF"/>
    <w:rsid w:val="00CB24AA"/>
    <w:rsid w:val="00CC19AD"/>
    <w:rsid w:val="00CD0C08"/>
    <w:rsid w:val="00CD3C91"/>
    <w:rsid w:val="00CE03FB"/>
    <w:rsid w:val="00CE38C1"/>
    <w:rsid w:val="00CE433C"/>
    <w:rsid w:val="00CF0161"/>
    <w:rsid w:val="00CF33F3"/>
    <w:rsid w:val="00D06183"/>
    <w:rsid w:val="00D22C42"/>
    <w:rsid w:val="00D2681A"/>
    <w:rsid w:val="00D45669"/>
    <w:rsid w:val="00D464CC"/>
    <w:rsid w:val="00D522F6"/>
    <w:rsid w:val="00D65041"/>
    <w:rsid w:val="00DB00D5"/>
    <w:rsid w:val="00DB1936"/>
    <w:rsid w:val="00DB384B"/>
    <w:rsid w:val="00DB4A1D"/>
    <w:rsid w:val="00DF0189"/>
    <w:rsid w:val="00E02E20"/>
    <w:rsid w:val="00E03FA7"/>
    <w:rsid w:val="00E06FD5"/>
    <w:rsid w:val="00E10E80"/>
    <w:rsid w:val="00E124F0"/>
    <w:rsid w:val="00E227F3"/>
    <w:rsid w:val="00E26821"/>
    <w:rsid w:val="00E3501A"/>
    <w:rsid w:val="00E4728B"/>
    <w:rsid w:val="00E545C6"/>
    <w:rsid w:val="00E60F04"/>
    <w:rsid w:val="00E65B24"/>
    <w:rsid w:val="00E854E4"/>
    <w:rsid w:val="00E86DBF"/>
    <w:rsid w:val="00E87114"/>
    <w:rsid w:val="00EA0977"/>
    <w:rsid w:val="00EA3DBB"/>
    <w:rsid w:val="00EA3FF1"/>
    <w:rsid w:val="00EB0D6F"/>
    <w:rsid w:val="00EB2232"/>
    <w:rsid w:val="00EB227E"/>
    <w:rsid w:val="00EC2EFF"/>
    <w:rsid w:val="00EC5337"/>
    <w:rsid w:val="00EE49E8"/>
    <w:rsid w:val="00F10606"/>
    <w:rsid w:val="00F10B59"/>
    <w:rsid w:val="00F165D9"/>
    <w:rsid w:val="00F16BAB"/>
    <w:rsid w:val="00F2150A"/>
    <w:rsid w:val="00F231D8"/>
    <w:rsid w:val="00F44C00"/>
    <w:rsid w:val="00F45D2C"/>
    <w:rsid w:val="00F46C5F"/>
    <w:rsid w:val="00F507E8"/>
    <w:rsid w:val="00F56F10"/>
    <w:rsid w:val="00F632C0"/>
    <w:rsid w:val="00F6482E"/>
    <w:rsid w:val="00F741FA"/>
    <w:rsid w:val="00F74694"/>
    <w:rsid w:val="00F86596"/>
    <w:rsid w:val="00F93FD4"/>
    <w:rsid w:val="00F94A63"/>
    <w:rsid w:val="00FA086C"/>
    <w:rsid w:val="00FA1C28"/>
    <w:rsid w:val="00FA6207"/>
    <w:rsid w:val="00FA6DC4"/>
    <w:rsid w:val="00FB1279"/>
    <w:rsid w:val="00FB6B76"/>
    <w:rsid w:val="00FB7596"/>
    <w:rsid w:val="00FC3C19"/>
    <w:rsid w:val="00FC7EF3"/>
    <w:rsid w:val="00FE0AD8"/>
    <w:rsid w:val="00FE4077"/>
    <w:rsid w:val="00FE500D"/>
    <w:rsid w:val="00FE5C40"/>
    <w:rsid w:val="00FE77D2"/>
    <w:rsid w:val="00FF127A"/>
    <w:rsid w:val="0658A624"/>
    <w:rsid w:val="06E8F51B"/>
    <w:rsid w:val="0A78742C"/>
    <w:rsid w:val="0E42F7EB"/>
    <w:rsid w:val="103BBE0F"/>
    <w:rsid w:val="13081662"/>
    <w:rsid w:val="14E048D6"/>
    <w:rsid w:val="160FD07B"/>
    <w:rsid w:val="1C879B7E"/>
    <w:rsid w:val="2108E34A"/>
    <w:rsid w:val="239D2322"/>
    <w:rsid w:val="248919BB"/>
    <w:rsid w:val="2ECB03AA"/>
    <w:rsid w:val="37FB4389"/>
    <w:rsid w:val="393F6338"/>
    <w:rsid w:val="3B17F24A"/>
    <w:rsid w:val="450250A7"/>
    <w:rsid w:val="4A2C00BA"/>
    <w:rsid w:val="4AE89D0A"/>
    <w:rsid w:val="4B888BCE"/>
    <w:rsid w:val="4F2FC6C2"/>
    <w:rsid w:val="50D65B1D"/>
    <w:rsid w:val="5D236281"/>
    <w:rsid w:val="617041F4"/>
    <w:rsid w:val="62E1DF73"/>
    <w:rsid w:val="653F3989"/>
    <w:rsid w:val="69309F5C"/>
    <w:rsid w:val="6963C320"/>
    <w:rsid w:val="69646E99"/>
    <w:rsid w:val="6F8F688D"/>
    <w:rsid w:val="70BD1EF9"/>
    <w:rsid w:val="79DE79C1"/>
    <w:rsid w:val="7A153F28"/>
    <w:rsid w:val="7ABC9E0E"/>
    <w:rsid w:val="7B13F447"/>
    <w:rsid w:val="7B89FAF2"/>
    <w:rsid w:val="7F364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B6A0BD9C-9866-4F7C-A4F1-6D680D9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styleId="BodyText">
    <w:name w:val="Body Text"/>
    <w:basedOn w:val="Normal"/>
    <w:link w:val="BodyTextChar"/>
    <w:rsid w:val="006873FD"/>
    <w:pPr>
      <w:tabs>
        <w:tab w:val="clear" w:pos="567"/>
        <w:tab w:val="clear" w:pos="1134"/>
        <w:tab w:val="clear" w:pos="1701"/>
        <w:tab w:val="clear" w:pos="2268"/>
        <w:tab w:val="clear" w:pos="2835"/>
      </w:tabs>
      <w:overflowPunct/>
      <w:autoSpaceDE/>
      <w:autoSpaceDN/>
      <w:adjustRightInd/>
      <w:spacing w:before="0" w:after="120"/>
      <w:textAlignment w:val="auto"/>
    </w:pPr>
    <w:rPr>
      <w:rFonts w:ascii="Times New Roman" w:eastAsia="SimSun" w:hAnsi="Times New Roman"/>
      <w:szCs w:val="24"/>
      <w:lang w:eastAsia="zh-CN"/>
    </w:rPr>
  </w:style>
  <w:style w:type="character" w:customStyle="1" w:styleId="BodyTextChar">
    <w:name w:val="Body Text Char"/>
    <w:basedOn w:val="DefaultParagraphFont"/>
    <w:link w:val="BodyText"/>
    <w:rsid w:val="006873FD"/>
    <w:rPr>
      <w:rFonts w:ascii="Times New Roman" w:eastAsia="SimSun" w:hAnsi="Times New Roman"/>
      <w:sz w:val="24"/>
      <w:szCs w:val="24"/>
      <w:lang w:val="en-GB"/>
    </w:rPr>
  </w:style>
  <w:style w:type="paragraph" w:styleId="ListParagraph">
    <w:name w:val="List Paragraph"/>
    <w:basedOn w:val="Normal"/>
    <w:uiPriority w:val="34"/>
    <w:qFormat/>
    <w:rsid w:val="00B858AD"/>
    <w:pPr>
      <w:ind w:left="720"/>
      <w:contextualSpacing/>
    </w:p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02E20"/>
    <w:rPr>
      <w:b/>
      <w:bCs/>
    </w:rPr>
  </w:style>
  <w:style w:type="character" w:customStyle="1" w:styleId="CommentSubjectChar">
    <w:name w:val="Comment Subject Char"/>
    <w:basedOn w:val="CommentTextChar"/>
    <w:link w:val="CommentSubject"/>
    <w:semiHidden/>
    <w:rsid w:val="00E02E2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73297">
      <w:bodyDiv w:val="1"/>
      <w:marLeft w:val="0"/>
      <w:marRight w:val="0"/>
      <w:marTop w:val="0"/>
      <w:marBottom w:val="0"/>
      <w:divBdr>
        <w:top w:val="none" w:sz="0" w:space="0" w:color="auto"/>
        <w:left w:val="none" w:sz="0" w:space="0" w:color="auto"/>
        <w:bottom w:val="none" w:sz="0" w:space="0" w:color="auto"/>
        <w:right w:val="none" w:sz="0" w:space="0" w:color="auto"/>
      </w:divBdr>
    </w:div>
    <w:div w:id="760221626">
      <w:bodyDiv w:val="1"/>
      <w:marLeft w:val="0"/>
      <w:marRight w:val="0"/>
      <w:marTop w:val="0"/>
      <w:marBottom w:val="0"/>
      <w:divBdr>
        <w:top w:val="none" w:sz="0" w:space="0" w:color="auto"/>
        <w:left w:val="none" w:sz="0" w:space="0" w:color="auto"/>
        <w:bottom w:val="none" w:sz="0" w:space="0" w:color="auto"/>
        <w:right w:val="none" w:sz="0" w:space="0" w:color="auto"/>
      </w:divBdr>
    </w:div>
    <w:div w:id="881333502">
      <w:bodyDiv w:val="1"/>
      <w:marLeft w:val="0"/>
      <w:marRight w:val="0"/>
      <w:marTop w:val="0"/>
      <w:marBottom w:val="0"/>
      <w:divBdr>
        <w:top w:val="none" w:sz="0" w:space="0" w:color="auto"/>
        <w:left w:val="none" w:sz="0" w:space="0" w:color="auto"/>
        <w:bottom w:val="none" w:sz="0" w:space="0" w:color="auto"/>
        <w:right w:val="none" w:sz="0" w:space="0" w:color="auto"/>
      </w:divBdr>
    </w:div>
    <w:div w:id="981271309">
      <w:bodyDiv w:val="1"/>
      <w:marLeft w:val="0"/>
      <w:marRight w:val="0"/>
      <w:marTop w:val="0"/>
      <w:marBottom w:val="0"/>
      <w:divBdr>
        <w:top w:val="none" w:sz="0" w:space="0" w:color="auto"/>
        <w:left w:val="none" w:sz="0" w:space="0" w:color="auto"/>
        <w:bottom w:val="none" w:sz="0" w:space="0" w:color="auto"/>
        <w:right w:val="none" w:sz="0" w:space="0" w:color="auto"/>
      </w:divBdr>
    </w:div>
    <w:div w:id="1068768559">
      <w:bodyDiv w:val="1"/>
      <w:marLeft w:val="0"/>
      <w:marRight w:val="0"/>
      <w:marTop w:val="0"/>
      <w:marBottom w:val="0"/>
      <w:divBdr>
        <w:top w:val="none" w:sz="0" w:space="0" w:color="auto"/>
        <w:left w:val="none" w:sz="0" w:space="0" w:color="auto"/>
        <w:bottom w:val="none" w:sz="0" w:space="0" w:color="auto"/>
        <w:right w:val="none" w:sz="0" w:space="0" w:color="auto"/>
      </w:divBdr>
    </w:div>
    <w:div w:id="1083140136">
      <w:bodyDiv w:val="1"/>
      <w:marLeft w:val="0"/>
      <w:marRight w:val="0"/>
      <w:marTop w:val="0"/>
      <w:marBottom w:val="0"/>
      <w:divBdr>
        <w:top w:val="none" w:sz="0" w:space="0" w:color="auto"/>
        <w:left w:val="none" w:sz="0" w:space="0" w:color="auto"/>
        <w:bottom w:val="none" w:sz="0" w:space="0" w:color="auto"/>
        <w:right w:val="none" w:sz="0" w:space="0" w:color="auto"/>
      </w:divBdr>
    </w:div>
    <w:div w:id="1532379295">
      <w:bodyDiv w:val="1"/>
      <w:marLeft w:val="0"/>
      <w:marRight w:val="0"/>
      <w:marTop w:val="0"/>
      <w:marBottom w:val="0"/>
      <w:divBdr>
        <w:top w:val="none" w:sz="0" w:space="0" w:color="auto"/>
        <w:left w:val="none" w:sz="0" w:space="0" w:color="auto"/>
        <w:bottom w:val="none" w:sz="0" w:space="0" w:color="auto"/>
        <w:right w:val="none" w:sz="0" w:space="0" w:color="auto"/>
      </w:divBdr>
    </w:div>
    <w:div w:id="1960606880">
      <w:bodyDiv w:val="1"/>
      <w:marLeft w:val="0"/>
      <w:marRight w:val="0"/>
      <w:marTop w:val="0"/>
      <w:marBottom w:val="0"/>
      <w:divBdr>
        <w:top w:val="none" w:sz="0" w:space="0" w:color="auto"/>
        <w:left w:val="none" w:sz="0" w:space="0" w:color="auto"/>
        <w:bottom w:val="none" w:sz="0" w:space="0" w:color="auto"/>
        <w:right w:val="none" w:sz="0" w:space="0" w:color="auto"/>
      </w:divBdr>
    </w:div>
    <w:div w:id="1977948553">
      <w:bodyDiv w:val="1"/>
      <w:marLeft w:val="0"/>
      <w:marRight w:val="0"/>
      <w:marTop w:val="0"/>
      <w:marBottom w:val="0"/>
      <w:divBdr>
        <w:top w:val="none" w:sz="0" w:space="0" w:color="auto"/>
        <w:left w:val="none" w:sz="0" w:space="0" w:color="auto"/>
        <w:bottom w:val="none" w:sz="0" w:space="0" w:color="auto"/>
        <w:right w:val="none" w:sz="0" w:space="0" w:color="auto"/>
      </w:divBdr>
    </w:div>
    <w:div w:id="20746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WGFHR17-C-0005/en" TargetMode="External"/><Relationship Id="rId18" Type="http://schemas.openxmlformats.org/officeDocument/2006/relationships/hyperlink" Target="https://www.itu.int/md/S24-CL-C-0019/en" TargetMode="External"/><Relationship Id="rId26" Type="http://schemas.openxmlformats.org/officeDocument/2006/relationships/hyperlink" Target="https://www.itu.int/md/S24-CL-C-0054/en" TargetMode="External"/><Relationship Id="rId3" Type="http://schemas.openxmlformats.org/officeDocument/2006/relationships/customXml" Target="../customXml/item3.xml"/><Relationship Id="rId21" Type="http://schemas.openxmlformats.org/officeDocument/2006/relationships/hyperlink" Target="https://www.itu.int/md/S24-CL-C-0073/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3-CWGFHR16-C-0006/en" TargetMode="External"/><Relationship Id="rId17" Type="http://schemas.openxmlformats.org/officeDocument/2006/relationships/hyperlink" Target="https://www.itu.int/md/S23-CL-INF-0011/en" TargetMode="External"/><Relationship Id="rId25" Type="http://schemas.openxmlformats.org/officeDocument/2006/relationships/hyperlink" Target="https://www.itu.int/md/S24-CL-C-0073/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3-CL-C-0052/en" TargetMode="External"/><Relationship Id="rId20" Type="http://schemas.openxmlformats.org/officeDocument/2006/relationships/hyperlink" Target="https://www.itu.int/md/S24-CL-C-0054/en" TargetMode="External"/><Relationship Id="rId29" Type="http://schemas.openxmlformats.org/officeDocument/2006/relationships/hyperlink" Target="https://www.itu.int/md/S25-CWGFHR20-C-000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fhr/Pages/default.aspx" TargetMode="External"/><Relationship Id="rId24" Type="http://schemas.openxmlformats.org/officeDocument/2006/relationships/hyperlink" Target="https://www.itu.int/md/S24-CL-C-0052/e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3-CL-C-0022/en" TargetMode="External"/><Relationship Id="rId23" Type="http://schemas.openxmlformats.org/officeDocument/2006/relationships/hyperlink" Target="https://www.itu.int/md/S23-CL-C-0052/en" TargetMode="External"/><Relationship Id="rId28" Type="http://schemas.openxmlformats.org/officeDocument/2006/relationships/hyperlink" Target="https://www.itu.int/md/S23-CL-INF-0011/en" TargetMode="External"/><Relationship Id="rId10" Type="http://schemas.openxmlformats.org/officeDocument/2006/relationships/endnotes" Target="endnotes.xml"/><Relationship Id="rId19" Type="http://schemas.openxmlformats.org/officeDocument/2006/relationships/hyperlink" Target="https://www.itu.int/md/S24-CL-C-0052/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57/en" TargetMode="External"/><Relationship Id="rId22" Type="http://schemas.openxmlformats.org/officeDocument/2006/relationships/hyperlink" Target="https://www.unjiu.org/sites/www.unjiu.org/files/jiu_rep_2021_3_english.pdf" TargetMode="External"/><Relationship Id="rId27" Type="http://schemas.openxmlformats.org/officeDocument/2006/relationships/hyperlink" Target="https://www.itu.int/md/S24-CL-C-0073/en"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4" ma:contentTypeDescription="Crear nuevo documento." ma:contentTypeScope="" ma:versionID="86752cabc1c175781f3aab67724efd61">
  <xsd:schema xmlns:xsd="http://www.w3.org/2001/XMLSchema" xmlns:xs="http://www.w3.org/2001/XMLSchema" xmlns:p="http://schemas.microsoft.com/office/2006/metadata/properties" xmlns:ns2="a1cf676c-2816-4389-ad5d-0f2e7c7e67c4" targetNamespace="http://schemas.microsoft.com/office/2006/metadata/properties" ma:root="true" ma:fieldsID="ee2e05595c528ff06f2307f2ad7cdf72"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EB8D-3327-43A2-856B-7E86F35D6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16F42-B255-47DF-A93B-245CBC86F23F}">
  <ds:schemaRefs>
    <ds:schemaRef ds:uri="http://schemas.microsoft.com/sharepoint/v3/contenttype/forms"/>
  </ds:schemaRefs>
</ds:datastoreItem>
</file>

<file path=customXml/itemProps3.xml><?xml version="1.0" encoding="utf-8"?>
<ds:datastoreItem xmlns:ds="http://schemas.openxmlformats.org/officeDocument/2006/customXml" ds:itemID="{3AC3D8E6-A942-46DB-8AA0-7AEF4FC1E824}">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1cf676c-2816-4389-ad5d-0f2e7c7e67c4"/>
    <ds:schemaRef ds:uri="http://purl.org/dc/te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1290</Words>
  <Characters>9534</Characters>
  <Application>Microsoft Office Word</Application>
  <DocSecurity>0</DocSecurity>
  <Lines>176</Lines>
  <Paragraphs>76</Paragraphs>
  <ScaleCrop>false</ScaleCrop>
  <HeadingPairs>
    <vt:vector size="2" baseType="variant">
      <vt:variant>
        <vt:lpstr>Title</vt:lpstr>
      </vt:variant>
      <vt:variant>
        <vt:i4>1</vt:i4>
      </vt:variant>
    </vt:vector>
  </HeadingPairs>
  <TitlesOfParts>
    <vt:vector size="1" baseType="lpstr">
      <vt:lpstr>Progress on the implementation of IT, cybersecurity, and data governance and IT roadmap implementation report</vt:lpstr>
    </vt:vector>
  </TitlesOfParts>
  <Manager/>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on the implementation of IT, cybersecurity, and data governance and IT roadmap implementation report</dc:title>
  <dc:subject>ITU Council Working Group on financial and human resources</dc:subject>
  <cp:keywords>CWG-FHR</cp:keywords>
  <dc:description/>
  <dcterms:created xsi:type="dcterms:W3CDTF">2025-01-20T14:33:00Z</dcterms:created>
  <dcterms:modified xsi:type="dcterms:W3CDTF">2025-01-20T14:48:00Z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ec2dccbea12d1725d7d206356fc5af8075fb3446fcec4a41d4703c659d1bb62a</vt:lpwstr>
  </property>
</Properties>
</file>