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06988536" w14:textId="77777777" w:rsidTr="00AD3606">
        <w:trPr>
          <w:cantSplit/>
          <w:trHeight w:val="23"/>
        </w:trPr>
        <w:tc>
          <w:tcPr>
            <w:tcW w:w="3969" w:type="dxa"/>
            <w:vMerge w:val="restart"/>
            <w:tcMar>
              <w:left w:w="0" w:type="dxa"/>
            </w:tcMar>
          </w:tcPr>
          <w:p w14:paraId="09139E8F"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0B68EFE" w14:textId="405D789C"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25570E" w:rsidRPr="00301AEE">
              <w:rPr>
                <w:b/>
                <w:lang w:val="fr-FR"/>
              </w:rPr>
              <w:t>2</w:t>
            </w:r>
            <w:r w:rsidR="000F6AB8">
              <w:rPr>
                <w:b/>
                <w:lang w:val="fr-FR"/>
              </w:rPr>
              <w:t>0</w:t>
            </w:r>
            <w:r w:rsidR="00301AEE" w:rsidRPr="00301AEE">
              <w:rPr>
                <w:b/>
                <w:lang w:val="fr-FR"/>
              </w:rPr>
              <w:t>/</w:t>
            </w:r>
            <w:r w:rsidR="007B70B6">
              <w:rPr>
                <w:b/>
                <w:lang w:val="fr-FR"/>
              </w:rPr>
              <w:t>11</w:t>
            </w:r>
          </w:p>
        </w:tc>
      </w:tr>
      <w:tr w:rsidR="00AD3606" w:rsidRPr="00147C54" w14:paraId="6F6AB1F4" w14:textId="77777777" w:rsidTr="00AD3606">
        <w:trPr>
          <w:cantSplit/>
        </w:trPr>
        <w:tc>
          <w:tcPr>
            <w:tcW w:w="3969" w:type="dxa"/>
            <w:vMerge/>
          </w:tcPr>
          <w:p w14:paraId="243B216A"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7DAD36" w14:textId="142FD1B8" w:rsidR="00AD3606" w:rsidRPr="00147C54" w:rsidRDefault="00DB512D" w:rsidP="00AD3606">
            <w:pPr>
              <w:tabs>
                <w:tab w:val="left" w:pos="851"/>
              </w:tabs>
              <w:spacing w:before="0"/>
              <w:jc w:val="right"/>
              <w:rPr>
                <w:b/>
              </w:rPr>
            </w:pPr>
            <w:r>
              <w:rPr>
                <w:b/>
              </w:rPr>
              <w:t>20</w:t>
            </w:r>
            <w:r w:rsidR="008D4E19">
              <w:rPr>
                <w:b/>
              </w:rPr>
              <w:t xml:space="preserve"> January 2025</w:t>
            </w:r>
          </w:p>
        </w:tc>
      </w:tr>
      <w:tr w:rsidR="00AD3606" w:rsidRPr="00147C54" w14:paraId="15660587" w14:textId="77777777" w:rsidTr="00AD3606">
        <w:trPr>
          <w:cantSplit/>
          <w:trHeight w:val="23"/>
        </w:trPr>
        <w:tc>
          <w:tcPr>
            <w:tcW w:w="3969" w:type="dxa"/>
            <w:vMerge/>
          </w:tcPr>
          <w:p w14:paraId="6B39C677"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227FA1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EF492BD" w14:textId="77777777" w:rsidTr="00AD3606">
        <w:trPr>
          <w:cantSplit/>
          <w:trHeight w:val="23"/>
        </w:trPr>
        <w:tc>
          <w:tcPr>
            <w:tcW w:w="3969" w:type="dxa"/>
          </w:tcPr>
          <w:p w14:paraId="05EEDB52" w14:textId="77777777" w:rsidR="00472BAD" w:rsidRPr="00147C54" w:rsidRDefault="00472BAD" w:rsidP="00AD3606">
            <w:pPr>
              <w:tabs>
                <w:tab w:val="left" w:pos="851"/>
              </w:tabs>
              <w:spacing w:line="240" w:lineRule="atLeast"/>
              <w:rPr>
                <w:b/>
              </w:rPr>
            </w:pPr>
          </w:p>
        </w:tc>
        <w:tc>
          <w:tcPr>
            <w:tcW w:w="5245" w:type="dxa"/>
          </w:tcPr>
          <w:p w14:paraId="37609302" w14:textId="77777777" w:rsidR="00472BAD" w:rsidRPr="00147C54" w:rsidRDefault="00472BAD" w:rsidP="00AD3606">
            <w:pPr>
              <w:tabs>
                <w:tab w:val="left" w:pos="851"/>
              </w:tabs>
              <w:spacing w:before="0" w:line="240" w:lineRule="atLeast"/>
              <w:jc w:val="right"/>
              <w:rPr>
                <w:b/>
              </w:rPr>
            </w:pPr>
          </w:p>
        </w:tc>
      </w:tr>
      <w:tr w:rsidR="00AD3606" w:rsidRPr="00147C54" w14:paraId="4D854B2D" w14:textId="77777777" w:rsidTr="00AD3606">
        <w:trPr>
          <w:cantSplit/>
        </w:trPr>
        <w:tc>
          <w:tcPr>
            <w:tcW w:w="9214" w:type="dxa"/>
            <w:gridSpan w:val="2"/>
            <w:tcMar>
              <w:left w:w="0" w:type="dxa"/>
            </w:tcMar>
          </w:tcPr>
          <w:p w14:paraId="57AE1C6C" w14:textId="5CE57145" w:rsidR="00AD3606" w:rsidRPr="00147C54" w:rsidRDefault="000F6AB8" w:rsidP="00E4728B">
            <w:pPr>
              <w:pStyle w:val="Source"/>
              <w:framePr w:hSpace="0" w:wrap="auto" w:vAnchor="margin" w:hAnchor="text" w:xAlign="left" w:yAlign="inline"/>
            </w:pPr>
            <w:bookmarkStart w:id="8" w:name="dsource" w:colFirst="0" w:colLast="0"/>
            <w:bookmarkEnd w:id="7"/>
            <w:r>
              <w:t>Report</w:t>
            </w:r>
            <w:r w:rsidRPr="00676C7D">
              <w:t xml:space="preserve"> by the </w:t>
            </w:r>
            <w:r w:rsidR="004D3B0A">
              <w:t>Secretary-General</w:t>
            </w:r>
          </w:p>
        </w:tc>
      </w:tr>
      <w:tr w:rsidR="00AD3606" w:rsidRPr="00147C54" w14:paraId="16EB458A" w14:textId="77777777" w:rsidTr="00AD3606">
        <w:trPr>
          <w:cantSplit/>
        </w:trPr>
        <w:tc>
          <w:tcPr>
            <w:tcW w:w="9214" w:type="dxa"/>
            <w:gridSpan w:val="2"/>
            <w:tcMar>
              <w:left w:w="0" w:type="dxa"/>
            </w:tcMar>
          </w:tcPr>
          <w:p w14:paraId="0DA1E56D" w14:textId="735738A1" w:rsidR="00AD3606" w:rsidRPr="00147C54" w:rsidRDefault="008D4E19" w:rsidP="008D4E19">
            <w:pPr>
              <w:pStyle w:val="Subtitle"/>
              <w:framePr w:hSpace="0" w:wrap="auto" w:xAlign="left" w:yAlign="inline"/>
            </w:pPr>
            <w:bookmarkStart w:id="9" w:name="_Hlk163206241"/>
            <w:bookmarkStart w:id="10" w:name="dtitle1" w:colFirst="0" w:colLast="0"/>
            <w:bookmarkEnd w:id="8"/>
            <w:r w:rsidRPr="008D4E19">
              <w:t>UPDATE ON THE TRANSFORMATION PROCESS</w:t>
            </w:r>
            <w:bookmarkEnd w:id="9"/>
          </w:p>
        </w:tc>
      </w:tr>
      <w:tr w:rsidR="00AD3606" w:rsidRPr="00147C54" w14:paraId="5E1AA971" w14:textId="77777777" w:rsidTr="00AD3606">
        <w:trPr>
          <w:cantSplit/>
        </w:trPr>
        <w:tc>
          <w:tcPr>
            <w:tcW w:w="9214" w:type="dxa"/>
            <w:gridSpan w:val="2"/>
            <w:tcBorders>
              <w:top w:val="single" w:sz="4" w:space="0" w:color="auto"/>
              <w:bottom w:val="single" w:sz="4" w:space="0" w:color="auto"/>
            </w:tcBorders>
            <w:tcMar>
              <w:left w:w="0" w:type="dxa"/>
            </w:tcMar>
          </w:tcPr>
          <w:p w14:paraId="5AD788C9" w14:textId="77777777" w:rsidR="00AD3606" w:rsidRPr="00147C54" w:rsidRDefault="00F16BAB" w:rsidP="00F16BAB">
            <w:pPr>
              <w:spacing w:before="160"/>
              <w:rPr>
                <w:b/>
                <w:bCs/>
                <w:sz w:val="26"/>
                <w:szCs w:val="26"/>
              </w:rPr>
            </w:pPr>
            <w:r w:rsidRPr="00147C54">
              <w:rPr>
                <w:b/>
                <w:bCs/>
                <w:sz w:val="26"/>
                <w:szCs w:val="26"/>
              </w:rPr>
              <w:t>Purpose</w:t>
            </w:r>
          </w:p>
          <w:p w14:paraId="19A77611" w14:textId="5CC264A4" w:rsidR="00AD3606" w:rsidRPr="00147C54" w:rsidRDefault="008D4E19" w:rsidP="008D4E19">
            <w:r w:rsidRPr="008D4E19">
              <w:t>This document provides a status update on the Transformation process to achieve Organizational Excellence.</w:t>
            </w:r>
          </w:p>
          <w:p w14:paraId="486924FF" w14:textId="77777777" w:rsidR="00AD3606" w:rsidRPr="00147C54" w:rsidRDefault="00AD3606" w:rsidP="00F16BAB">
            <w:pPr>
              <w:spacing w:before="160"/>
              <w:rPr>
                <w:b/>
                <w:bCs/>
                <w:sz w:val="26"/>
                <w:szCs w:val="26"/>
              </w:rPr>
            </w:pPr>
            <w:r w:rsidRPr="00147C54">
              <w:rPr>
                <w:b/>
                <w:bCs/>
                <w:sz w:val="26"/>
                <w:szCs w:val="26"/>
              </w:rPr>
              <w:t>Action required</w:t>
            </w:r>
          </w:p>
          <w:p w14:paraId="04BD14AB" w14:textId="49A0A6A9" w:rsidR="0025570E" w:rsidRPr="004405AB" w:rsidRDefault="008D4E19" w:rsidP="008D4E19">
            <w:pPr>
              <w:spacing w:before="160"/>
            </w:pPr>
            <w:r w:rsidRPr="008D4E19">
              <w:t xml:space="preserve">The Council Working Group on financial and human resources is invited </w:t>
            </w:r>
            <w:r w:rsidRPr="00602E51">
              <w:t>to</w:t>
            </w:r>
            <w:r w:rsidRPr="008D4E19">
              <w:rPr>
                <w:b/>
                <w:bCs/>
              </w:rPr>
              <w:t xml:space="preserve"> note</w:t>
            </w:r>
            <w:r w:rsidRPr="008D4E19">
              <w:t xml:space="preserve"> the progress achieved to date.</w:t>
            </w:r>
          </w:p>
          <w:p w14:paraId="64CEA947" w14:textId="77777777" w:rsidR="00AD3606" w:rsidRPr="00CD3C91" w:rsidRDefault="00CD3C91" w:rsidP="00CD3C91">
            <w:r>
              <w:t>_______________</w:t>
            </w:r>
          </w:p>
          <w:p w14:paraId="6740FBBB"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43062733" w14:textId="16E22D9F" w:rsidR="00AD3606" w:rsidRPr="008D4D52" w:rsidRDefault="008D4E19" w:rsidP="008D4E19">
            <w:pPr>
              <w:spacing w:after="160"/>
              <w:rPr>
                <w:i/>
                <w:iCs/>
                <w:sz w:val="22"/>
                <w:szCs w:val="22"/>
              </w:rPr>
            </w:pPr>
            <w:hyperlink r:id="rId11" w:history="1">
              <w:r w:rsidRPr="008D4D52">
                <w:rPr>
                  <w:rStyle w:val="Hyperlink"/>
                  <w:i/>
                  <w:sz w:val="22"/>
                  <w:szCs w:val="22"/>
                </w:rPr>
                <w:t>CWG-FHR website</w:t>
              </w:r>
            </w:hyperlink>
            <w:r w:rsidRPr="008D4D52">
              <w:rPr>
                <w:i/>
                <w:sz w:val="22"/>
                <w:szCs w:val="22"/>
              </w:rPr>
              <w:t>;</w:t>
            </w:r>
            <w:r w:rsidR="00602E51" w:rsidRPr="008D4D52">
              <w:rPr>
                <w:i/>
                <w:sz w:val="22"/>
                <w:szCs w:val="22"/>
              </w:rPr>
              <w:t xml:space="preserve"> Documents</w:t>
            </w:r>
            <w:r w:rsidRPr="008D4D52">
              <w:rPr>
                <w:i/>
                <w:sz w:val="22"/>
                <w:szCs w:val="22"/>
              </w:rPr>
              <w:t xml:space="preserve"> </w:t>
            </w:r>
            <w:hyperlink r:id="rId12" w:history="1">
              <w:r w:rsidRPr="008D4D52">
                <w:rPr>
                  <w:rStyle w:val="Hyperlink"/>
                  <w:i/>
                  <w:sz w:val="22"/>
                  <w:szCs w:val="22"/>
                </w:rPr>
                <w:t>C20/61</w:t>
              </w:r>
            </w:hyperlink>
            <w:r w:rsidRPr="008D4D52">
              <w:rPr>
                <w:i/>
                <w:sz w:val="22"/>
                <w:szCs w:val="22"/>
              </w:rPr>
              <w:t xml:space="preserve">, </w:t>
            </w:r>
            <w:hyperlink r:id="rId13" w:history="1">
              <w:r w:rsidRPr="008D4D52">
                <w:rPr>
                  <w:rStyle w:val="Hyperlink"/>
                  <w:i/>
                  <w:sz w:val="22"/>
                  <w:szCs w:val="22"/>
                </w:rPr>
                <w:t>C20/74</w:t>
              </w:r>
            </w:hyperlink>
            <w:r w:rsidRPr="008D4D52">
              <w:rPr>
                <w:i/>
                <w:sz w:val="22"/>
                <w:szCs w:val="22"/>
              </w:rPr>
              <w:t xml:space="preserve">, </w:t>
            </w:r>
            <w:hyperlink r:id="rId14" w:history="1">
              <w:r w:rsidRPr="008D4D52">
                <w:rPr>
                  <w:rStyle w:val="Hyperlink"/>
                  <w:i/>
                  <w:sz w:val="22"/>
                  <w:szCs w:val="22"/>
                </w:rPr>
                <w:t>C21/INF/15</w:t>
              </w:r>
            </w:hyperlink>
            <w:r w:rsidRPr="008D4D52">
              <w:rPr>
                <w:i/>
                <w:sz w:val="22"/>
                <w:szCs w:val="22"/>
              </w:rPr>
              <w:t xml:space="preserve">, </w:t>
            </w:r>
            <w:hyperlink r:id="rId15" w:history="1">
              <w:r w:rsidRPr="008D4D52">
                <w:rPr>
                  <w:rStyle w:val="Hyperlink"/>
                  <w:i/>
                  <w:sz w:val="22"/>
                  <w:szCs w:val="22"/>
                </w:rPr>
                <w:t>C22/INF/13</w:t>
              </w:r>
            </w:hyperlink>
            <w:r w:rsidRPr="008D4D52">
              <w:rPr>
                <w:i/>
                <w:sz w:val="22"/>
                <w:szCs w:val="22"/>
              </w:rPr>
              <w:t xml:space="preserve">, </w:t>
            </w:r>
            <w:hyperlink r:id="rId16" w:history="1">
              <w:r w:rsidRPr="008D4D52">
                <w:rPr>
                  <w:rStyle w:val="Hyperlink"/>
                  <w:i/>
                  <w:sz w:val="22"/>
                  <w:szCs w:val="22"/>
                </w:rPr>
                <w:t>C22/40</w:t>
              </w:r>
            </w:hyperlink>
            <w:r w:rsidRPr="008D4D52">
              <w:rPr>
                <w:i/>
                <w:sz w:val="22"/>
                <w:szCs w:val="22"/>
              </w:rPr>
              <w:t xml:space="preserve">, </w:t>
            </w:r>
            <w:hyperlink r:id="rId17" w:history="1">
              <w:r w:rsidRPr="008D4D52">
                <w:rPr>
                  <w:rStyle w:val="Hyperlink"/>
                  <w:i/>
                  <w:sz w:val="22"/>
                  <w:szCs w:val="22"/>
                </w:rPr>
                <w:t>C22/57</w:t>
              </w:r>
            </w:hyperlink>
            <w:r w:rsidRPr="008D4D52">
              <w:rPr>
                <w:i/>
                <w:sz w:val="22"/>
                <w:szCs w:val="22"/>
              </w:rPr>
              <w:t xml:space="preserve">, </w:t>
            </w:r>
            <w:hyperlink r:id="rId18" w:history="1">
              <w:r w:rsidRPr="008D4D52">
                <w:rPr>
                  <w:rStyle w:val="Hyperlink"/>
                  <w:i/>
                  <w:sz w:val="22"/>
                  <w:szCs w:val="22"/>
                </w:rPr>
                <w:t>C23/36</w:t>
              </w:r>
            </w:hyperlink>
            <w:r w:rsidRPr="008D4D52">
              <w:rPr>
                <w:i/>
                <w:sz w:val="22"/>
                <w:szCs w:val="22"/>
              </w:rPr>
              <w:t xml:space="preserve">, </w:t>
            </w:r>
            <w:hyperlink r:id="rId19" w:history="1">
              <w:r w:rsidRPr="008D4D52">
                <w:rPr>
                  <w:rStyle w:val="Hyperlink"/>
                  <w:i/>
                  <w:sz w:val="22"/>
                  <w:szCs w:val="22"/>
                </w:rPr>
                <w:t>C23/50</w:t>
              </w:r>
            </w:hyperlink>
            <w:r w:rsidRPr="008D4D52">
              <w:rPr>
                <w:i/>
                <w:sz w:val="22"/>
                <w:szCs w:val="22"/>
              </w:rPr>
              <w:t xml:space="preserve">, </w:t>
            </w:r>
            <w:hyperlink r:id="rId20" w:history="1">
              <w:r w:rsidRPr="008D4D52">
                <w:rPr>
                  <w:rStyle w:val="Hyperlink"/>
                  <w:i/>
                  <w:sz w:val="22"/>
                  <w:szCs w:val="22"/>
                </w:rPr>
                <w:t>C23/62</w:t>
              </w:r>
            </w:hyperlink>
            <w:r w:rsidRPr="008D4D52">
              <w:rPr>
                <w:i/>
                <w:sz w:val="22"/>
                <w:szCs w:val="22"/>
              </w:rPr>
              <w:t xml:space="preserve">, </w:t>
            </w:r>
            <w:hyperlink r:id="rId21" w:history="1">
              <w:r w:rsidRPr="008D4D52">
                <w:rPr>
                  <w:rStyle w:val="Hyperlink"/>
                  <w:i/>
                  <w:sz w:val="22"/>
                  <w:szCs w:val="22"/>
                </w:rPr>
                <w:t>C23/INF/11</w:t>
              </w:r>
            </w:hyperlink>
            <w:r w:rsidRPr="008D4D52">
              <w:rPr>
                <w:i/>
                <w:sz w:val="22"/>
                <w:szCs w:val="22"/>
              </w:rPr>
              <w:t xml:space="preserve">, </w:t>
            </w:r>
            <w:hyperlink r:id="rId22" w:history="1">
              <w:r w:rsidRPr="008D4D52">
                <w:rPr>
                  <w:rStyle w:val="Hyperlink"/>
                  <w:i/>
                  <w:sz w:val="22"/>
                  <w:szCs w:val="22"/>
                </w:rPr>
                <w:t>C23/INF/13</w:t>
              </w:r>
            </w:hyperlink>
            <w:r w:rsidRPr="008D4D52">
              <w:rPr>
                <w:i/>
                <w:sz w:val="22"/>
                <w:szCs w:val="22"/>
              </w:rPr>
              <w:t xml:space="preserve">, </w:t>
            </w:r>
            <w:hyperlink r:id="rId23" w:history="1">
              <w:r w:rsidRPr="008D4D52">
                <w:rPr>
                  <w:rStyle w:val="Hyperlink"/>
                  <w:i/>
                  <w:sz w:val="22"/>
                  <w:szCs w:val="22"/>
                </w:rPr>
                <w:t>C24/19</w:t>
              </w:r>
            </w:hyperlink>
            <w:r w:rsidRPr="008D4D52">
              <w:rPr>
                <w:i/>
                <w:sz w:val="22"/>
                <w:szCs w:val="22"/>
              </w:rPr>
              <w:t xml:space="preserve">, </w:t>
            </w:r>
            <w:hyperlink r:id="rId24" w:history="1">
              <w:r w:rsidRPr="008D4D52">
                <w:rPr>
                  <w:rStyle w:val="Hyperlink"/>
                  <w:i/>
                  <w:sz w:val="22"/>
                  <w:szCs w:val="22"/>
                </w:rPr>
                <w:t>C24/53</w:t>
              </w:r>
            </w:hyperlink>
            <w:r w:rsidRPr="008D4D52">
              <w:rPr>
                <w:i/>
                <w:sz w:val="22"/>
                <w:szCs w:val="22"/>
              </w:rPr>
              <w:t xml:space="preserve">, </w:t>
            </w:r>
            <w:hyperlink r:id="rId25" w:history="1">
              <w:r w:rsidRPr="008D4D52">
                <w:rPr>
                  <w:rStyle w:val="Hyperlink"/>
                  <w:i/>
                  <w:sz w:val="22"/>
                  <w:szCs w:val="22"/>
                </w:rPr>
                <w:t>C24/31</w:t>
              </w:r>
            </w:hyperlink>
            <w:r w:rsidRPr="008D4D52">
              <w:rPr>
                <w:i/>
                <w:sz w:val="22"/>
                <w:szCs w:val="22"/>
                <w:u w:val="single"/>
              </w:rPr>
              <w:t>,</w:t>
            </w:r>
            <w:r w:rsidRPr="008D4D52">
              <w:rPr>
                <w:i/>
                <w:sz w:val="22"/>
                <w:szCs w:val="22"/>
              </w:rPr>
              <w:t xml:space="preserve"> </w:t>
            </w:r>
            <w:hyperlink r:id="rId26" w:history="1">
              <w:r w:rsidRPr="008D4D52">
                <w:rPr>
                  <w:rStyle w:val="Hyperlink"/>
                  <w:i/>
                  <w:sz w:val="22"/>
                  <w:szCs w:val="22"/>
                </w:rPr>
                <w:t>C24/52</w:t>
              </w:r>
            </w:hyperlink>
            <w:r w:rsidRPr="008D4D52">
              <w:rPr>
                <w:i/>
                <w:sz w:val="22"/>
                <w:szCs w:val="22"/>
              </w:rPr>
              <w:t xml:space="preserve">, </w:t>
            </w:r>
            <w:hyperlink r:id="rId27" w:history="1">
              <w:r w:rsidRPr="008D4D52">
                <w:rPr>
                  <w:rStyle w:val="Hyperlink"/>
                  <w:i/>
                  <w:sz w:val="22"/>
                  <w:szCs w:val="22"/>
                </w:rPr>
                <w:t>C24/73</w:t>
              </w:r>
            </w:hyperlink>
            <w:r w:rsidRPr="008D4D52">
              <w:rPr>
                <w:i/>
                <w:iCs/>
                <w:sz w:val="22"/>
                <w:szCs w:val="22"/>
              </w:rPr>
              <w:t xml:space="preserve">, </w:t>
            </w:r>
            <w:hyperlink r:id="rId28" w:history="1">
              <w:r w:rsidRPr="008D4D52">
                <w:rPr>
                  <w:rStyle w:val="Hyperlink"/>
                  <w:i/>
                  <w:iCs/>
                  <w:sz w:val="22"/>
                  <w:szCs w:val="22"/>
                </w:rPr>
                <w:t>INF Session Transformation</w:t>
              </w:r>
            </w:hyperlink>
          </w:p>
        </w:tc>
      </w:tr>
    </w:tbl>
    <w:p w14:paraId="3FE32CB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09365793"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03857A5E" w14:textId="121DF781" w:rsidR="008D4E19" w:rsidRPr="00C24451" w:rsidRDefault="00534869" w:rsidP="00534869">
      <w:pPr>
        <w:pStyle w:val="Heading1"/>
        <w:rPr>
          <w:b w:val="0"/>
          <w:bCs/>
          <w:sz w:val="22"/>
          <w:szCs w:val="22"/>
        </w:rPr>
      </w:pPr>
      <w:r w:rsidRPr="00C24451">
        <w:lastRenderedPageBreak/>
        <w:t>1</w:t>
      </w:r>
      <w:r w:rsidRPr="00C24451">
        <w:tab/>
      </w:r>
      <w:r w:rsidR="008D4E19" w:rsidRPr="00534869">
        <w:t xml:space="preserve">Introduction </w:t>
      </w:r>
    </w:p>
    <w:p w14:paraId="32B40AD7" w14:textId="15E2CDDF" w:rsidR="008D4E19" w:rsidRDefault="008D4E19" w:rsidP="00534869">
      <w:pPr>
        <w:jc w:val="both"/>
      </w:pPr>
      <w:r w:rsidRPr="317B40B2">
        <w:t xml:space="preserve">ITU’s Transformation </w:t>
      </w:r>
      <w:r w:rsidR="00AB2B5A">
        <w:t>p</w:t>
      </w:r>
      <w:r w:rsidRPr="317B40B2">
        <w:t xml:space="preserve">rocess is instrumental in driving organizational excellence as a key enabler for ITU’s Strategic Plan. The case for change has been highlighted in the ITU Strategic Plan for 2024-2027 and in Decision 5 (Rev. Bucharest, 2022) of the Plenipotentiary Conference. </w:t>
      </w:r>
    </w:p>
    <w:p w14:paraId="4010B7C4" w14:textId="0A47A11F" w:rsidR="008D4E19" w:rsidRDefault="008D4E19" w:rsidP="00534869">
      <w:pPr>
        <w:jc w:val="both"/>
      </w:pPr>
      <w:r w:rsidRPr="116973DC">
        <w:t xml:space="preserve">Council document </w:t>
      </w:r>
      <w:hyperlink r:id="rId29">
        <w:r w:rsidRPr="116973DC">
          <w:rPr>
            <w:rStyle w:val="Hyperlink"/>
            <w:sz w:val="22"/>
            <w:szCs w:val="22"/>
          </w:rPr>
          <w:t>C24/52</w:t>
        </w:r>
      </w:hyperlink>
      <w:r w:rsidRPr="116973DC">
        <w:t xml:space="preserve"> outlines the approach taken by the </w:t>
      </w:r>
      <w:r w:rsidR="00AB2B5A">
        <w:t>s</w:t>
      </w:r>
      <w:r w:rsidRPr="116973DC">
        <w:t xml:space="preserve">ecretariat to develop and implement a Transformation Roadmap. This roadmap serves as a comprehensive blueprint, addressing key processes across four foundational pillars: 1) Governance; 2) Systems, processes and tools; 3) People and culture; 4) and Resource optimization. We have added a fifth pillar 5) </w:t>
      </w:r>
      <w:r>
        <w:t>Members</w:t>
      </w:r>
      <w:r w:rsidRPr="116973DC">
        <w:t xml:space="preserve"> and Partners, to include initiatives focusing on improving </w:t>
      </w:r>
      <w:r>
        <w:t>member</w:t>
      </w:r>
      <w:r w:rsidRPr="116973DC">
        <w:t xml:space="preserve"> and partner experience and service delivery. </w:t>
      </w:r>
    </w:p>
    <w:p w14:paraId="6B60984E" w14:textId="77777777" w:rsidR="008D4E19" w:rsidRDefault="008D4E19" w:rsidP="00534869">
      <w:pPr>
        <w:pStyle w:val="Figure"/>
      </w:pPr>
      <w:r>
        <w:rPr>
          <w:noProof/>
        </w:rPr>
        <w:drawing>
          <wp:inline distT="0" distB="0" distL="0" distR="0" wp14:anchorId="6D61E262" wp14:editId="3034AF21">
            <wp:extent cx="6120000" cy="1213200"/>
            <wp:effectExtent l="0" t="0" r="0" b="6350"/>
            <wp:docPr id="3007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000" cy="1213200"/>
                    </a:xfrm>
                    <a:prstGeom prst="rect">
                      <a:avLst/>
                    </a:prstGeom>
                    <a:noFill/>
                  </pic:spPr>
                </pic:pic>
              </a:graphicData>
            </a:graphic>
          </wp:inline>
        </w:drawing>
      </w:r>
    </w:p>
    <w:p w14:paraId="1FA87D2A" w14:textId="0763BEA9" w:rsidR="008D4E19" w:rsidRDefault="008D4E19" w:rsidP="00534869">
      <w:pPr>
        <w:jc w:val="both"/>
      </w:pPr>
      <w:r w:rsidRPr="7E0DEE6B">
        <w:t xml:space="preserve">A portfolio management approach has been adopted to ensure that the Transformation process focuses on doing the right projects at the right time with selection, prioritisation and control of the identified projects, in line with the ITU’s transformation objectives and capacity to deliver. The goal is to balance the implementation of change initiatives and the </w:t>
      </w:r>
      <w:r w:rsidRPr="7E0DEE6B" w:rsidDel="008D4E19">
        <w:t>business</w:t>
      </w:r>
      <w:r w:rsidR="7F381D5E" w:rsidRPr="7E0DEE6B">
        <w:t xml:space="preserve"> continuity requirements</w:t>
      </w:r>
      <w:r>
        <w:t xml:space="preserve"> while </w:t>
      </w:r>
      <w:r w:rsidR="009957EF">
        <w:t>optimizing</w:t>
      </w:r>
      <w:r w:rsidRPr="7E0DEE6B">
        <w:t xml:space="preserve"> benefits.</w:t>
      </w:r>
    </w:p>
    <w:p w14:paraId="1DD67838" w14:textId="39009A7C" w:rsidR="008D4E19" w:rsidRDefault="008D4E19" w:rsidP="00534869">
      <w:pPr>
        <w:jc w:val="both"/>
      </w:pPr>
      <w:r w:rsidRPr="5687F6DE">
        <w:t xml:space="preserve">Each project is planned to follow the full transformation process and implementation plan using the appropriate delivery methodology and change management approaches. The </w:t>
      </w:r>
      <w:r>
        <w:t>system has been updated to allow for the integration of strategic priorities into department, units and staff workplans.</w:t>
      </w:r>
      <w:r w:rsidRPr="5687F6DE" w:rsidDel="009F1F53">
        <w:t xml:space="preserve"> </w:t>
      </w:r>
    </w:p>
    <w:p w14:paraId="6388CB6D" w14:textId="2F7DE084" w:rsidR="008D4E19" w:rsidRPr="00534869" w:rsidRDefault="00534869" w:rsidP="00534869">
      <w:pPr>
        <w:pStyle w:val="Heading1"/>
      </w:pPr>
      <w:r>
        <w:t>2</w:t>
      </w:r>
      <w:r>
        <w:tab/>
      </w:r>
      <w:r w:rsidR="008D4E19" w:rsidRPr="00534869">
        <w:t xml:space="preserve">Key </w:t>
      </w:r>
      <w:r w:rsidRPr="00534869">
        <w:t>achievements</w:t>
      </w:r>
    </w:p>
    <w:p w14:paraId="11F10EE2" w14:textId="79B045A7" w:rsidR="008D4E19" w:rsidRDefault="008D4E19" w:rsidP="00534869">
      <w:pPr>
        <w:jc w:val="both"/>
      </w:pPr>
      <w:r w:rsidRPr="5687F6DE">
        <w:t xml:space="preserve">The ITU's Transformation initiative continues to make progress in enhancing the organization's digital enablement and operational efficiency. Key achievements include progress across the Accelerated Initiatives, headway on a new website, </w:t>
      </w:r>
      <w:r w:rsidR="00534869">
        <w:t xml:space="preserve">the </w:t>
      </w:r>
      <w:r>
        <w:t>launch of the Transformation dashboard, and the foundations for a baseline assessment of the KPIs identified to measure progress on transformation and serve as a basis for quality data-driven decision</w:t>
      </w:r>
      <w:r w:rsidR="00534869">
        <w:t>-</w:t>
      </w:r>
      <w:r>
        <w:t>making</w:t>
      </w:r>
      <w:r w:rsidRPr="5687F6DE">
        <w:t xml:space="preserve">. </w:t>
      </w:r>
    </w:p>
    <w:p w14:paraId="66B18D77" w14:textId="1C4B791B" w:rsidR="008D4E19" w:rsidRPr="00E3742B" w:rsidRDefault="00534869" w:rsidP="00534869">
      <w:pPr>
        <w:pStyle w:val="Heading1"/>
        <w:rPr>
          <w:b w:val="0"/>
          <w:bCs/>
          <w:sz w:val="22"/>
          <w:szCs w:val="22"/>
        </w:rPr>
      </w:pPr>
      <w:r w:rsidRPr="00E3742B">
        <w:t>3</w:t>
      </w:r>
      <w:r w:rsidRPr="00E3742B">
        <w:tab/>
      </w:r>
      <w:r w:rsidR="008D4E19" w:rsidRPr="00534869">
        <w:t xml:space="preserve">Transformation </w:t>
      </w:r>
      <w:r w:rsidRPr="00534869">
        <w:t>dashboard</w:t>
      </w:r>
    </w:p>
    <w:p w14:paraId="448D0B96" w14:textId="49B42C6F" w:rsidR="008D4E19" w:rsidRPr="008516CA" w:rsidRDefault="008D4E19" w:rsidP="00534869">
      <w:pPr>
        <w:jc w:val="both"/>
      </w:pPr>
      <w:r w:rsidRPr="317B40B2">
        <w:t xml:space="preserve">One of the key objectives of the transformation process is to enhance transparency and accountability through data-driven </w:t>
      </w:r>
      <w:r>
        <w:t>decision</w:t>
      </w:r>
      <w:r w:rsidR="00534869">
        <w:t>-</w:t>
      </w:r>
      <w:r>
        <w:t>making</w:t>
      </w:r>
      <w:r w:rsidRPr="317B40B2">
        <w:t xml:space="preserve"> and performance monitoring. To this end, the ITU has developed a dashboard that will provide delegates with up-to-date information on the progress of the transformation initiatives.</w:t>
      </w:r>
    </w:p>
    <w:p w14:paraId="5D9A1D2E" w14:textId="4978B824" w:rsidR="008D4E19" w:rsidRPr="009957EF" w:rsidRDefault="008D4E19" w:rsidP="009957EF">
      <w:pPr>
        <w:jc w:val="both"/>
        <w:rPr>
          <w:rFonts w:asciiTheme="minorHAnsi" w:hAnsiTheme="minorHAnsi" w:cstheme="minorBidi"/>
          <w:szCs w:val="24"/>
        </w:rPr>
      </w:pPr>
      <w:r w:rsidRPr="317B40B2">
        <w:lastRenderedPageBreak/>
        <w:t xml:space="preserve">The dashboard is designed to be both user-friendly and interactive, allowing users to easily visualize the status of projects across various pillars. You can access the Transformation </w:t>
      </w:r>
      <w:r w:rsidR="00AB2B5A">
        <w:t>d</w:t>
      </w:r>
      <w:r w:rsidRPr="317B40B2">
        <w:t>ashboard through the following link</w:t>
      </w:r>
      <w:r w:rsidR="009957EF">
        <w:t xml:space="preserve">: </w:t>
      </w:r>
      <w:hyperlink r:id="rId31" w:history="1">
        <w:r w:rsidR="6777170C" w:rsidRPr="00226B94">
          <w:rPr>
            <w:rStyle w:val="Hyperlink"/>
            <w:rFonts w:asciiTheme="minorHAnsi" w:hAnsiTheme="minorHAnsi" w:cstheme="minorBidi"/>
            <w:szCs w:val="24"/>
          </w:rPr>
          <w:t xml:space="preserve">Transformation </w:t>
        </w:r>
        <w:r w:rsidR="40BA6747" w:rsidRPr="00226B94">
          <w:rPr>
            <w:rStyle w:val="Hyperlink"/>
            <w:rFonts w:asciiTheme="minorHAnsi" w:hAnsiTheme="minorHAnsi" w:cstheme="minorBidi"/>
            <w:szCs w:val="24"/>
          </w:rPr>
          <w:t>d</w:t>
        </w:r>
        <w:r w:rsidR="6777170C" w:rsidRPr="00226B94">
          <w:rPr>
            <w:rStyle w:val="Hyperlink"/>
            <w:rFonts w:asciiTheme="minorHAnsi" w:hAnsiTheme="minorHAnsi" w:cstheme="minorBidi"/>
            <w:szCs w:val="24"/>
          </w:rPr>
          <w:t>ashboard</w:t>
        </w:r>
      </w:hyperlink>
      <w:r w:rsidR="00784E3B">
        <w:t>.</w:t>
      </w:r>
    </w:p>
    <w:p w14:paraId="7C5E5422" w14:textId="77777777" w:rsidR="008D4E19" w:rsidRDefault="008D4E19" w:rsidP="00784E3B">
      <w:pPr>
        <w:jc w:val="both"/>
      </w:pPr>
      <w:r w:rsidRPr="317B40B2">
        <w:t xml:space="preserve">In its second phase, scheduled for completion by Q2 2025, the dashboard will evolve to highlight key achievements and demonstrate how completed initiatives are directly contributing to the defined Key Performance Indicators (KPIs) and benefits. </w:t>
      </w:r>
    </w:p>
    <w:p w14:paraId="49CEA82B" w14:textId="77777777" w:rsidR="008D4E19" w:rsidRDefault="008D4E19" w:rsidP="00784E3B">
      <w:pPr>
        <w:jc w:val="both"/>
      </w:pPr>
      <w:r w:rsidRPr="317B40B2">
        <w:t>The secretariat welcomes feedback from the delegates on the dashboard. The dashboard will be updated regularly and will serve as a valuable tool for tracking and communicating the progress and impact of the transformation.</w:t>
      </w:r>
    </w:p>
    <w:p w14:paraId="2B3C2B29" w14:textId="3FACC94D" w:rsidR="008D4E19" w:rsidRPr="00534869" w:rsidRDefault="00534869" w:rsidP="00784E3B">
      <w:pPr>
        <w:pStyle w:val="Heading1"/>
      </w:pPr>
      <w:r>
        <w:t>4</w:t>
      </w:r>
      <w:r>
        <w:tab/>
      </w:r>
      <w:r w:rsidR="008D4E19" w:rsidRPr="00534869">
        <w:t xml:space="preserve">Progress on the </w:t>
      </w:r>
      <w:r w:rsidR="008B0B13" w:rsidRPr="00534869">
        <w:t>accelerated initiatives</w:t>
      </w:r>
    </w:p>
    <w:p w14:paraId="3E509D96" w14:textId="633469F3" w:rsidR="008D4E19" w:rsidRPr="00A66291" w:rsidRDefault="008D4E19" w:rsidP="00784E3B">
      <w:pPr>
        <w:jc w:val="both"/>
      </w:pPr>
      <w:r w:rsidRPr="5687F6DE">
        <w:t>At the outset, six Accelerated Initiatives were identified. Progress has been made across each of the Accelerated Initiatives with visible improvements in service delivery.</w:t>
      </w:r>
    </w:p>
    <w:p w14:paraId="35BA473A" w14:textId="3A137C52" w:rsidR="008D4E19" w:rsidRPr="00534869" w:rsidRDefault="00534869" w:rsidP="00784E3B">
      <w:pPr>
        <w:pStyle w:val="Headingb"/>
      </w:pPr>
      <w:r w:rsidRPr="00036A1E">
        <w:t>a)</w:t>
      </w:r>
      <w:r w:rsidRPr="00036A1E">
        <w:tab/>
      </w:r>
      <w:r w:rsidR="008D4E19" w:rsidRPr="00534869">
        <w:t xml:space="preserve">Performance </w:t>
      </w:r>
      <w:r w:rsidR="008B0B13" w:rsidRPr="00534869">
        <w:t>management</w:t>
      </w:r>
    </w:p>
    <w:p w14:paraId="464B5DB4" w14:textId="77777777" w:rsidR="008D4E19" w:rsidRDefault="008D4E19" w:rsidP="00784E3B">
      <w:pPr>
        <w:jc w:val="both"/>
        <w:rPr>
          <w:rFonts w:eastAsia="Segoe UI"/>
        </w:rPr>
      </w:pPr>
      <w:r w:rsidRPr="5687F6DE">
        <w:rPr>
          <w:rFonts w:eastAsia="Segoe UI"/>
        </w:rPr>
        <w:t xml:space="preserve">The ITU has made improvements in enhancing its performance management system, particularly through the delivery of the enhanced </w:t>
      </w:r>
      <w:proofErr w:type="spellStart"/>
      <w:r w:rsidRPr="5687F6DE">
        <w:rPr>
          <w:rFonts w:eastAsia="Segoe UI"/>
        </w:rPr>
        <w:t>ePMDS</w:t>
      </w:r>
      <w:proofErr w:type="spellEnd"/>
      <w:r w:rsidRPr="5687F6DE">
        <w:rPr>
          <w:rFonts w:eastAsia="Segoe UI"/>
        </w:rPr>
        <w:t xml:space="preserve"> tool for the 2024 Performance Management and 2025 Workplan cycle. </w:t>
      </w:r>
    </w:p>
    <w:p w14:paraId="17DA0A72" w14:textId="77777777" w:rsidR="008D4E19" w:rsidRPr="00A66291" w:rsidRDefault="008D4E19" w:rsidP="00784E3B">
      <w:pPr>
        <w:jc w:val="both"/>
        <w:rPr>
          <w:rFonts w:eastAsia="Segoe UI"/>
        </w:rPr>
      </w:pPr>
      <w:r w:rsidRPr="317B40B2">
        <w:rPr>
          <w:rFonts w:eastAsia="Segoe UI"/>
        </w:rPr>
        <w:t xml:space="preserve">Key achievements include: </w:t>
      </w:r>
    </w:p>
    <w:p w14:paraId="22CF863E" w14:textId="61ED7E9C"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 xml:space="preserve">The simplification and streamlining of the </w:t>
      </w:r>
      <w:proofErr w:type="spellStart"/>
      <w:r w:rsidR="008D4E19" w:rsidRPr="00534869">
        <w:rPr>
          <w:rFonts w:eastAsia="Segoe UI"/>
        </w:rPr>
        <w:t>ePMDS</w:t>
      </w:r>
      <w:proofErr w:type="spellEnd"/>
      <w:r w:rsidR="008D4E19" w:rsidRPr="00534869">
        <w:rPr>
          <w:rFonts w:eastAsia="Segoe UI"/>
        </w:rPr>
        <w:t xml:space="preserve"> process, making it more user-friendly and intuitive. This has been realized by incorporating feedback from the ChangeMakers network, which highlighted the need for fewer redundant elements and a more efficient evaluation process. </w:t>
      </w:r>
    </w:p>
    <w:p w14:paraId="0E5DAF4D" w14:textId="133E87A1"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The introduction of the ability to link staff objectives to ITU strategic priorities has ensured better alignment between staff workplans with ITU's strategic plan.</w:t>
      </w:r>
    </w:p>
    <w:p w14:paraId="3B1AC7FB" w14:textId="040B63FD"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The Rewards &amp; Recognition strategy that aligns closely with our performance management framework will be launched in 2025. This initiative aims to inspire and motivate our staff by providing meaningful mechanisms to recognize and celebrate their contributions, fostering a culture of excellence and engagement.</w:t>
      </w:r>
    </w:p>
    <w:p w14:paraId="0D76CC11" w14:textId="77777777" w:rsidR="008D4E19" w:rsidRPr="00A66291" w:rsidRDefault="008D4E19" w:rsidP="00784E3B">
      <w:pPr>
        <w:jc w:val="both"/>
        <w:rPr>
          <w:rFonts w:eastAsia="Segoe UI"/>
        </w:rPr>
      </w:pPr>
      <w:r w:rsidRPr="5687F6DE">
        <w:rPr>
          <w:rFonts w:eastAsia="Segoe UI"/>
        </w:rPr>
        <w:t xml:space="preserve">Continuous improvements are planned, with training sessions for staff and supervisors to ensure smooth adoption of the </w:t>
      </w:r>
      <w:r>
        <w:rPr>
          <w:rFonts w:eastAsia="Segoe UI"/>
        </w:rPr>
        <w:t>enhanced</w:t>
      </w:r>
      <w:r w:rsidRPr="5687F6DE">
        <w:rPr>
          <w:rFonts w:eastAsia="Segoe UI"/>
        </w:rPr>
        <w:t xml:space="preserve"> system. These efforts are part of a broader initiative to transform ITU's performance management policy and processes. </w:t>
      </w:r>
    </w:p>
    <w:p w14:paraId="217F6086" w14:textId="108838F9" w:rsidR="008D4E19" w:rsidRPr="00534869" w:rsidRDefault="00534869" w:rsidP="00784E3B">
      <w:pPr>
        <w:pStyle w:val="Headingb"/>
      </w:pPr>
      <w:r w:rsidRPr="00194FF5">
        <w:t>b)</w:t>
      </w:r>
      <w:r w:rsidRPr="00194FF5">
        <w:tab/>
      </w:r>
      <w:r w:rsidR="008D4E19" w:rsidRPr="00534869">
        <w:t xml:space="preserve">AI </w:t>
      </w:r>
      <w:r w:rsidR="008B0B13" w:rsidRPr="00534869">
        <w:t>digital transformation</w:t>
      </w:r>
    </w:p>
    <w:p w14:paraId="2EA6BEEF" w14:textId="53834EBC" w:rsidR="008D4E19" w:rsidRPr="007F3883" w:rsidDel="001C603D" w:rsidRDefault="008D4E19" w:rsidP="00784E3B">
      <w:pPr>
        <w:jc w:val="both"/>
        <w:rPr>
          <w:rFonts w:eastAsia="Segoe UI"/>
        </w:rPr>
      </w:pPr>
      <w:r w:rsidRPr="5687F6DE">
        <w:rPr>
          <w:rFonts w:eastAsia="Segoe UI"/>
        </w:rPr>
        <w:t>A</w:t>
      </w:r>
      <w:r w:rsidR="00AB2B5A">
        <w:rPr>
          <w:rFonts w:eastAsia="Segoe UI"/>
        </w:rPr>
        <w:t xml:space="preserve">rtificial </w:t>
      </w:r>
      <w:r w:rsidR="008B0B13" w:rsidRPr="5687F6DE">
        <w:rPr>
          <w:rFonts w:eastAsia="Segoe UI"/>
        </w:rPr>
        <w:t>i</w:t>
      </w:r>
      <w:r w:rsidR="008B0B13">
        <w:rPr>
          <w:rFonts w:eastAsia="Segoe UI"/>
        </w:rPr>
        <w:t>ntelligence</w:t>
      </w:r>
      <w:r w:rsidR="00AB2B5A">
        <w:rPr>
          <w:rFonts w:eastAsia="Segoe UI"/>
        </w:rPr>
        <w:t xml:space="preserve"> (AI)</w:t>
      </w:r>
      <w:r w:rsidRPr="5687F6DE">
        <w:rPr>
          <w:rFonts w:eastAsia="Segoe UI"/>
        </w:rPr>
        <w:t xml:space="preserve"> adoption is a key element of the ITU's Transformation agenda. The ITU has made progress in its AI digital transformation, which started with the initial piloting of Copilot as part of M365. ITU has now </w:t>
      </w:r>
      <w:r>
        <w:rPr>
          <w:rFonts w:eastAsia="Segoe UI"/>
        </w:rPr>
        <w:t>rolled</w:t>
      </w:r>
      <w:r w:rsidR="008B0B13">
        <w:rPr>
          <w:rFonts w:eastAsia="Segoe UI"/>
        </w:rPr>
        <w:t xml:space="preserve"> </w:t>
      </w:r>
      <w:r>
        <w:rPr>
          <w:rFonts w:eastAsia="Segoe UI"/>
        </w:rPr>
        <w:t>out</w:t>
      </w:r>
      <w:r w:rsidRPr="5687F6DE">
        <w:rPr>
          <w:rFonts w:eastAsia="Segoe UI"/>
        </w:rPr>
        <w:t xml:space="preserve"> Copilot licenses to </w:t>
      </w:r>
      <w:r w:rsidRPr="498C3024">
        <w:rPr>
          <w:rFonts w:eastAsia="Segoe UI"/>
        </w:rPr>
        <w:t>AI</w:t>
      </w:r>
      <w:r w:rsidRPr="5687F6DE">
        <w:rPr>
          <w:rFonts w:eastAsia="Segoe UI"/>
        </w:rPr>
        <w:t xml:space="preserve"> Champions with </w:t>
      </w:r>
      <w:r w:rsidR="008B0B13">
        <w:rPr>
          <w:rFonts w:eastAsia="Segoe UI"/>
        </w:rPr>
        <w:t xml:space="preserve">an </w:t>
      </w:r>
      <w:r w:rsidRPr="5687F6DE">
        <w:rPr>
          <w:rFonts w:eastAsia="Segoe UI"/>
        </w:rPr>
        <w:t xml:space="preserve">enhanced focus on high-value use cases including: </w:t>
      </w:r>
    </w:p>
    <w:p w14:paraId="3249DB0B" w14:textId="494786C3" w:rsidR="008D4E19" w:rsidRPr="00534869" w:rsidDel="001C603D" w:rsidRDefault="00784E3B" w:rsidP="00784E3B">
      <w:pPr>
        <w:pStyle w:val="enumlev1"/>
        <w:rPr>
          <w:rFonts w:eastAsia="Segoe UI"/>
        </w:rPr>
      </w:pPr>
      <w:r>
        <w:rPr>
          <w:rFonts w:eastAsia="Segoe UI"/>
        </w:rPr>
        <w:t>–</w:t>
      </w:r>
      <w:r>
        <w:rPr>
          <w:rFonts w:eastAsia="Segoe UI"/>
        </w:rPr>
        <w:tab/>
      </w:r>
      <w:r w:rsidR="008D4E19" w:rsidRPr="00534869">
        <w:rPr>
          <w:rFonts w:eastAsia="Segoe UI"/>
        </w:rPr>
        <w:t>HR Recruitment productivity improvements</w:t>
      </w:r>
    </w:p>
    <w:p w14:paraId="56650205" w14:textId="4EE6A1A4"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AI-enabled search of ITU Official Documents</w:t>
      </w:r>
    </w:p>
    <w:p w14:paraId="7C0B6F87" w14:textId="39D7BBA0"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End-to-end meeting management and follow-up actions as part of a broader objective to improve our relationship management with members and partners</w:t>
      </w:r>
    </w:p>
    <w:p w14:paraId="5DC27598" w14:textId="49932174" w:rsidR="008D4E19" w:rsidRPr="00534869" w:rsidRDefault="00784E3B" w:rsidP="00784E3B">
      <w:pPr>
        <w:pStyle w:val="enumlev1"/>
        <w:rPr>
          <w:rFonts w:eastAsia="Segoe UI"/>
        </w:rPr>
      </w:pPr>
      <w:r>
        <w:rPr>
          <w:rFonts w:eastAsia="Segoe UI"/>
        </w:rPr>
        <w:lastRenderedPageBreak/>
        <w:t>–</w:t>
      </w:r>
      <w:r>
        <w:rPr>
          <w:rFonts w:eastAsia="Segoe UI"/>
        </w:rPr>
        <w:tab/>
      </w:r>
      <w:r w:rsidR="008D4E19" w:rsidRPr="00534869">
        <w:rPr>
          <w:rFonts w:eastAsia="Segoe UI"/>
        </w:rPr>
        <w:t>Data aggregation for financial dashboards</w:t>
      </w:r>
    </w:p>
    <w:p w14:paraId="08262343" w14:textId="33C7E2F2"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Partnerships &amp; Accounts management</w:t>
      </w:r>
    </w:p>
    <w:p w14:paraId="3A23690D" w14:textId="220F6D7A" w:rsidR="008D4E19" w:rsidRPr="00534869" w:rsidRDefault="00784E3B" w:rsidP="00784E3B">
      <w:pPr>
        <w:pStyle w:val="enumlev1"/>
        <w:rPr>
          <w:rFonts w:eastAsia="Segoe UI"/>
        </w:rPr>
      </w:pPr>
      <w:r>
        <w:rPr>
          <w:rFonts w:eastAsia="Segoe UI"/>
        </w:rPr>
        <w:t>–</w:t>
      </w:r>
      <w:r>
        <w:rPr>
          <w:rFonts w:eastAsia="Segoe UI"/>
        </w:rPr>
        <w:tab/>
      </w:r>
      <w:r w:rsidR="008D4E19" w:rsidRPr="00534869">
        <w:rPr>
          <w:rFonts w:eastAsia="Segoe UI"/>
        </w:rPr>
        <w:t xml:space="preserve">Event Management, Registration and Planning Optimisation </w:t>
      </w:r>
    </w:p>
    <w:p w14:paraId="44A9A123" w14:textId="77777777" w:rsidR="008D4E19" w:rsidRPr="00C4447B" w:rsidRDefault="008D4E19" w:rsidP="00784E3B">
      <w:pPr>
        <w:jc w:val="both"/>
        <w:rPr>
          <w:rFonts w:eastAsia="Segoe UI"/>
        </w:rPr>
      </w:pPr>
      <w:r w:rsidRPr="5687F6DE">
        <w:rPr>
          <w:rFonts w:eastAsia="Segoe UI"/>
        </w:rPr>
        <w:t>In September 2024</w:t>
      </w:r>
      <w:r>
        <w:rPr>
          <w:rFonts w:eastAsia="Segoe UI"/>
        </w:rPr>
        <w:t>,</w:t>
      </w:r>
      <w:r w:rsidRPr="5687F6DE">
        <w:rPr>
          <w:rFonts w:eastAsia="Segoe UI"/>
        </w:rPr>
        <w:t xml:space="preserve"> ITU launched the first iteration of the AI Hub, a single point of access for AI tools, e-learning materials, resources and AI Seed Fund available to all ITU staff. Building on the ‘’AI in Comms’’ ChangeMaker case, the ITU AI Hub is a collaborative initiative that promotes the adoption, capacity development, and effective utilisation of AI technologies in </w:t>
      </w:r>
      <w:r>
        <w:rPr>
          <w:rFonts w:eastAsia="Segoe UI"/>
        </w:rPr>
        <w:t xml:space="preserve">all internal </w:t>
      </w:r>
      <w:r w:rsidRPr="15BFADC1">
        <w:rPr>
          <w:rFonts w:eastAsia="Segoe UI"/>
        </w:rPr>
        <w:t>areas</w:t>
      </w:r>
      <w:r w:rsidRPr="5687F6DE">
        <w:rPr>
          <w:rFonts w:eastAsia="Segoe UI"/>
        </w:rPr>
        <w:t xml:space="preserve"> of work.</w:t>
      </w:r>
      <w:bookmarkStart w:id="12" w:name="_Hlk187312140"/>
    </w:p>
    <w:bookmarkEnd w:id="12"/>
    <w:p w14:paraId="6542AF64" w14:textId="3CFF47DF" w:rsidR="008D4E19" w:rsidRPr="00534869" w:rsidRDefault="00534869" w:rsidP="00784E3B">
      <w:pPr>
        <w:pStyle w:val="Headingb"/>
      </w:pPr>
      <w:r w:rsidRPr="00194FF5">
        <w:t>c)</w:t>
      </w:r>
      <w:r w:rsidRPr="00194FF5">
        <w:tab/>
      </w:r>
      <w:r w:rsidR="008D4E19" w:rsidRPr="00534869">
        <w:t>Leadership Culture</w:t>
      </w:r>
    </w:p>
    <w:p w14:paraId="4A4F8E2E" w14:textId="66EDE448" w:rsidR="008D4E19" w:rsidRDefault="008D4E19" w:rsidP="00784E3B">
      <w:pPr>
        <w:jc w:val="both"/>
        <w:rPr>
          <w:rFonts w:eastAsia="Segoe UI"/>
        </w:rPr>
      </w:pPr>
      <w:r w:rsidRPr="5687F6DE">
        <w:rPr>
          <w:rFonts w:eastAsia="Segoe UI"/>
        </w:rPr>
        <w:t>The</w:t>
      </w:r>
      <w:r>
        <w:rPr>
          <w:rFonts w:eastAsia="Segoe UI"/>
        </w:rPr>
        <w:t xml:space="preserve"> </w:t>
      </w:r>
      <w:r w:rsidRPr="5687F6DE">
        <w:rPr>
          <w:rFonts w:eastAsia="Segoe UI"/>
        </w:rPr>
        <w:t xml:space="preserve">ITU Leadership Development training started in November 2024 and will continue in June 2025. It includes several tracks which are designed to enhance the leadership capabilities within the ITU at all levels. The plan is divided into multiple phases, each targeting specific objectives and outcomes. The first phase, started in 2024, focuses on critical topics such as psychological safety and trust, unconscious bias, gender, diversity, and inclusion. </w:t>
      </w:r>
    </w:p>
    <w:p w14:paraId="68C8349F" w14:textId="77777777" w:rsidR="008D4E19" w:rsidRDefault="008D4E19" w:rsidP="00784E3B">
      <w:pPr>
        <w:jc w:val="both"/>
        <w:rPr>
          <w:rFonts w:eastAsia="Segoe UI"/>
        </w:rPr>
      </w:pPr>
      <w:r w:rsidRPr="317B40B2">
        <w:rPr>
          <w:rFonts w:eastAsia="Segoe UI"/>
        </w:rPr>
        <w:t xml:space="preserve">Additionally, senior managers were involved in addressing staff wellness survey responses and building leadership capacity through adaptive leadership training with the aim to foster teamwork and collaboration among senior managers by tackling critical issues identified during the Senior Management Retreat. </w:t>
      </w:r>
    </w:p>
    <w:p w14:paraId="4BB91016" w14:textId="77777777" w:rsidR="008D4E19" w:rsidRDefault="008D4E19" w:rsidP="00784E3B">
      <w:pPr>
        <w:jc w:val="both"/>
        <w:rPr>
          <w:rFonts w:eastAsia="Segoe UI"/>
        </w:rPr>
      </w:pPr>
      <w:r w:rsidRPr="317B40B2">
        <w:rPr>
          <w:rFonts w:eastAsia="Segoe UI"/>
        </w:rPr>
        <w:t xml:space="preserve">Subsequent phases include development events for ChangeMakers and young professionals, engaging more people in leadership roles, and developing internal support systems to sustain the leadership development efforts long-term. </w:t>
      </w:r>
    </w:p>
    <w:p w14:paraId="5C6909BF" w14:textId="60E7F06C" w:rsidR="008D4E19" w:rsidRPr="00534869" w:rsidRDefault="00534869" w:rsidP="00784E3B">
      <w:pPr>
        <w:pStyle w:val="Headingb"/>
      </w:pPr>
      <w:r w:rsidRPr="00E5656B">
        <w:t>d)</w:t>
      </w:r>
      <w:r w:rsidRPr="00E5656B">
        <w:tab/>
      </w:r>
      <w:r w:rsidR="008D4E19" w:rsidRPr="00534869">
        <w:t>Recruitment</w:t>
      </w:r>
    </w:p>
    <w:p w14:paraId="44A7C2F2" w14:textId="1F41B099" w:rsidR="008D4E19" w:rsidRDefault="008D4E19" w:rsidP="00784E3B">
      <w:pPr>
        <w:jc w:val="both"/>
        <w:rPr>
          <w:rFonts w:eastAsia="Segoe UI"/>
        </w:rPr>
      </w:pPr>
      <w:r w:rsidRPr="5687F6DE">
        <w:rPr>
          <w:rFonts w:eastAsia="Segoe UI"/>
        </w:rPr>
        <w:t>Improvement of ITU’s recruitment system has been identified</w:t>
      </w:r>
      <w:r w:rsidRPr="1287A5F3">
        <w:rPr>
          <w:rFonts w:eastAsia="Segoe UI"/>
        </w:rPr>
        <w:t xml:space="preserve"> </w:t>
      </w:r>
      <w:r w:rsidRPr="5687F6DE">
        <w:rPr>
          <w:rFonts w:eastAsia="Segoe UI"/>
        </w:rPr>
        <w:t xml:space="preserve">as a key process for achievement of ITU’s strategic goals. A process re-engineering exercise was started in 2024. This exercise has identified the key bottlenecks and the related necessary remediation measures. Initial improvements in the recruitment process will be implemented as a first step early in 2025. </w:t>
      </w:r>
    </w:p>
    <w:p w14:paraId="4793C986" w14:textId="29313C6D" w:rsidR="008D4E19" w:rsidRPr="00534869" w:rsidRDefault="00534869" w:rsidP="00784E3B">
      <w:pPr>
        <w:pStyle w:val="Headingb"/>
      </w:pPr>
      <w:r w:rsidRPr="00E5656B">
        <w:t>e)</w:t>
      </w:r>
      <w:r w:rsidRPr="00E5656B">
        <w:tab/>
      </w:r>
      <w:r w:rsidR="008D4E19" w:rsidRPr="00534869">
        <w:t>Travel</w:t>
      </w:r>
    </w:p>
    <w:p w14:paraId="0BA6FF83" w14:textId="77777777" w:rsidR="008D4E19" w:rsidRDefault="008D4E19" w:rsidP="00784E3B">
      <w:pPr>
        <w:jc w:val="both"/>
        <w:rPr>
          <w:rFonts w:eastAsia="Segoe UI"/>
        </w:rPr>
      </w:pPr>
      <w:r w:rsidRPr="5687F6DE">
        <w:rPr>
          <w:rFonts w:eastAsia="Segoe UI"/>
        </w:rPr>
        <w:t>A review of the end-to-end travel process has now started to identify areas for improvements to streamline and introduce a more automated travel solution</w:t>
      </w:r>
      <w:r>
        <w:rPr>
          <w:rFonts w:eastAsia="Segoe UI"/>
        </w:rPr>
        <w:t xml:space="preserve"> as well as review the current service arrangements with the external provider.</w:t>
      </w:r>
    </w:p>
    <w:p w14:paraId="72F01FCE" w14:textId="018A1416" w:rsidR="008D4E19" w:rsidRPr="00534869" w:rsidRDefault="00534869" w:rsidP="00784E3B">
      <w:pPr>
        <w:pStyle w:val="Headingb"/>
      </w:pPr>
      <w:r w:rsidRPr="00E5656B">
        <w:t>f)</w:t>
      </w:r>
      <w:r w:rsidRPr="00E5656B">
        <w:tab/>
      </w:r>
      <w:r w:rsidR="008D4E19" w:rsidRPr="00534869">
        <w:t>Mobility</w:t>
      </w:r>
    </w:p>
    <w:p w14:paraId="010105A5" w14:textId="3620A909" w:rsidR="008D4E19" w:rsidRDefault="008D4E19" w:rsidP="00784E3B">
      <w:pPr>
        <w:jc w:val="both"/>
        <w:rPr>
          <w:rFonts w:eastAsia="Segoe UI"/>
        </w:rPr>
      </w:pPr>
      <w:r w:rsidRPr="5687F6DE">
        <w:rPr>
          <w:rFonts w:eastAsia="Segoe UI"/>
        </w:rPr>
        <w:t>The implementation of a mobility pilot is under study with input from the ChangeMakers network and Transformation Group. Further analysis of the current policy and processes, past mobility cases and lessons learned are required to refine the approach, scope and implementation</w:t>
      </w:r>
      <w:r>
        <w:rPr>
          <w:rFonts w:eastAsia="Segoe UI"/>
        </w:rPr>
        <w:t>.</w:t>
      </w:r>
    </w:p>
    <w:p w14:paraId="4B10E42A" w14:textId="1952B61F" w:rsidR="008D4E19" w:rsidRPr="001320B3" w:rsidRDefault="00534869" w:rsidP="008B0B13">
      <w:pPr>
        <w:pStyle w:val="Heading1"/>
        <w:rPr>
          <w:b w:val="0"/>
          <w:bCs/>
          <w:sz w:val="22"/>
          <w:szCs w:val="22"/>
        </w:rPr>
      </w:pPr>
      <w:r w:rsidRPr="001320B3">
        <w:lastRenderedPageBreak/>
        <w:t>5</w:t>
      </w:r>
      <w:r w:rsidRPr="001320B3">
        <w:tab/>
      </w:r>
      <w:r w:rsidR="008D4E19" w:rsidRPr="008D4D52">
        <w:rPr>
          <w:szCs w:val="28"/>
        </w:rPr>
        <w:t xml:space="preserve">Further </w:t>
      </w:r>
      <w:proofErr w:type="gramStart"/>
      <w:r w:rsidR="008D4E19" w:rsidRPr="008D4D52">
        <w:rPr>
          <w:szCs w:val="28"/>
        </w:rPr>
        <w:t>progress</w:t>
      </w:r>
      <w:proofErr w:type="gramEnd"/>
      <w:r w:rsidR="008D4E19" w:rsidRPr="008D4D52">
        <w:rPr>
          <w:szCs w:val="28"/>
        </w:rPr>
        <w:t xml:space="preserve"> on remaining </w:t>
      </w:r>
      <w:r w:rsidR="006B0CC9" w:rsidRPr="008D4D52">
        <w:rPr>
          <w:szCs w:val="28"/>
        </w:rPr>
        <w:t>transformation</w:t>
      </w:r>
      <w:r w:rsidR="008D4E19" w:rsidRPr="008D4D52">
        <w:rPr>
          <w:szCs w:val="28"/>
        </w:rPr>
        <w:t xml:space="preserve"> projects under the different pillars</w:t>
      </w:r>
    </w:p>
    <w:p w14:paraId="620E0472" w14:textId="1E0194BD" w:rsidR="008D4E19" w:rsidRPr="00E8364E" w:rsidRDefault="008D4E19" w:rsidP="001E0849">
      <w:pPr>
        <w:jc w:val="both"/>
      </w:pPr>
      <w:r w:rsidRPr="317B40B2">
        <w:t>Additionally, ITU’s Transformation roadmap also incorporates other initiatives under the various pillars focused on organizational modernization and digital transformation. Below are the key updates.</w:t>
      </w:r>
    </w:p>
    <w:p w14:paraId="4ECD8233" w14:textId="0DF9A5E7" w:rsidR="008D4E19" w:rsidRPr="00534869" w:rsidRDefault="00534869" w:rsidP="001E0849">
      <w:pPr>
        <w:pStyle w:val="Headingb"/>
      </w:pPr>
      <w:r w:rsidRPr="00360FBF">
        <w:t>a)</w:t>
      </w:r>
      <w:r w:rsidRPr="00360FBF">
        <w:tab/>
      </w:r>
      <w:r w:rsidR="008D4E19" w:rsidRPr="00534869">
        <w:t xml:space="preserve">Systems, </w:t>
      </w:r>
      <w:r w:rsidR="006B0CC9" w:rsidRPr="00534869">
        <w:t xml:space="preserve">processes </w:t>
      </w:r>
      <w:r w:rsidR="006B0CC9">
        <w:t>and</w:t>
      </w:r>
      <w:r w:rsidR="006B0CC9" w:rsidRPr="00534869">
        <w:t xml:space="preserve"> tools</w:t>
      </w:r>
    </w:p>
    <w:p w14:paraId="3D08B0E0" w14:textId="57F8FFA1" w:rsidR="008D4E19" w:rsidRPr="00534869" w:rsidRDefault="001E0849" w:rsidP="001E0849">
      <w:pPr>
        <w:pStyle w:val="enumlev1"/>
        <w:jc w:val="both"/>
      </w:pPr>
      <w:r>
        <w:rPr>
          <w:rFonts w:eastAsia="Segoe UI"/>
        </w:rPr>
        <w:t>–</w:t>
      </w:r>
      <w:r>
        <w:rPr>
          <w:rFonts w:eastAsia="Segoe UI"/>
        </w:rPr>
        <w:tab/>
      </w:r>
      <w:r w:rsidR="6777170C" w:rsidRPr="00534869">
        <w:rPr>
          <w:b/>
          <w:bCs/>
        </w:rPr>
        <w:t>Website:</w:t>
      </w:r>
      <w:r w:rsidR="6777170C" w:rsidRPr="00534869">
        <w:t xml:space="preserve"> The website project has been launched following the last Council meeting and the partial allocation of the budget, CHF 350K out of CHF 600K overall budget. The RFPs for Phase 1 Information Architecture, Taxonomy, and website design has been launched. The feedback feature and questions on the itu.int have been improved following member states contributions. Additionally, the assessment of the current web content and infrastructure, development of the web governance framework will run in parallel, creating a data-based strategy towards cleaning-up and archiving outdated or redundant information to optimize media resources. Once we have outcomes Phase 1, the implementation phase will start. </w:t>
      </w:r>
    </w:p>
    <w:p w14:paraId="026B579E" w14:textId="20E6D612" w:rsidR="008D4E19" w:rsidRPr="00534869" w:rsidRDefault="001E0849" w:rsidP="001E0849">
      <w:pPr>
        <w:pStyle w:val="enumlev1"/>
        <w:jc w:val="both"/>
      </w:pPr>
      <w:r>
        <w:rPr>
          <w:rFonts w:eastAsia="Segoe UI"/>
        </w:rPr>
        <w:t>–</w:t>
      </w:r>
      <w:r>
        <w:rPr>
          <w:rFonts w:eastAsia="Segoe UI"/>
        </w:rPr>
        <w:tab/>
      </w:r>
      <w:r w:rsidR="6777170C" w:rsidRPr="00534869">
        <w:rPr>
          <w:b/>
          <w:bCs/>
        </w:rPr>
        <w:t xml:space="preserve">Enterprise Resource Planning (ERP) </w:t>
      </w:r>
      <w:r w:rsidR="73DD5889" w:rsidRPr="00534869">
        <w:rPr>
          <w:b/>
          <w:bCs/>
        </w:rPr>
        <w:t xml:space="preserve">and Customer Relations Management (CRM) </w:t>
      </w:r>
      <w:r w:rsidR="6777170C" w:rsidRPr="00534869">
        <w:rPr>
          <w:b/>
          <w:bCs/>
        </w:rPr>
        <w:t xml:space="preserve">Platform Upgrade: </w:t>
      </w:r>
      <w:r w:rsidR="6777170C" w:rsidRPr="00534869">
        <w:t xml:space="preserve">Plans are in place to launch the ERP </w:t>
      </w:r>
      <w:r w:rsidR="169D6095" w:rsidRPr="00534869">
        <w:t xml:space="preserve">and CRM </w:t>
      </w:r>
      <w:r w:rsidR="6777170C" w:rsidRPr="00534869">
        <w:t>upgrade project, starting with the launch of the RFP.</w:t>
      </w:r>
    </w:p>
    <w:p w14:paraId="6A8C848A" w14:textId="72ED0233" w:rsidR="008D4E19" w:rsidRPr="00534869" w:rsidRDefault="00534869" w:rsidP="001E0849">
      <w:pPr>
        <w:pStyle w:val="Headingb"/>
      </w:pPr>
      <w:r w:rsidRPr="001E6EC0">
        <w:t>b)</w:t>
      </w:r>
      <w:r w:rsidRPr="001E6EC0">
        <w:tab/>
      </w:r>
      <w:r w:rsidR="008D4E19" w:rsidRPr="00534869">
        <w:t xml:space="preserve">People </w:t>
      </w:r>
      <w:r w:rsidR="006B0CC9">
        <w:t>and</w:t>
      </w:r>
      <w:r w:rsidR="008D4E19" w:rsidRPr="00534869">
        <w:t xml:space="preserve"> </w:t>
      </w:r>
      <w:r w:rsidR="006B0CC9" w:rsidRPr="00534869">
        <w:t>culture</w:t>
      </w:r>
    </w:p>
    <w:p w14:paraId="2BC5A063" w14:textId="77777777" w:rsidR="008D4E19" w:rsidRDefault="008D4E19" w:rsidP="006B0CC9">
      <w:pPr>
        <w:jc w:val="both"/>
        <w:rPr>
          <w:rFonts w:eastAsia="Segoe UI"/>
        </w:rPr>
      </w:pPr>
      <w:r w:rsidRPr="4090F31D">
        <w:rPr>
          <w:rFonts w:eastAsia="Segoe UI"/>
        </w:rPr>
        <w:t>As referenced above, the Transformation effort is not only limited to the streamlining of systems, processes, tools, and policies, but includes a people-focused pillar that aims to create an agile, capable, and empowered workforce; and establish a culture of performance and accountability.</w:t>
      </w:r>
    </w:p>
    <w:p w14:paraId="35DDBF3E" w14:textId="730A36BB" w:rsidR="008D4E19" w:rsidRPr="00534869" w:rsidRDefault="00534869" w:rsidP="001E0849">
      <w:pPr>
        <w:pStyle w:val="Headingb"/>
      </w:pPr>
      <w:r>
        <w:t>c)</w:t>
      </w:r>
      <w:r>
        <w:tab/>
      </w:r>
      <w:r w:rsidR="008D4E19" w:rsidRPr="00534869">
        <w:t xml:space="preserve">Resource </w:t>
      </w:r>
      <w:r w:rsidR="006B0CC9" w:rsidRPr="00534869">
        <w:t>optimisation</w:t>
      </w:r>
    </w:p>
    <w:p w14:paraId="3A689151" w14:textId="63B544FB" w:rsidR="008D4E19" w:rsidRDefault="008D4E19" w:rsidP="006B0CC9">
      <w:pPr>
        <w:jc w:val="both"/>
        <w:rPr>
          <w:rFonts w:eastAsia="Segoe UI"/>
        </w:rPr>
      </w:pPr>
      <w:r w:rsidRPr="317B40B2">
        <w:rPr>
          <w:rFonts w:eastAsia="Segoe UI"/>
        </w:rPr>
        <w:t xml:space="preserve">The financial transformation process has focused on several streams of work during 2024 as highlighted under Document </w:t>
      </w:r>
      <w:hyperlink r:id="rId32" w:history="1">
        <w:r w:rsidRPr="00AB2B5A">
          <w:rPr>
            <w:rStyle w:val="Hyperlink"/>
            <w:rFonts w:asciiTheme="minorHAnsi" w:eastAsia="Segoe UI" w:hAnsiTheme="minorHAnsi" w:cstheme="minorBidi"/>
            <w:sz w:val="22"/>
            <w:szCs w:val="22"/>
          </w:rPr>
          <w:t>C23/50</w:t>
        </w:r>
      </w:hyperlink>
      <w:r w:rsidRPr="317B40B2">
        <w:rPr>
          <w:rFonts w:eastAsia="Segoe UI"/>
        </w:rPr>
        <w:t xml:space="preserve">. Many key streams have been successfully implemented including: </w:t>
      </w:r>
    </w:p>
    <w:p w14:paraId="64983EA0" w14:textId="1A4A108F" w:rsidR="008D4E19" w:rsidRPr="00534869" w:rsidRDefault="006B0CC9" w:rsidP="006B0CC9">
      <w:pPr>
        <w:pStyle w:val="enumlev1"/>
      </w:pPr>
      <w:r>
        <w:rPr>
          <w:rFonts w:eastAsia="Segoe UI"/>
        </w:rPr>
        <w:t>–</w:t>
      </w:r>
      <w:r>
        <w:rPr>
          <w:rFonts w:eastAsia="Segoe UI"/>
        </w:rPr>
        <w:tab/>
      </w:r>
      <w:r w:rsidRPr="00534869">
        <w:t>payroll cost distribution</w:t>
      </w:r>
    </w:p>
    <w:p w14:paraId="3FA77876" w14:textId="4B53E7B9" w:rsidR="008D4E19" w:rsidRPr="00534869" w:rsidRDefault="006B0CC9" w:rsidP="006B0CC9">
      <w:pPr>
        <w:pStyle w:val="enumlev1"/>
      </w:pPr>
      <w:r>
        <w:rPr>
          <w:rFonts w:eastAsia="Segoe UI"/>
        </w:rPr>
        <w:t>–</w:t>
      </w:r>
      <w:r>
        <w:rPr>
          <w:rFonts w:eastAsia="Segoe UI"/>
        </w:rPr>
        <w:tab/>
      </w:r>
      <w:r w:rsidRPr="00534869">
        <w:t>extrabudgetary fund management</w:t>
      </w:r>
    </w:p>
    <w:p w14:paraId="16C515C5" w14:textId="06FAE0FB" w:rsidR="008D4E19" w:rsidRPr="00534869" w:rsidRDefault="006B0CC9" w:rsidP="006B0CC9">
      <w:pPr>
        <w:pStyle w:val="enumlev1"/>
      </w:pPr>
      <w:r>
        <w:rPr>
          <w:rFonts w:eastAsia="Segoe UI"/>
        </w:rPr>
        <w:t>–</w:t>
      </w:r>
      <w:r>
        <w:rPr>
          <w:rFonts w:eastAsia="Segoe UI"/>
        </w:rPr>
        <w:tab/>
      </w:r>
      <w:r w:rsidRPr="00534869">
        <w:t xml:space="preserve">treasury management </w:t>
      </w:r>
    </w:p>
    <w:p w14:paraId="21E0E44F" w14:textId="3E927D36" w:rsidR="008D4E19" w:rsidRPr="00534869" w:rsidRDefault="006B0CC9" w:rsidP="006B0CC9">
      <w:pPr>
        <w:pStyle w:val="enumlev1"/>
      </w:pPr>
      <w:r>
        <w:rPr>
          <w:rFonts w:eastAsia="Segoe UI"/>
        </w:rPr>
        <w:t>–</w:t>
      </w:r>
      <w:r>
        <w:rPr>
          <w:rFonts w:eastAsia="Segoe UI"/>
        </w:rPr>
        <w:tab/>
      </w:r>
      <w:r w:rsidRPr="00534869">
        <w:t>accounting and revaluations</w:t>
      </w:r>
      <w:r>
        <w:t>.</w:t>
      </w:r>
    </w:p>
    <w:p w14:paraId="593D8988" w14:textId="78AEDB95" w:rsidR="008D4E19" w:rsidRDefault="00534869" w:rsidP="001E0849">
      <w:pPr>
        <w:pStyle w:val="Headingb"/>
        <w:rPr>
          <w:rFonts w:asciiTheme="minorHAnsi" w:hAnsiTheme="minorHAnsi" w:cstheme="minorBidi"/>
          <w:b w:val="0"/>
          <w:bCs/>
          <w:sz w:val="22"/>
          <w:szCs w:val="22"/>
        </w:rPr>
      </w:pPr>
      <w:r>
        <w:t>d)</w:t>
      </w:r>
      <w:r>
        <w:tab/>
      </w:r>
      <w:r w:rsidR="008D4E19" w:rsidRPr="00534869">
        <w:t xml:space="preserve">Members and </w:t>
      </w:r>
      <w:r w:rsidR="006B0CC9" w:rsidRPr="00534869">
        <w:t>partners</w:t>
      </w:r>
      <w:r w:rsidR="008D4E19" w:rsidRPr="00534869">
        <w:t>:</w:t>
      </w:r>
    </w:p>
    <w:p w14:paraId="1B94003C" w14:textId="7495B8EA" w:rsidR="008D4E19" w:rsidRPr="00534869" w:rsidRDefault="006B0CC9" w:rsidP="006B0CC9">
      <w:pPr>
        <w:pStyle w:val="enumlev1"/>
        <w:jc w:val="both"/>
      </w:pPr>
      <w:r>
        <w:rPr>
          <w:rFonts w:eastAsia="Segoe UI"/>
        </w:rPr>
        <w:t>–</w:t>
      </w:r>
      <w:r>
        <w:rPr>
          <w:rFonts w:eastAsia="Segoe UI"/>
        </w:rPr>
        <w:tab/>
      </w:r>
      <w:r w:rsidR="008D4E19" w:rsidRPr="00534869">
        <w:rPr>
          <w:b/>
          <w:bCs/>
        </w:rPr>
        <w:t xml:space="preserve">Remote </w:t>
      </w:r>
      <w:r w:rsidRPr="00534869">
        <w:rPr>
          <w:b/>
          <w:bCs/>
        </w:rPr>
        <w:t>meeting participation services</w:t>
      </w:r>
      <w:r w:rsidR="008D4E19" w:rsidRPr="00534869">
        <w:rPr>
          <w:b/>
          <w:bCs/>
        </w:rPr>
        <w:t>:</w:t>
      </w:r>
      <w:r w:rsidR="008D4E19" w:rsidRPr="00534869">
        <w:t xml:space="preserve"> Investments were made to expand and improve remote meeting capabilities, enabling greater inclusivity and addressing business continuity gaps highlighted by the Covid-19 pandemic.</w:t>
      </w:r>
    </w:p>
    <w:p w14:paraId="15C3187C" w14:textId="28F3D132" w:rsidR="008D4E19" w:rsidRPr="00534869" w:rsidRDefault="006B0CC9" w:rsidP="006B0CC9">
      <w:pPr>
        <w:pStyle w:val="enumlev1"/>
        <w:jc w:val="both"/>
      </w:pPr>
      <w:r>
        <w:rPr>
          <w:rFonts w:eastAsia="Segoe UI"/>
        </w:rPr>
        <w:t>–</w:t>
      </w:r>
      <w:r>
        <w:rPr>
          <w:rFonts w:eastAsia="Segoe UI"/>
        </w:rPr>
        <w:tab/>
      </w:r>
      <w:r w:rsidR="008D4E19" w:rsidRPr="00534869">
        <w:rPr>
          <w:b/>
          <w:bCs/>
        </w:rPr>
        <w:t>Delivery of conferences, meetings, and other events:</w:t>
      </w:r>
      <w:r w:rsidR="008D4E19" w:rsidRPr="00534869">
        <w:t xml:space="preserve"> Continuous improvement initiatives in conference service delivery and in language services are in progress, including translation, interpretation and summary records, integrating AI where possible.</w:t>
      </w:r>
    </w:p>
    <w:p w14:paraId="20F727A6" w14:textId="7ECBF2D8" w:rsidR="008D4E19" w:rsidRPr="00534869" w:rsidRDefault="00534869" w:rsidP="006B0CC9">
      <w:pPr>
        <w:pStyle w:val="Heading1"/>
      </w:pPr>
      <w:r w:rsidRPr="00B218F9">
        <w:lastRenderedPageBreak/>
        <w:t>6</w:t>
      </w:r>
      <w:r w:rsidRPr="00B218F9">
        <w:tab/>
      </w:r>
      <w:r w:rsidR="008D4E19" w:rsidRPr="00534869">
        <w:t xml:space="preserve">ChangeMakers </w:t>
      </w:r>
      <w:r w:rsidR="006B0CC9" w:rsidRPr="00534869">
        <w:t>network</w:t>
      </w:r>
      <w:r w:rsidR="008D4E19" w:rsidRPr="00534869">
        <w:t xml:space="preserve"> and </w:t>
      </w:r>
      <w:r w:rsidR="006B0CC9" w:rsidRPr="00534869">
        <w:t>cases</w:t>
      </w:r>
    </w:p>
    <w:p w14:paraId="44B8C12E" w14:textId="77777777" w:rsidR="008D4E19" w:rsidRPr="003A2AA8" w:rsidRDefault="008D4E19" w:rsidP="006B0CC9">
      <w:pPr>
        <w:jc w:val="both"/>
      </w:pPr>
      <w:r w:rsidRPr="317B40B2">
        <w:t xml:space="preserve">The Transformation effort has optimised the valuable input of the ChangeMakers network, a voluntary group of 90 ITU staff purposefully formed to identify ten actionable and improvable "change cases" to achieve organisational excellence. Cases are those most relevant and meaningful to the ITU, and include Data-Driven Decision Making, AI in Communications, and Performance Management. As the Transformation agenda evolves and matures along different timelines, so too does the role of the ChangeMakers. They have fed continuously into the Transformation Team in various ways, including the Accelerated Initiatives, where they helped to accelerate the process of improving ITU's Performance Management and ensured participation across all levels of the organisation.  </w:t>
      </w:r>
    </w:p>
    <w:p w14:paraId="7ED7CC30" w14:textId="775EE71A" w:rsidR="008D4E19" w:rsidRPr="00B218F9" w:rsidRDefault="00534869" w:rsidP="006B0CC9">
      <w:pPr>
        <w:pStyle w:val="Heading1"/>
        <w:rPr>
          <w:b w:val="0"/>
          <w:bCs/>
          <w:sz w:val="22"/>
          <w:szCs w:val="22"/>
        </w:rPr>
      </w:pPr>
      <w:r w:rsidRPr="00B218F9">
        <w:t>7</w:t>
      </w:r>
      <w:r w:rsidRPr="00B218F9">
        <w:tab/>
      </w:r>
      <w:r w:rsidR="008D4E19" w:rsidRPr="00534869">
        <w:t>KPI and Baseline Assessment</w:t>
      </w:r>
    </w:p>
    <w:p w14:paraId="37C13C68" w14:textId="55C3B21F" w:rsidR="008D4E19" w:rsidRDefault="008D4E19" w:rsidP="006B0CC9">
      <w:pPr>
        <w:jc w:val="both"/>
      </w:pPr>
      <w:r w:rsidRPr="317B40B2">
        <w:t>In collaboration with the Business Units, an initial set of KPIs have been identified to start gathering data and developing a baseline assessment for future comparisons after improvements have been implemented. This will involve collecting and validating the accuracy and reliability of the data and enhancement of existing dashboards and development of new dashboards. Moreover, the development of the enhanced financial dashboards has been identified as one of the AI use cases to be delivered as part of the AI Digital Transformation.</w:t>
      </w:r>
    </w:p>
    <w:p w14:paraId="610853A8" w14:textId="77777777" w:rsidR="008D4E19" w:rsidRPr="00CD3F07" w:rsidRDefault="008D4E19" w:rsidP="006B0CC9">
      <w:pPr>
        <w:pStyle w:val="Figure"/>
      </w:pPr>
      <w:r w:rsidRPr="00CD3F07">
        <w:rPr>
          <w:noProof/>
        </w:rPr>
        <w:drawing>
          <wp:inline distT="0" distB="0" distL="0" distR="0" wp14:anchorId="4F202CAD" wp14:editId="21AE2100">
            <wp:extent cx="6123600" cy="2422800"/>
            <wp:effectExtent l="0" t="0" r="0" b="0"/>
            <wp:docPr id="115898297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82972" name="Picture 3" descr="A screenshot of a computer&#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3600" cy="2422800"/>
                    </a:xfrm>
                    <a:prstGeom prst="rect">
                      <a:avLst/>
                    </a:prstGeom>
                    <a:noFill/>
                  </pic:spPr>
                </pic:pic>
              </a:graphicData>
            </a:graphic>
          </wp:inline>
        </w:drawing>
      </w:r>
    </w:p>
    <w:p w14:paraId="60AC7EEC" w14:textId="647BEFFF" w:rsidR="008D4E19" w:rsidRDefault="00534869" w:rsidP="006B0CC9">
      <w:pPr>
        <w:pStyle w:val="Heading1"/>
        <w:rPr>
          <w:b w:val="0"/>
          <w:bCs/>
          <w:sz w:val="22"/>
          <w:szCs w:val="22"/>
        </w:rPr>
      </w:pPr>
      <w:r>
        <w:t>8</w:t>
      </w:r>
      <w:r>
        <w:tab/>
      </w:r>
      <w:r w:rsidR="008D4E19" w:rsidRPr="00534869">
        <w:t>Resources required for Transformation’s major projects</w:t>
      </w:r>
    </w:p>
    <w:p w14:paraId="548E00B8" w14:textId="696CE389" w:rsidR="008D4E19" w:rsidRDefault="6777170C" w:rsidP="00693FDB">
      <w:pPr>
        <w:jc w:val="both"/>
      </w:pPr>
      <w:r w:rsidRPr="0CA0BB14">
        <w:t xml:space="preserve">Funding of the transformation will primarily come from regular budgetary allocations, though some additional allocations </w:t>
      </w:r>
      <w:r w:rsidR="66CDCC10" w:rsidRPr="0CA0BB14">
        <w:t xml:space="preserve">may </w:t>
      </w:r>
      <w:r w:rsidRPr="0CA0BB14">
        <w:t>be sought to ensure adequate capacity and expertise to implement the initiatives.</w:t>
      </w:r>
    </w:p>
    <w:p w14:paraId="66BE7CA4" w14:textId="6D662FC0" w:rsidR="008D4E19" w:rsidRDefault="008D4E19" w:rsidP="00693FDB">
      <w:pPr>
        <w:jc w:val="both"/>
      </w:pPr>
      <w:r w:rsidRPr="5A5D325D">
        <w:t xml:space="preserve">At the last Senior Management Retreat held in November 2024, the following priorities have been set for Transformation for 2025. These priorities </w:t>
      </w:r>
      <w:r>
        <w:t>will be</w:t>
      </w:r>
      <w:r w:rsidRPr="5A5D325D">
        <w:t xml:space="preserve"> included in the 2025 work</w:t>
      </w:r>
      <w:r w:rsidR="00693FDB">
        <w:t xml:space="preserve"> </w:t>
      </w:r>
      <w:r w:rsidRPr="5A5D325D">
        <w:t>plan for the responsible Departments and Units.</w:t>
      </w:r>
    </w:p>
    <w:p w14:paraId="34C08BB3" w14:textId="72F2047D" w:rsidR="008D4E19" w:rsidRPr="00534869" w:rsidRDefault="00534869" w:rsidP="00693FDB">
      <w:pPr>
        <w:pStyle w:val="enumlev1"/>
        <w:jc w:val="both"/>
      </w:pPr>
      <w:r>
        <w:t>a.</w:t>
      </w:r>
      <w:r>
        <w:tab/>
      </w:r>
      <w:r w:rsidR="008D4E19" w:rsidRPr="00534869">
        <w:t xml:space="preserve">Systems, </w:t>
      </w:r>
      <w:r w:rsidR="00693FDB" w:rsidRPr="00534869">
        <w:t>process</w:t>
      </w:r>
      <w:r w:rsidR="008D4E19" w:rsidRPr="00534869">
        <w:t xml:space="preserve"> and </w:t>
      </w:r>
      <w:r w:rsidR="00693FDB" w:rsidRPr="00534869">
        <w:t>tools</w:t>
      </w:r>
      <w:r w:rsidR="008D4E19" w:rsidRPr="00534869">
        <w:t xml:space="preserve"> including the delivery of the new website, ERP upgrade, CRM, and AI Digital Transformation</w:t>
      </w:r>
    </w:p>
    <w:p w14:paraId="59BC2FFC" w14:textId="768F2AB4" w:rsidR="008D4E19" w:rsidRPr="00534869" w:rsidRDefault="00534869" w:rsidP="00693FDB">
      <w:pPr>
        <w:pStyle w:val="enumlev1"/>
        <w:jc w:val="both"/>
      </w:pPr>
      <w:r w:rsidRPr="00663388">
        <w:t>b.</w:t>
      </w:r>
      <w:r w:rsidRPr="00663388">
        <w:tab/>
      </w:r>
      <w:r w:rsidR="008D4E19" w:rsidRPr="00534869">
        <w:t xml:space="preserve">Resource </w:t>
      </w:r>
      <w:r w:rsidR="00693FDB" w:rsidRPr="00534869">
        <w:t>optimization</w:t>
      </w:r>
      <w:r w:rsidR="008D4E19" w:rsidRPr="00534869">
        <w:t xml:space="preserve"> including improvements in strategic prioritization and financial alignment, accounting, procurement, and travel</w:t>
      </w:r>
    </w:p>
    <w:p w14:paraId="78B8A429" w14:textId="41691E8F" w:rsidR="008D4E19" w:rsidRPr="00534869" w:rsidRDefault="00534869" w:rsidP="00693FDB">
      <w:pPr>
        <w:pStyle w:val="enumlev1"/>
        <w:jc w:val="both"/>
      </w:pPr>
      <w:r w:rsidRPr="00AB2B5A">
        <w:lastRenderedPageBreak/>
        <w:t>c.</w:t>
      </w:r>
      <w:r w:rsidRPr="00AB2B5A">
        <w:tab/>
      </w:r>
      <w:r w:rsidR="008D4E19" w:rsidRPr="00534869">
        <w:t xml:space="preserve">People </w:t>
      </w:r>
      <w:r w:rsidR="00693FDB">
        <w:t>and</w:t>
      </w:r>
      <w:r w:rsidR="008D4E19" w:rsidRPr="00534869">
        <w:t xml:space="preserve"> culture including leadership and culture training and process streamlining of recruitment, performance management, mobility, competency and talent development and staff administration</w:t>
      </w:r>
    </w:p>
    <w:p w14:paraId="5E7EC216" w14:textId="6C12EB95" w:rsidR="008D4E19" w:rsidRPr="00534869" w:rsidRDefault="00534869" w:rsidP="00693FDB">
      <w:pPr>
        <w:pStyle w:val="enumlev1"/>
        <w:jc w:val="both"/>
      </w:pPr>
      <w:r w:rsidRPr="005F2EAB">
        <w:t>d.</w:t>
      </w:r>
      <w:r w:rsidRPr="005F2EAB">
        <w:tab/>
      </w:r>
      <w:r w:rsidR="008D4E19" w:rsidRPr="00534869">
        <w:t xml:space="preserve">Members and </w:t>
      </w:r>
      <w:r w:rsidR="00693FDB" w:rsidRPr="00534869">
        <w:t>partners</w:t>
      </w:r>
      <w:r w:rsidR="008D4E19" w:rsidRPr="00534869">
        <w:t xml:space="preserve"> including enhancing the conference experience, meeting and event planning and </w:t>
      </w:r>
      <w:bookmarkStart w:id="13" w:name="_Hlk187299228"/>
      <w:r w:rsidR="008D4E19" w:rsidRPr="00534869">
        <w:t>resourcing, communications &amp; media</w:t>
      </w:r>
    </w:p>
    <w:bookmarkEnd w:id="13"/>
    <w:p w14:paraId="61CE8BD8" w14:textId="47574BC3" w:rsidR="00693FDB" w:rsidRDefault="00534869" w:rsidP="00693FDB">
      <w:pPr>
        <w:pStyle w:val="enumlev1"/>
        <w:jc w:val="both"/>
      </w:pPr>
      <w:r>
        <w:t>e.</w:t>
      </w:r>
      <w:r>
        <w:tab/>
      </w:r>
      <w:r w:rsidR="008D4E19" w:rsidRPr="00534869">
        <w:t>ChangeMakers network and implementation of change cases</w:t>
      </w:r>
      <w:r w:rsidR="00AB2B5A" w:rsidRPr="00534869">
        <w:t>.</w:t>
      </w:r>
    </w:p>
    <w:p w14:paraId="4BD7D222" w14:textId="4F0CDFEB" w:rsidR="00A514A4" w:rsidRPr="008D4E19" w:rsidRDefault="00693FDB" w:rsidP="00693FDB">
      <w:pPr>
        <w:spacing w:before="600"/>
        <w:jc w:val="center"/>
      </w:pPr>
      <w:r>
        <w:t>______________</w:t>
      </w:r>
    </w:p>
    <w:sectPr w:rsidR="00A514A4" w:rsidRPr="008D4E19" w:rsidSect="00AD3606">
      <w:footerReference w:type="default" r:id="rId34"/>
      <w:headerReference w:type="first" r:id="rId35"/>
      <w:footerReference w:type="first" r:id="rId3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E0F0" w14:textId="77777777" w:rsidR="008927B9" w:rsidRDefault="008927B9">
      <w:r>
        <w:separator/>
      </w:r>
    </w:p>
  </w:endnote>
  <w:endnote w:type="continuationSeparator" w:id="0">
    <w:p w14:paraId="3EF45933" w14:textId="77777777" w:rsidR="008927B9" w:rsidRDefault="008927B9">
      <w:r>
        <w:continuationSeparator/>
      </w:r>
    </w:p>
  </w:endnote>
  <w:endnote w:type="continuationNotice" w:id="1">
    <w:p w14:paraId="38E636C4" w14:textId="77777777" w:rsidR="008927B9" w:rsidRDefault="008927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7DF8D60D" w14:textId="77777777" w:rsidTr="00771E21">
      <w:trPr>
        <w:jc w:val="center"/>
      </w:trPr>
      <w:tc>
        <w:tcPr>
          <w:tcW w:w="1803" w:type="dxa"/>
          <w:vAlign w:val="center"/>
        </w:tcPr>
        <w:p w14:paraId="42F3407A" w14:textId="77777777" w:rsidR="00EE49E8" w:rsidRDefault="00EE49E8" w:rsidP="00EE49E8">
          <w:pPr>
            <w:pStyle w:val="Header"/>
            <w:jc w:val="left"/>
            <w:rPr>
              <w:noProof/>
            </w:rPr>
          </w:pPr>
        </w:p>
      </w:tc>
      <w:tc>
        <w:tcPr>
          <w:tcW w:w="8261" w:type="dxa"/>
        </w:tcPr>
        <w:p w14:paraId="08FD7186" w14:textId="68B841CF"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25570E">
            <w:rPr>
              <w:bCs/>
              <w:lang w:val="fr-CH"/>
            </w:rPr>
            <w:t>2</w:t>
          </w:r>
          <w:r w:rsidR="000F6AB8">
            <w:rPr>
              <w:bCs/>
              <w:lang w:val="fr-CH"/>
            </w:rPr>
            <w:t>0/</w:t>
          </w:r>
          <w:r w:rsidR="007B70B6">
            <w:rPr>
              <w:bCs/>
              <w:lang w:val="fr-CH"/>
            </w:rPr>
            <w:t>11</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E38AFA7"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EF303D2" w14:textId="77777777" w:rsidTr="00A52C84">
      <w:trPr>
        <w:jc w:val="center"/>
      </w:trPr>
      <w:tc>
        <w:tcPr>
          <w:tcW w:w="3107" w:type="dxa"/>
          <w:vAlign w:val="center"/>
        </w:tcPr>
        <w:p w14:paraId="5F132838" w14:textId="77777777" w:rsidR="00EE49E8" w:rsidRPr="00F56F10" w:rsidRDefault="0025570E" w:rsidP="00EE49E8">
          <w:pPr>
            <w:pStyle w:val="Header"/>
            <w:jc w:val="left"/>
            <w:rPr>
              <w:noProof/>
            </w:rPr>
          </w:pPr>
          <w:hyperlink r:id="rId1" w:history="1">
            <w:r w:rsidRPr="00F56F10">
              <w:rPr>
                <w:rStyle w:val="Hyperlink"/>
                <w:u w:val="none"/>
              </w:rPr>
              <w:t>https://council.itu.int/working-groups</w:t>
            </w:r>
          </w:hyperlink>
        </w:p>
      </w:tc>
      <w:tc>
        <w:tcPr>
          <w:tcW w:w="6957" w:type="dxa"/>
        </w:tcPr>
        <w:p w14:paraId="7CFADCBC" w14:textId="57AA6ED7"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25570E" w:rsidRPr="000F6AB8">
            <w:rPr>
              <w:bCs/>
              <w:lang w:val="es-ES"/>
            </w:rPr>
            <w:t>2</w:t>
          </w:r>
          <w:r w:rsidR="000F6AB8">
            <w:rPr>
              <w:bCs/>
              <w:lang w:val="es-ES"/>
            </w:rPr>
            <w:t>0</w:t>
          </w:r>
          <w:r w:rsidRPr="000F6AB8">
            <w:rPr>
              <w:bCs/>
              <w:lang w:val="es-ES"/>
            </w:rPr>
            <w:t>/</w:t>
          </w:r>
          <w:r w:rsidR="007B70B6">
            <w:rPr>
              <w:bCs/>
              <w:lang w:val="es-ES"/>
            </w:rPr>
            <w:t>11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E65BF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06B7" w14:textId="77777777" w:rsidR="008927B9" w:rsidRDefault="008927B9">
      <w:r>
        <w:t>____________________</w:t>
      </w:r>
    </w:p>
  </w:footnote>
  <w:footnote w:type="continuationSeparator" w:id="0">
    <w:p w14:paraId="731A9563" w14:textId="77777777" w:rsidR="008927B9" w:rsidRDefault="008927B9">
      <w:r>
        <w:continuationSeparator/>
      </w:r>
    </w:p>
  </w:footnote>
  <w:footnote w:type="continuationNotice" w:id="1">
    <w:p w14:paraId="3F94ECA6" w14:textId="77777777" w:rsidR="008927B9" w:rsidRDefault="008927B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14242FC" w14:textId="77777777" w:rsidTr="00F74694">
      <w:trPr>
        <w:trHeight w:val="1304"/>
        <w:jc w:val="center"/>
      </w:trPr>
      <w:tc>
        <w:tcPr>
          <w:tcW w:w="6546" w:type="dxa"/>
        </w:tcPr>
        <w:p w14:paraId="6A22278E" w14:textId="77777777" w:rsidR="00AD3606" w:rsidRPr="009621F8" w:rsidRDefault="00F56F10" w:rsidP="00130599">
          <w:pPr>
            <w:pStyle w:val="Header"/>
            <w:jc w:val="left"/>
            <w:rPr>
              <w:rFonts w:ascii="Arial" w:hAnsi="Arial" w:cs="Arial"/>
              <w:b/>
              <w:bCs/>
              <w:color w:val="009CD6"/>
              <w:sz w:val="36"/>
              <w:szCs w:val="36"/>
            </w:rPr>
          </w:pPr>
          <w:bookmarkStart w:id="14"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018AED90" wp14:editId="34251946">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chemeClr val="bg1"/>
                            </a:solidFill>
                            <a:ln w="9525">
                              <a:noFill/>
                              <a:miter lim="800000"/>
                              <a:headEnd/>
                              <a:tailEnd/>
                            </a:ln>
                          </wps:spPr>
                          <wps:txbx>
                            <w:txbxContent>
                              <w:p w14:paraId="53B59D24" w14:textId="263DAB34" w:rsidR="00130599" w:rsidRDefault="00A43C03" w:rsidP="000120E4">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Twentieth</w:t>
                                </w:r>
                                <w:r w:rsidRPr="00130599">
                                  <w:rPr>
                                    <w:sz w:val="20"/>
                                  </w:rPr>
                                  <w:t xml:space="preserve"> meeting </w:t>
                                </w:r>
                                <w:r>
                                  <w:rPr>
                                    <w:sz w:val="20"/>
                                  </w:rPr>
                                  <w:t>– From 17 to 1</w:t>
                                </w:r>
                                <w:r w:rsidR="004D3B0A">
                                  <w:rPr>
                                    <w:sz w:val="20"/>
                                  </w:rPr>
                                  <w:t>9</w:t>
                                </w:r>
                                <w:r>
                                  <w:rPr>
                                    <w:sz w:val="20"/>
                                  </w:rPr>
                                  <w:t xml:space="preserve">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8AED90" id="_x0000_t202" coordsize="21600,21600" o:spt="202" path="m,l,21600r21600,l21600,xe">
                    <v:stroke joinstyle="miter"/>
                    <v:path gradientshapeok="t" o:connecttype="rect"/>
                  </v:shapetype>
                  <v:shape id="Text Box 2" o:spid="_x0000_s1026" type="#_x0000_t202" style="position:absolute;margin-left:112.85pt;margin-top:.4pt;width:346.4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KuEQ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" fillcolor="white [3212]" stroked="f">
                    <v:textbox style="mso-fit-shape-to-text:t" inset="1mm">
                      <w:txbxContent>
                        <w:p w14:paraId="53B59D24" w14:textId="263DAB34" w:rsidR="00130599" w:rsidRDefault="00A43C03" w:rsidP="000120E4">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Twentieth</w:t>
                          </w:r>
                          <w:r w:rsidRPr="00130599">
                            <w:rPr>
                              <w:sz w:val="20"/>
                            </w:rPr>
                            <w:t xml:space="preserve"> meeting </w:t>
                          </w:r>
                          <w:r>
                            <w:rPr>
                              <w:sz w:val="20"/>
                            </w:rPr>
                            <w:t>– From 17 to 1</w:t>
                          </w:r>
                          <w:r w:rsidR="004D3B0A">
                            <w:rPr>
                              <w:sz w:val="20"/>
                            </w:rPr>
                            <w:t>9</w:t>
                          </w:r>
                          <w:r>
                            <w:rPr>
                              <w:sz w:val="20"/>
                            </w:rPr>
                            <w:t xml:space="preserve"> February 2025</w:t>
                          </w:r>
                        </w:p>
                      </w:txbxContent>
                    </v:textbox>
                  </v:shape>
                </w:pict>
              </mc:Fallback>
            </mc:AlternateContent>
          </w:r>
          <w:r>
            <w:rPr>
              <w:rFonts w:ascii="Arial" w:hAnsi="Arial" w:cs="Arial"/>
              <w:b/>
              <w:bCs/>
              <w:noProof/>
              <w:color w:val="009CD6"/>
              <w:sz w:val="36"/>
              <w:szCs w:val="36"/>
            </w:rPr>
            <w:drawing>
              <wp:inline distT="0" distB="0" distL="0" distR="0" wp14:anchorId="25FF8506" wp14:editId="569F0CBF">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B5458B7" w14:textId="77777777" w:rsidR="00AD3606" w:rsidRDefault="00AD3606" w:rsidP="00AD3606">
          <w:pPr>
            <w:pStyle w:val="Header"/>
            <w:jc w:val="right"/>
            <w:rPr>
              <w:rFonts w:ascii="Arial" w:hAnsi="Arial" w:cs="Arial"/>
              <w:b/>
              <w:bCs/>
              <w:color w:val="009CD6"/>
              <w:szCs w:val="18"/>
            </w:rPr>
          </w:pPr>
        </w:p>
        <w:p w14:paraId="2DDC2E10" w14:textId="77777777" w:rsidR="00AD3606" w:rsidRDefault="00AD3606" w:rsidP="00AD3606">
          <w:pPr>
            <w:pStyle w:val="Header"/>
            <w:jc w:val="right"/>
            <w:rPr>
              <w:rFonts w:ascii="Arial" w:hAnsi="Arial" w:cs="Arial"/>
              <w:b/>
              <w:bCs/>
              <w:color w:val="009CD6"/>
              <w:szCs w:val="18"/>
            </w:rPr>
          </w:pPr>
        </w:p>
        <w:p w14:paraId="72DFDD8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3610873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EB8E5DC" wp14:editId="0657070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11341"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22372"/>
    <w:multiLevelType w:val="hybridMultilevel"/>
    <w:tmpl w:val="C10A4BF8"/>
    <w:lvl w:ilvl="0" w:tplc="08090019">
      <w:start w:val="1"/>
      <w:numFmt w:val="lowerLetter"/>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36C73A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73581D"/>
    <w:multiLevelType w:val="hybridMultilevel"/>
    <w:tmpl w:val="FFFFFFFF"/>
    <w:lvl w:ilvl="0" w:tplc="8A16D650">
      <w:start w:val="1"/>
      <w:numFmt w:val="bullet"/>
      <w:lvlText w:val=""/>
      <w:lvlJc w:val="left"/>
      <w:pPr>
        <w:ind w:left="1080" w:hanging="360"/>
      </w:pPr>
      <w:rPr>
        <w:rFonts w:ascii="Symbol" w:hAnsi="Symbol" w:hint="default"/>
      </w:rPr>
    </w:lvl>
    <w:lvl w:ilvl="1" w:tplc="3DFA010A">
      <w:start w:val="1"/>
      <w:numFmt w:val="bullet"/>
      <w:lvlText w:val="o"/>
      <w:lvlJc w:val="left"/>
      <w:pPr>
        <w:ind w:left="1800" w:hanging="360"/>
      </w:pPr>
      <w:rPr>
        <w:rFonts w:ascii="Courier New" w:hAnsi="Courier New" w:hint="default"/>
      </w:rPr>
    </w:lvl>
    <w:lvl w:ilvl="2" w:tplc="1ECCDA30">
      <w:start w:val="1"/>
      <w:numFmt w:val="bullet"/>
      <w:lvlText w:val=""/>
      <w:lvlJc w:val="left"/>
      <w:pPr>
        <w:ind w:left="2520" w:hanging="360"/>
      </w:pPr>
      <w:rPr>
        <w:rFonts w:ascii="Wingdings" w:hAnsi="Wingdings" w:hint="default"/>
      </w:rPr>
    </w:lvl>
    <w:lvl w:ilvl="3" w:tplc="FE2A3BB2">
      <w:start w:val="1"/>
      <w:numFmt w:val="bullet"/>
      <w:lvlText w:val=""/>
      <w:lvlJc w:val="left"/>
      <w:pPr>
        <w:ind w:left="3240" w:hanging="360"/>
      </w:pPr>
      <w:rPr>
        <w:rFonts w:ascii="Symbol" w:hAnsi="Symbol" w:hint="default"/>
      </w:rPr>
    </w:lvl>
    <w:lvl w:ilvl="4" w:tplc="94064608">
      <w:start w:val="1"/>
      <w:numFmt w:val="bullet"/>
      <w:lvlText w:val="o"/>
      <w:lvlJc w:val="left"/>
      <w:pPr>
        <w:ind w:left="3960" w:hanging="360"/>
      </w:pPr>
      <w:rPr>
        <w:rFonts w:ascii="Courier New" w:hAnsi="Courier New" w:hint="default"/>
      </w:rPr>
    </w:lvl>
    <w:lvl w:ilvl="5" w:tplc="09763C5E">
      <w:start w:val="1"/>
      <w:numFmt w:val="bullet"/>
      <w:lvlText w:val=""/>
      <w:lvlJc w:val="left"/>
      <w:pPr>
        <w:ind w:left="4680" w:hanging="360"/>
      </w:pPr>
      <w:rPr>
        <w:rFonts w:ascii="Wingdings" w:hAnsi="Wingdings" w:hint="default"/>
      </w:rPr>
    </w:lvl>
    <w:lvl w:ilvl="6" w:tplc="62C0E9B0">
      <w:start w:val="1"/>
      <w:numFmt w:val="bullet"/>
      <w:lvlText w:val=""/>
      <w:lvlJc w:val="left"/>
      <w:pPr>
        <w:ind w:left="5400" w:hanging="360"/>
      </w:pPr>
      <w:rPr>
        <w:rFonts w:ascii="Symbol" w:hAnsi="Symbol" w:hint="default"/>
      </w:rPr>
    </w:lvl>
    <w:lvl w:ilvl="7" w:tplc="B882C398">
      <w:start w:val="1"/>
      <w:numFmt w:val="bullet"/>
      <w:lvlText w:val="o"/>
      <w:lvlJc w:val="left"/>
      <w:pPr>
        <w:ind w:left="6120" w:hanging="360"/>
      </w:pPr>
      <w:rPr>
        <w:rFonts w:ascii="Courier New" w:hAnsi="Courier New" w:hint="default"/>
      </w:rPr>
    </w:lvl>
    <w:lvl w:ilvl="8" w:tplc="4C943460">
      <w:start w:val="1"/>
      <w:numFmt w:val="bullet"/>
      <w:lvlText w:val=""/>
      <w:lvlJc w:val="left"/>
      <w:pPr>
        <w:ind w:left="6840" w:hanging="360"/>
      </w:pPr>
      <w:rPr>
        <w:rFonts w:ascii="Wingdings" w:hAnsi="Wingdings" w:hint="default"/>
      </w:rPr>
    </w:lvl>
  </w:abstractNum>
  <w:abstractNum w:abstractNumId="4" w15:restartNumberingAfterBreak="0">
    <w:nsid w:val="489257CA"/>
    <w:multiLevelType w:val="hybridMultilevel"/>
    <w:tmpl w:val="FFFFFFFF"/>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7D11A6A8"/>
    <w:multiLevelType w:val="hybridMultilevel"/>
    <w:tmpl w:val="FFFFFFFF"/>
    <w:lvl w:ilvl="0" w:tplc="A49EACE8">
      <w:start w:val="1"/>
      <w:numFmt w:val="lowerLetter"/>
      <w:lvlText w:val="%1)"/>
      <w:lvlJc w:val="left"/>
      <w:pPr>
        <w:ind w:left="1080" w:hanging="360"/>
      </w:pPr>
    </w:lvl>
    <w:lvl w:ilvl="1" w:tplc="BEEC12D2">
      <w:start w:val="1"/>
      <w:numFmt w:val="lowerLetter"/>
      <w:lvlText w:val="%2."/>
      <w:lvlJc w:val="left"/>
      <w:pPr>
        <w:ind w:left="1800" w:hanging="360"/>
      </w:pPr>
    </w:lvl>
    <w:lvl w:ilvl="2" w:tplc="43E05EFE">
      <w:start w:val="1"/>
      <w:numFmt w:val="lowerRoman"/>
      <w:lvlText w:val="%3."/>
      <w:lvlJc w:val="right"/>
      <w:pPr>
        <w:ind w:left="2520" w:hanging="180"/>
      </w:pPr>
    </w:lvl>
    <w:lvl w:ilvl="3" w:tplc="AB8A4A02">
      <w:start w:val="1"/>
      <w:numFmt w:val="decimal"/>
      <w:lvlText w:val="%4."/>
      <w:lvlJc w:val="left"/>
      <w:pPr>
        <w:ind w:left="3240" w:hanging="360"/>
      </w:pPr>
    </w:lvl>
    <w:lvl w:ilvl="4" w:tplc="AF84D56A">
      <w:start w:val="1"/>
      <w:numFmt w:val="lowerLetter"/>
      <w:lvlText w:val="%5."/>
      <w:lvlJc w:val="left"/>
      <w:pPr>
        <w:ind w:left="3960" w:hanging="360"/>
      </w:pPr>
    </w:lvl>
    <w:lvl w:ilvl="5" w:tplc="C152ECB8">
      <w:start w:val="1"/>
      <w:numFmt w:val="lowerRoman"/>
      <w:lvlText w:val="%6."/>
      <w:lvlJc w:val="right"/>
      <w:pPr>
        <w:ind w:left="4680" w:hanging="180"/>
      </w:pPr>
    </w:lvl>
    <w:lvl w:ilvl="6" w:tplc="D40AFBF8">
      <w:start w:val="1"/>
      <w:numFmt w:val="decimal"/>
      <w:lvlText w:val="%7."/>
      <w:lvlJc w:val="left"/>
      <w:pPr>
        <w:ind w:left="5400" w:hanging="360"/>
      </w:pPr>
    </w:lvl>
    <w:lvl w:ilvl="7" w:tplc="DD886F60">
      <w:start w:val="1"/>
      <w:numFmt w:val="lowerLetter"/>
      <w:lvlText w:val="%8."/>
      <w:lvlJc w:val="left"/>
      <w:pPr>
        <w:ind w:left="6120" w:hanging="360"/>
      </w:pPr>
    </w:lvl>
    <w:lvl w:ilvl="8" w:tplc="0FFE0820">
      <w:start w:val="1"/>
      <w:numFmt w:val="lowerRoman"/>
      <w:lvlText w:val="%9."/>
      <w:lvlJc w:val="right"/>
      <w:pPr>
        <w:ind w:left="6840" w:hanging="180"/>
      </w:pPr>
    </w:lvl>
  </w:abstractNum>
  <w:abstractNum w:abstractNumId="6" w15:restartNumberingAfterBreak="0">
    <w:nsid w:val="7E770187"/>
    <w:multiLevelType w:val="hybridMultilevel"/>
    <w:tmpl w:val="D43CC0AA"/>
    <w:lvl w:ilvl="0" w:tplc="08090017">
      <w:start w:val="1"/>
      <w:numFmt w:val="lowerLetter"/>
      <w:lvlText w:val="%1)"/>
      <w:lvlJc w:val="left"/>
      <w:pPr>
        <w:ind w:left="927" w:hanging="360"/>
      </w:pPr>
    </w:lvl>
    <w:lvl w:ilvl="1" w:tplc="08090003">
      <w:start w:val="1"/>
      <w:numFmt w:val="bullet"/>
      <w:lvlText w:val="o"/>
      <w:lvlJc w:val="left"/>
      <w:pPr>
        <w:ind w:left="1647" w:hanging="360"/>
      </w:pPr>
      <w:rPr>
        <w:rFonts w:ascii="Courier New" w:hAnsi="Courier New" w:cs="Courier New"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74816267">
    <w:abstractNumId w:val="0"/>
  </w:num>
  <w:num w:numId="2" w16cid:durableId="1904292003">
    <w:abstractNumId w:val="2"/>
  </w:num>
  <w:num w:numId="3" w16cid:durableId="1418936657">
    <w:abstractNumId w:val="1"/>
  </w:num>
  <w:num w:numId="4" w16cid:durableId="1557014082">
    <w:abstractNumId w:val="6"/>
  </w:num>
  <w:num w:numId="5" w16cid:durableId="796025181">
    <w:abstractNumId w:val="3"/>
  </w:num>
  <w:num w:numId="6" w16cid:durableId="1599750550">
    <w:abstractNumId w:val="5"/>
  </w:num>
  <w:num w:numId="7" w16cid:durableId="47588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5"/>
    <w:rsid w:val="000120E4"/>
    <w:rsid w:val="00016CBB"/>
    <w:rsid w:val="000210D4"/>
    <w:rsid w:val="00063016"/>
    <w:rsid w:val="00066795"/>
    <w:rsid w:val="00076AF6"/>
    <w:rsid w:val="00085CF2"/>
    <w:rsid w:val="000B1705"/>
    <w:rsid w:val="000D75B2"/>
    <w:rsid w:val="000F6AB8"/>
    <w:rsid w:val="001121F5"/>
    <w:rsid w:val="00130599"/>
    <w:rsid w:val="001400DC"/>
    <w:rsid w:val="00140CE1"/>
    <w:rsid w:val="00145802"/>
    <w:rsid w:val="00147C54"/>
    <w:rsid w:val="0017539C"/>
    <w:rsid w:val="00175AC2"/>
    <w:rsid w:val="0017609F"/>
    <w:rsid w:val="001A7D1D"/>
    <w:rsid w:val="001B51DD"/>
    <w:rsid w:val="001C628E"/>
    <w:rsid w:val="001E0849"/>
    <w:rsid w:val="001E0F7B"/>
    <w:rsid w:val="001E0FBE"/>
    <w:rsid w:val="001E5FE7"/>
    <w:rsid w:val="002119FD"/>
    <w:rsid w:val="002130E0"/>
    <w:rsid w:val="00221504"/>
    <w:rsid w:val="00226B94"/>
    <w:rsid w:val="00244F7F"/>
    <w:rsid w:val="0025570E"/>
    <w:rsid w:val="00264425"/>
    <w:rsid w:val="00265875"/>
    <w:rsid w:val="0026635E"/>
    <w:rsid w:val="0027303B"/>
    <w:rsid w:val="0028109B"/>
    <w:rsid w:val="00281348"/>
    <w:rsid w:val="002A2188"/>
    <w:rsid w:val="002B1F58"/>
    <w:rsid w:val="002C1C7A"/>
    <w:rsid w:val="002C54E2"/>
    <w:rsid w:val="002E0AC3"/>
    <w:rsid w:val="002F01DC"/>
    <w:rsid w:val="0030160F"/>
    <w:rsid w:val="00301AEE"/>
    <w:rsid w:val="003145DF"/>
    <w:rsid w:val="00320223"/>
    <w:rsid w:val="00322D0D"/>
    <w:rsid w:val="0032522D"/>
    <w:rsid w:val="00361465"/>
    <w:rsid w:val="003662B6"/>
    <w:rsid w:val="003877F5"/>
    <w:rsid w:val="003942D4"/>
    <w:rsid w:val="0039514F"/>
    <w:rsid w:val="003958A8"/>
    <w:rsid w:val="003B29C2"/>
    <w:rsid w:val="003C20CA"/>
    <w:rsid w:val="003C2533"/>
    <w:rsid w:val="003D097E"/>
    <w:rsid w:val="003D5A7F"/>
    <w:rsid w:val="003D635C"/>
    <w:rsid w:val="004016E2"/>
    <w:rsid w:val="0040435A"/>
    <w:rsid w:val="00416A24"/>
    <w:rsid w:val="0042059E"/>
    <w:rsid w:val="00421911"/>
    <w:rsid w:val="00425388"/>
    <w:rsid w:val="00431D9E"/>
    <w:rsid w:val="00433CE8"/>
    <w:rsid w:val="00434A5C"/>
    <w:rsid w:val="004544D9"/>
    <w:rsid w:val="00472BAD"/>
    <w:rsid w:val="00484009"/>
    <w:rsid w:val="00490E72"/>
    <w:rsid w:val="00491157"/>
    <w:rsid w:val="004917F1"/>
    <w:rsid w:val="004921C8"/>
    <w:rsid w:val="00495B0B"/>
    <w:rsid w:val="004A1B8B"/>
    <w:rsid w:val="004D1851"/>
    <w:rsid w:val="004D3B0A"/>
    <w:rsid w:val="004D599D"/>
    <w:rsid w:val="004E2EA5"/>
    <w:rsid w:val="004E3AEB"/>
    <w:rsid w:val="0050223C"/>
    <w:rsid w:val="005039C5"/>
    <w:rsid w:val="005243FF"/>
    <w:rsid w:val="005311D6"/>
    <w:rsid w:val="00534869"/>
    <w:rsid w:val="00536422"/>
    <w:rsid w:val="00564FBC"/>
    <w:rsid w:val="005800BC"/>
    <w:rsid w:val="00582442"/>
    <w:rsid w:val="005A335D"/>
    <w:rsid w:val="005C13D4"/>
    <w:rsid w:val="005C6F1C"/>
    <w:rsid w:val="005E1EE8"/>
    <w:rsid w:val="005E2BD5"/>
    <w:rsid w:val="005F3269"/>
    <w:rsid w:val="00602E51"/>
    <w:rsid w:val="00615961"/>
    <w:rsid w:val="00623AE3"/>
    <w:rsid w:val="006261F4"/>
    <w:rsid w:val="0064737F"/>
    <w:rsid w:val="006535F1"/>
    <w:rsid w:val="00654039"/>
    <w:rsid w:val="0065557D"/>
    <w:rsid w:val="00660D50"/>
    <w:rsid w:val="00662984"/>
    <w:rsid w:val="006716BB"/>
    <w:rsid w:val="00693FDB"/>
    <w:rsid w:val="0069774E"/>
    <w:rsid w:val="006B0CC9"/>
    <w:rsid w:val="006B1859"/>
    <w:rsid w:val="006B6680"/>
    <w:rsid w:val="006B6DCC"/>
    <w:rsid w:val="00701C70"/>
    <w:rsid w:val="00702DEF"/>
    <w:rsid w:val="00706861"/>
    <w:rsid w:val="00726B8C"/>
    <w:rsid w:val="007353C0"/>
    <w:rsid w:val="0075051B"/>
    <w:rsid w:val="00771E21"/>
    <w:rsid w:val="00775655"/>
    <w:rsid w:val="00784E3B"/>
    <w:rsid w:val="00793188"/>
    <w:rsid w:val="00794D34"/>
    <w:rsid w:val="007B70B6"/>
    <w:rsid w:val="00806E3C"/>
    <w:rsid w:val="00813E5E"/>
    <w:rsid w:val="00816C2C"/>
    <w:rsid w:val="0083581B"/>
    <w:rsid w:val="00860EED"/>
    <w:rsid w:val="00863874"/>
    <w:rsid w:val="00864AFF"/>
    <w:rsid w:val="00865925"/>
    <w:rsid w:val="00891503"/>
    <w:rsid w:val="008927B9"/>
    <w:rsid w:val="008B0B13"/>
    <w:rsid w:val="008B4A6A"/>
    <w:rsid w:val="008C0B50"/>
    <w:rsid w:val="008C7E27"/>
    <w:rsid w:val="008D4D52"/>
    <w:rsid w:val="008D4E19"/>
    <w:rsid w:val="008F3822"/>
    <w:rsid w:val="008F7448"/>
    <w:rsid w:val="0090147A"/>
    <w:rsid w:val="0090389B"/>
    <w:rsid w:val="009173EF"/>
    <w:rsid w:val="00932906"/>
    <w:rsid w:val="00961860"/>
    <w:rsid w:val="00961B0B"/>
    <w:rsid w:val="00962D33"/>
    <w:rsid w:val="009957EF"/>
    <w:rsid w:val="009B38C3"/>
    <w:rsid w:val="009E17BD"/>
    <w:rsid w:val="009E485A"/>
    <w:rsid w:val="00A04CEC"/>
    <w:rsid w:val="00A27F92"/>
    <w:rsid w:val="00A32257"/>
    <w:rsid w:val="00A36D20"/>
    <w:rsid w:val="00A43C03"/>
    <w:rsid w:val="00A46CD0"/>
    <w:rsid w:val="00A50294"/>
    <w:rsid w:val="00A514A4"/>
    <w:rsid w:val="00A52C84"/>
    <w:rsid w:val="00A55622"/>
    <w:rsid w:val="00A70660"/>
    <w:rsid w:val="00A82A85"/>
    <w:rsid w:val="00A83502"/>
    <w:rsid w:val="00A92F54"/>
    <w:rsid w:val="00AB2B5A"/>
    <w:rsid w:val="00AD15B3"/>
    <w:rsid w:val="00AD3606"/>
    <w:rsid w:val="00AD4A3D"/>
    <w:rsid w:val="00AF6E49"/>
    <w:rsid w:val="00AF762F"/>
    <w:rsid w:val="00B04A67"/>
    <w:rsid w:val="00B0583C"/>
    <w:rsid w:val="00B248BC"/>
    <w:rsid w:val="00B358B2"/>
    <w:rsid w:val="00B40A81"/>
    <w:rsid w:val="00B448C2"/>
    <w:rsid w:val="00B44910"/>
    <w:rsid w:val="00B72267"/>
    <w:rsid w:val="00B73DD1"/>
    <w:rsid w:val="00B76EB6"/>
    <w:rsid w:val="00B7737B"/>
    <w:rsid w:val="00B824C8"/>
    <w:rsid w:val="00B849D3"/>
    <w:rsid w:val="00B84B9D"/>
    <w:rsid w:val="00B975F9"/>
    <w:rsid w:val="00BA3A51"/>
    <w:rsid w:val="00BA7740"/>
    <w:rsid w:val="00BC251A"/>
    <w:rsid w:val="00BC731E"/>
    <w:rsid w:val="00BD032B"/>
    <w:rsid w:val="00BD0614"/>
    <w:rsid w:val="00BD094B"/>
    <w:rsid w:val="00BE2640"/>
    <w:rsid w:val="00C01189"/>
    <w:rsid w:val="00C0614E"/>
    <w:rsid w:val="00C306F2"/>
    <w:rsid w:val="00C374DE"/>
    <w:rsid w:val="00C3796A"/>
    <w:rsid w:val="00C47AD4"/>
    <w:rsid w:val="00C52D81"/>
    <w:rsid w:val="00C55198"/>
    <w:rsid w:val="00C725C6"/>
    <w:rsid w:val="00C922C7"/>
    <w:rsid w:val="00CA6393"/>
    <w:rsid w:val="00CB18FF"/>
    <w:rsid w:val="00CB24AA"/>
    <w:rsid w:val="00CD0C08"/>
    <w:rsid w:val="00CD3C91"/>
    <w:rsid w:val="00CD3F07"/>
    <w:rsid w:val="00CE03FB"/>
    <w:rsid w:val="00CE38C1"/>
    <w:rsid w:val="00CE4041"/>
    <w:rsid w:val="00CE433C"/>
    <w:rsid w:val="00CF0161"/>
    <w:rsid w:val="00CF33F3"/>
    <w:rsid w:val="00D06183"/>
    <w:rsid w:val="00D22C42"/>
    <w:rsid w:val="00D45669"/>
    <w:rsid w:val="00D464CC"/>
    <w:rsid w:val="00D50492"/>
    <w:rsid w:val="00D522F6"/>
    <w:rsid w:val="00D65041"/>
    <w:rsid w:val="00DB00D5"/>
    <w:rsid w:val="00DB1936"/>
    <w:rsid w:val="00DB384B"/>
    <w:rsid w:val="00DB512D"/>
    <w:rsid w:val="00DF0189"/>
    <w:rsid w:val="00E06FD5"/>
    <w:rsid w:val="00E10957"/>
    <w:rsid w:val="00E10E80"/>
    <w:rsid w:val="00E124F0"/>
    <w:rsid w:val="00E227F3"/>
    <w:rsid w:val="00E4728B"/>
    <w:rsid w:val="00E545C6"/>
    <w:rsid w:val="00E60F04"/>
    <w:rsid w:val="00E65B24"/>
    <w:rsid w:val="00E854E4"/>
    <w:rsid w:val="00E86DBF"/>
    <w:rsid w:val="00EB0D6F"/>
    <w:rsid w:val="00EB2232"/>
    <w:rsid w:val="00EC5337"/>
    <w:rsid w:val="00EE1013"/>
    <w:rsid w:val="00EE49E8"/>
    <w:rsid w:val="00F10B59"/>
    <w:rsid w:val="00F16BAB"/>
    <w:rsid w:val="00F2150A"/>
    <w:rsid w:val="00F231D8"/>
    <w:rsid w:val="00F44C00"/>
    <w:rsid w:val="00F45D2C"/>
    <w:rsid w:val="00F46C5F"/>
    <w:rsid w:val="00F56F10"/>
    <w:rsid w:val="00F632C0"/>
    <w:rsid w:val="00F74694"/>
    <w:rsid w:val="00F86596"/>
    <w:rsid w:val="00F92207"/>
    <w:rsid w:val="00F93FD4"/>
    <w:rsid w:val="00F94A63"/>
    <w:rsid w:val="00FA1C28"/>
    <w:rsid w:val="00FB1279"/>
    <w:rsid w:val="00FB6B76"/>
    <w:rsid w:val="00FB7596"/>
    <w:rsid w:val="00FE4077"/>
    <w:rsid w:val="00FE500D"/>
    <w:rsid w:val="00FE77D2"/>
    <w:rsid w:val="0CA0BB14"/>
    <w:rsid w:val="169D6095"/>
    <w:rsid w:val="40BA6747"/>
    <w:rsid w:val="44658C1C"/>
    <w:rsid w:val="64CE99DE"/>
    <w:rsid w:val="66CDCC10"/>
    <w:rsid w:val="6777170C"/>
    <w:rsid w:val="724227A9"/>
    <w:rsid w:val="73097DA4"/>
    <w:rsid w:val="73DD5889"/>
    <w:rsid w:val="7E0DEE6B"/>
    <w:rsid w:val="7F381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7D12"/>
  <w15:docId w15:val="{B01801FA-3966-4DC2-9E59-273DDE58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5C6F1C"/>
    <w:rPr>
      <w:color w:val="666666"/>
    </w:rPr>
  </w:style>
  <w:style w:type="paragraph" w:styleId="ListParagraph">
    <w:name w:val="List Paragraph"/>
    <w:basedOn w:val="Normal"/>
    <w:uiPriority w:val="34"/>
    <w:qFormat/>
    <w:rsid w:val="008D4E19"/>
    <w:pPr>
      <w:overflowPunct/>
      <w:autoSpaceDE/>
      <w:autoSpaceDN/>
      <w:adjustRightInd/>
      <w:spacing w:after="120"/>
      <w:ind w:left="720"/>
      <w:contextualSpacing/>
      <w:textAlignment w:val="auto"/>
    </w:pPr>
    <w:rPr>
      <w:szCs w:val="24"/>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customStyle="1" w:styleId="Reasons">
    <w:name w:val="Reasons"/>
    <w:basedOn w:val="Normal"/>
    <w:qFormat/>
    <w:rsid w:val="003D097E"/>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0-CL-C-0074/en" TargetMode="External"/><Relationship Id="rId18" Type="http://schemas.openxmlformats.org/officeDocument/2006/relationships/hyperlink" Target="https://www.itu.int/md/S23-CL-C-0036/en" TargetMode="External"/><Relationship Id="rId26" Type="http://schemas.openxmlformats.org/officeDocument/2006/relationships/hyperlink" Target="https://www.itu.int/md/S24-CL-C-0052/en" TargetMode="External"/><Relationship Id="rId21" Type="http://schemas.openxmlformats.org/officeDocument/2006/relationships/hyperlink" Target="https://www.itu.int/md/S23-CL-INF-0011/e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S20-CL-C-0061/en" TargetMode="External"/><Relationship Id="rId17" Type="http://schemas.openxmlformats.org/officeDocument/2006/relationships/hyperlink" Target="https://www.itu.int/md/S22-CL-C-0057/en" TargetMode="External"/><Relationship Id="rId25" Type="http://schemas.openxmlformats.org/officeDocument/2006/relationships/hyperlink" Target="https://www.itu.int/md/S24-CL-C-0031/en"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2-CL-C-0040/en" TargetMode="External"/><Relationship Id="rId20" Type="http://schemas.openxmlformats.org/officeDocument/2006/relationships/hyperlink" Target="https://www.itu.int/md/S23-CL-C-0063/en" TargetMode="External"/><Relationship Id="rId29" Type="http://schemas.openxmlformats.org/officeDocument/2006/relationships/hyperlink" Target="https://www.itu.int/md/S24-CL-C-005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md/S24-CL-C-0053/en" TargetMode="External"/><Relationship Id="rId32" Type="http://schemas.openxmlformats.org/officeDocument/2006/relationships/hyperlink" Target="https://www.itu.int/md/S23-CL-C-0050/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2-CL-INF-0013/en" TargetMode="External"/><Relationship Id="rId23" Type="http://schemas.openxmlformats.org/officeDocument/2006/relationships/hyperlink" Target="https://www.itu.int/md/S24-CL-C-0019/en" TargetMode="External"/><Relationship Id="rId28" Type="http://schemas.openxmlformats.org/officeDocument/2006/relationships/hyperlink" Target="https://council.itu.int/2024/wp-content/uploads/sites/4/2024/06/C24-information-session-on-transformation.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3-CL-C-0050/en" TargetMode="External"/><Relationship Id="rId31" Type="http://schemas.openxmlformats.org/officeDocument/2006/relationships/hyperlink" Target="https://app.powerbi.com/view?r=eyJrIjoiMGNjYTlkZmEtZGNkOC00ZjA5LTgzOTgtOGM2ZjE1OWIzYTU2IiwidCI6IjIzZTQ2NGQ3LTA0ZTYtNGI4Ny05MTNjLTI0YmQ4OTIxOWZkMyIsImMiOjl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1-CL-INF-0015/en" TargetMode="External"/><Relationship Id="rId22" Type="http://schemas.openxmlformats.org/officeDocument/2006/relationships/hyperlink" Target="https://www.itu.int/md/S23-CL-INF-0013/en" TargetMode="External"/><Relationship Id="rId27" Type="http://schemas.openxmlformats.org/officeDocument/2006/relationships/hyperlink" Target="https://view.officeapps.live.com/op/view.aspx?src=https%3A%2F%2Fwww.itu.int%2Fdms_pub%2Fitu-s%2Fmd%2F24%2Fcl%2Fc%2FS24-CL-C-0073!!MSW-E.docx&amp;wdOrigin=BROWSELINK" TargetMode="External"/><Relationship Id="rId30" Type="http://schemas.openxmlformats.org/officeDocument/2006/relationships/image" Target="media/image1.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A9CD-B80D-4CA4-A1DC-60F9050CF16E}">
  <ds:schemaRefs>
    <ds:schemaRef ds:uri="http://schemas.microsoft.com/office/infopath/2007/PartnerControls"/>
    <ds:schemaRef ds:uri="http://purl.org/dc/terms/"/>
    <ds:schemaRef ds:uri="http://purl.org/dc/elements/1.1/"/>
    <ds:schemaRef ds:uri="a1cf676c-2816-4389-ad5d-0f2e7c7e67c4"/>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D33AAA-0FB6-4C12-845D-5C2DB7AD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462EE-8302-435A-A245-16FF5E795F3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1835</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Update on the transformation process</vt:lpstr>
    </vt:vector>
  </TitlesOfParts>
  <Manager/>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transformation process</dc:title>
  <dc:subject>ITU Council Working Group on financial and human resources</dc:subject>
  <cp:keywords>CWG-FHR</cp:keywords>
  <dc:description/>
  <cp:revision>3</cp:revision>
  <dcterms:created xsi:type="dcterms:W3CDTF">2025-01-20T17:08:00Z</dcterms:created>
  <dcterms:modified xsi:type="dcterms:W3CDTF">2025-01-20T17:12:00Z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0x01010096B2CC4DF5F10149B2E37F08EDC3AC3A</vt:lpwstr>
  </property>
</Properties>
</file>