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301AEE" w14:paraId="1060EB57" w14:textId="77777777" w:rsidTr="4FC4B61C">
        <w:trPr>
          <w:cantSplit/>
          <w:trHeight w:val="23"/>
        </w:trPr>
        <w:tc>
          <w:tcPr>
            <w:tcW w:w="3969" w:type="dxa"/>
            <w:vMerge w:val="restart"/>
            <w:tcMar>
              <w:left w:w="0" w:type="dxa"/>
            </w:tcMar>
          </w:tcPr>
          <w:p w14:paraId="6A658C38" w14:textId="77777777" w:rsidR="00AD3606" w:rsidRPr="00147C54"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54C122CD" w14:textId="79290A46" w:rsidR="00AD3606" w:rsidRPr="00301AEE" w:rsidRDefault="00AD3606" w:rsidP="00472BAD">
            <w:pPr>
              <w:tabs>
                <w:tab w:val="left" w:pos="851"/>
              </w:tabs>
              <w:spacing w:before="0" w:line="240" w:lineRule="atLeast"/>
              <w:jc w:val="right"/>
              <w:rPr>
                <w:b/>
                <w:lang w:val="fr-FR"/>
              </w:rPr>
            </w:pPr>
            <w:r w:rsidRPr="00301AEE">
              <w:rPr>
                <w:b/>
                <w:lang w:val="fr-FR"/>
              </w:rPr>
              <w:t>Document C</w:t>
            </w:r>
            <w:r w:rsidR="00A52C84" w:rsidRPr="00301AEE">
              <w:rPr>
                <w:b/>
                <w:lang w:val="fr-FR"/>
              </w:rPr>
              <w:t>WG-</w:t>
            </w:r>
            <w:r w:rsidR="000F6AB8">
              <w:rPr>
                <w:b/>
                <w:lang w:val="fr-FR"/>
              </w:rPr>
              <w:t>FHR</w:t>
            </w:r>
            <w:r w:rsidR="00A52C84" w:rsidRPr="00301AEE">
              <w:rPr>
                <w:b/>
                <w:lang w:val="fr-FR"/>
              </w:rPr>
              <w:t>-</w:t>
            </w:r>
            <w:r w:rsidR="0025570E" w:rsidRPr="00301AEE">
              <w:rPr>
                <w:b/>
                <w:lang w:val="fr-FR"/>
              </w:rPr>
              <w:t>2</w:t>
            </w:r>
            <w:r w:rsidR="000F6AB8">
              <w:rPr>
                <w:b/>
                <w:lang w:val="fr-FR"/>
              </w:rPr>
              <w:t>0</w:t>
            </w:r>
            <w:r w:rsidR="00301AEE" w:rsidRPr="00301AEE">
              <w:rPr>
                <w:b/>
                <w:lang w:val="fr-FR"/>
              </w:rPr>
              <w:t>/</w:t>
            </w:r>
            <w:r w:rsidR="00B978B6">
              <w:rPr>
                <w:b/>
                <w:lang w:val="fr-FR"/>
              </w:rPr>
              <w:t>10</w:t>
            </w:r>
          </w:p>
        </w:tc>
      </w:tr>
      <w:tr w:rsidR="00AD3606" w:rsidRPr="00147C54" w14:paraId="3BC04687" w14:textId="77777777" w:rsidTr="4FC4B61C">
        <w:trPr>
          <w:cantSplit/>
        </w:trPr>
        <w:tc>
          <w:tcPr>
            <w:tcW w:w="3969" w:type="dxa"/>
            <w:vMerge/>
          </w:tcPr>
          <w:p w14:paraId="71312C6A" w14:textId="77777777" w:rsidR="00AD3606" w:rsidRPr="00301AEE" w:rsidRDefault="00AD3606" w:rsidP="00AD3606">
            <w:pPr>
              <w:tabs>
                <w:tab w:val="left" w:pos="851"/>
              </w:tabs>
              <w:spacing w:line="240" w:lineRule="atLeast"/>
              <w:rPr>
                <w:b/>
                <w:lang w:val="fr-FR"/>
              </w:rPr>
            </w:pPr>
            <w:bookmarkStart w:id="6" w:name="ddate" w:colFirst="1" w:colLast="1"/>
            <w:bookmarkEnd w:id="0"/>
            <w:bookmarkEnd w:id="1"/>
          </w:p>
        </w:tc>
        <w:tc>
          <w:tcPr>
            <w:tcW w:w="5245" w:type="dxa"/>
          </w:tcPr>
          <w:p w14:paraId="0681C71D" w14:textId="6F12FA87" w:rsidR="00AD3606" w:rsidRPr="00147C54" w:rsidRDefault="00B978B6" w:rsidP="00AD3606">
            <w:pPr>
              <w:tabs>
                <w:tab w:val="left" w:pos="851"/>
              </w:tabs>
              <w:spacing w:before="0"/>
              <w:jc w:val="right"/>
              <w:rPr>
                <w:b/>
              </w:rPr>
            </w:pPr>
            <w:r>
              <w:rPr>
                <w:b/>
              </w:rPr>
              <w:t>24</w:t>
            </w:r>
            <w:r w:rsidR="00752AD4">
              <w:rPr>
                <w:b/>
              </w:rPr>
              <w:t xml:space="preserve"> January 2025</w:t>
            </w:r>
          </w:p>
        </w:tc>
      </w:tr>
      <w:tr w:rsidR="00AD3606" w:rsidRPr="00147C54" w14:paraId="4ACD5A0D" w14:textId="77777777" w:rsidTr="4FC4B61C">
        <w:trPr>
          <w:cantSplit/>
          <w:trHeight w:val="23"/>
        </w:trPr>
        <w:tc>
          <w:tcPr>
            <w:tcW w:w="3969" w:type="dxa"/>
            <w:vMerge/>
          </w:tcPr>
          <w:p w14:paraId="5A5E7C36" w14:textId="77777777" w:rsidR="00AD3606" w:rsidRPr="00147C54" w:rsidRDefault="00AD3606" w:rsidP="00AD3606">
            <w:pPr>
              <w:tabs>
                <w:tab w:val="left" w:pos="851"/>
              </w:tabs>
              <w:spacing w:line="240" w:lineRule="atLeast"/>
              <w:rPr>
                <w:b/>
              </w:rPr>
            </w:pPr>
            <w:bookmarkStart w:id="7" w:name="dorlang" w:colFirst="1" w:colLast="1"/>
            <w:bookmarkEnd w:id="6"/>
          </w:p>
        </w:tc>
        <w:tc>
          <w:tcPr>
            <w:tcW w:w="5245" w:type="dxa"/>
          </w:tcPr>
          <w:p w14:paraId="75D01548" w14:textId="77777777" w:rsidR="00AD3606" w:rsidRPr="00147C54" w:rsidRDefault="00891503" w:rsidP="00AD3606">
            <w:pPr>
              <w:tabs>
                <w:tab w:val="left" w:pos="851"/>
              </w:tabs>
              <w:spacing w:before="0" w:line="240" w:lineRule="atLeast"/>
              <w:jc w:val="right"/>
              <w:rPr>
                <w:b/>
              </w:rPr>
            </w:pPr>
            <w:r w:rsidRPr="00147C54">
              <w:rPr>
                <w:b/>
              </w:rPr>
              <w:t>English only</w:t>
            </w:r>
          </w:p>
        </w:tc>
      </w:tr>
      <w:tr w:rsidR="00472BAD" w:rsidRPr="00147C54" w14:paraId="1B07D590" w14:textId="77777777" w:rsidTr="4FC4B61C">
        <w:trPr>
          <w:cantSplit/>
          <w:trHeight w:val="23"/>
        </w:trPr>
        <w:tc>
          <w:tcPr>
            <w:tcW w:w="3969" w:type="dxa"/>
          </w:tcPr>
          <w:p w14:paraId="430477F8" w14:textId="77777777" w:rsidR="00472BAD" w:rsidRPr="00147C54" w:rsidRDefault="00472BAD" w:rsidP="00AD3606">
            <w:pPr>
              <w:tabs>
                <w:tab w:val="left" w:pos="851"/>
              </w:tabs>
              <w:spacing w:line="240" w:lineRule="atLeast"/>
              <w:rPr>
                <w:b/>
              </w:rPr>
            </w:pPr>
          </w:p>
        </w:tc>
        <w:tc>
          <w:tcPr>
            <w:tcW w:w="5245" w:type="dxa"/>
          </w:tcPr>
          <w:p w14:paraId="1D7B375E" w14:textId="77777777" w:rsidR="00472BAD" w:rsidRPr="00147C54" w:rsidRDefault="00472BAD" w:rsidP="00AD3606">
            <w:pPr>
              <w:tabs>
                <w:tab w:val="left" w:pos="851"/>
              </w:tabs>
              <w:spacing w:before="0" w:line="240" w:lineRule="atLeast"/>
              <w:jc w:val="right"/>
              <w:rPr>
                <w:b/>
              </w:rPr>
            </w:pPr>
          </w:p>
        </w:tc>
      </w:tr>
      <w:tr w:rsidR="00AD3606" w:rsidRPr="00752AD4" w14:paraId="78A189C9" w14:textId="77777777" w:rsidTr="4FC4B61C">
        <w:trPr>
          <w:cantSplit/>
        </w:trPr>
        <w:tc>
          <w:tcPr>
            <w:tcW w:w="9214" w:type="dxa"/>
            <w:gridSpan w:val="2"/>
            <w:tcMar>
              <w:left w:w="0" w:type="dxa"/>
            </w:tcMar>
          </w:tcPr>
          <w:p w14:paraId="1698A292" w14:textId="729D3FE4" w:rsidR="00AD3606" w:rsidRPr="00752AD4" w:rsidRDefault="00B978B6" w:rsidP="00B978B6">
            <w:pPr>
              <w:pStyle w:val="Source"/>
              <w:framePr w:hSpace="0" w:wrap="auto" w:vAnchor="margin" w:hAnchor="text" w:xAlign="left" w:yAlign="inline"/>
            </w:pPr>
            <w:bookmarkStart w:id="8" w:name="dsource" w:colFirst="0" w:colLast="0"/>
            <w:bookmarkEnd w:id="7"/>
            <w:r w:rsidRPr="00B978B6">
              <w:t>Report by the Secretary-General</w:t>
            </w:r>
          </w:p>
        </w:tc>
      </w:tr>
      <w:tr w:rsidR="00AD3606" w:rsidRPr="00147C54" w14:paraId="0FC656B8" w14:textId="77777777" w:rsidTr="4FC4B61C">
        <w:trPr>
          <w:cantSplit/>
        </w:trPr>
        <w:tc>
          <w:tcPr>
            <w:tcW w:w="9214" w:type="dxa"/>
            <w:gridSpan w:val="2"/>
            <w:tcMar>
              <w:left w:w="0" w:type="dxa"/>
            </w:tcMar>
          </w:tcPr>
          <w:p w14:paraId="682FE08C" w14:textId="27E7436F" w:rsidR="00AD3606" w:rsidRPr="00752AD4" w:rsidRDefault="00B978B6" w:rsidP="00B978B6">
            <w:pPr>
              <w:pStyle w:val="Subtitle"/>
              <w:framePr w:hSpace="0" w:wrap="auto" w:xAlign="left" w:yAlign="inline"/>
            </w:pPr>
            <w:bookmarkStart w:id="9" w:name="dtitle1" w:colFirst="0" w:colLast="0"/>
            <w:bookmarkEnd w:id="8"/>
            <w:r>
              <w:t>FULL COST – PROCESSING OF SPACE NOTICES</w:t>
            </w:r>
          </w:p>
        </w:tc>
      </w:tr>
      <w:tr w:rsidR="00AD3606" w:rsidRPr="00147C54" w14:paraId="4A237936" w14:textId="77777777" w:rsidTr="4FC4B61C">
        <w:trPr>
          <w:cantSplit/>
        </w:trPr>
        <w:tc>
          <w:tcPr>
            <w:tcW w:w="9214" w:type="dxa"/>
            <w:gridSpan w:val="2"/>
            <w:tcBorders>
              <w:top w:val="single" w:sz="4" w:space="0" w:color="auto"/>
              <w:bottom w:val="single" w:sz="4" w:space="0" w:color="auto"/>
            </w:tcBorders>
            <w:tcMar>
              <w:left w:w="0" w:type="dxa"/>
            </w:tcMar>
          </w:tcPr>
          <w:p w14:paraId="46F98DFC" w14:textId="77777777" w:rsidR="00AD3606" w:rsidRPr="00147C54" w:rsidRDefault="00F16BAB" w:rsidP="00F16BAB">
            <w:pPr>
              <w:spacing w:before="160"/>
              <w:rPr>
                <w:b/>
                <w:bCs/>
                <w:sz w:val="26"/>
                <w:szCs w:val="26"/>
              </w:rPr>
            </w:pPr>
            <w:r w:rsidRPr="00147C54">
              <w:rPr>
                <w:b/>
                <w:bCs/>
                <w:sz w:val="26"/>
                <w:szCs w:val="26"/>
              </w:rPr>
              <w:t>Purpose</w:t>
            </w:r>
          </w:p>
          <w:p w14:paraId="274D3513" w14:textId="66D5977A" w:rsidR="00C3725C" w:rsidRPr="00813E5E" w:rsidRDefault="00C3725C" w:rsidP="00C3725C">
            <w:pPr>
              <w:jc w:val="both"/>
            </w:pPr>
            <w:r w:rsidRPr="008B3B12">
              <w:t>The purpose of this document is to provide the breakdown of the 2024 budget full cost of the processing of space notices</w:t>
            </w:r>
            <w:r>
              <w:t xml:space="preserve"> by category of filling</w:t>
            </w:r>
            <w:r w:rsidRPr="008B3B12">
              <w:t xml:space="preserve">. This full cost is calculated based on the cost allocation methodology described in Council Decision 535. Resolution 91 (Rev. Guadalajara, 2010) states </w:t>
            </w:r>
            <w:r w:rsidRPr="008B3B12">
              <w:rPr>
                <w:i/>
                <w:iCs/>
              </w:rPr>
              <w:t>inter alia</w:t>
            </w:r>
            <w:r w:rsidRPr="008B3B12">
              <w:t xml:space="preserve"> that </w:t>
            </w:r>
            <w:r>
              <w:t xml:space="preserve">the </w:t>
            </w:r>
            <w:r w:rsidRPr="008B3B12">
              <w:t>Council should “to continue developing appropriate charges based on full attribution of the costs of providing the service”. It is in this framework and to support the work undertaken by the Council Expert Group on Decision 482 that this document is prepared</w:t>
            </w:r>
            <w:r>
              <w:t>.</w:t>
            </w:r>
          </w:p>
          <w:p w14:paraId="2B175727" w14:textId="77777777" w:rsidR="00AD3606" w:rsidRPr="00147C54" w:rsidRDefault="00AD3606" w:rsidP="00F16BAB">
            <w:pPr>
              <w:spacing w:before="160"/>
              <w:rPr>
                <w:b/>
                <w:bCs/>
                <w:sz w:val="26"/>
                <w:szCs w:val="26"/>
              </w:rPr>
            </w:pPr>
            <w:r w:rsidRPr="00147C54">
              <w:rPr>
                <w:b/>
                <w:bCs/>
                <w:sz w:val="26"/>
                <w:szCs w:val="26"/>
              </w:rPr>
              <w:t>Action required</w:t>
            </w:r>
          </w:p>
          <w:p w14:paraId="3FA40105" w14:textId="220C6FD5" w:rsidR="00C3725C" w:rsidRDefault="00C3725C" w:rsidP="00C3725C">
            <w:pPr>
              <w:spacing w:before="160"/>
            </w:pPr>
            <w:r>
              <w:t xml:space="preserve">The </w:t>
            </w:r>
            <w:r w:rsidR="00B978B6" w:rsidRPr="00B978B6">
              <w:t xml:space="preserve">Council Working Group on financial and human resources </w:t>
            </w:r>
            <w:r>
              <w:t xml:space="preserve">is invited to </w:t>
            </w:r>
            <w:r w:rsidR="61B910A8" w:rsidRPr="4FC4B61C">
              <w:rPr>
                <w:b/>
                <w:bCs/>
              </w:rPr>
              <w:t xml:space="preserve">consider </w:t>
            </w:r>
            <w:r>
              <w:t xml:space="preserve">this document </w:t>
            </w:r>
            <w:proofErr w:type="gramStart"/>
            <w:r w:rsidR="001C3C91">
              <w:t>in light of</w:t>
            </w:r>
            <w:proofErr w:type="gramEnd"/>
            <w:r w:rsidR="001C3C91">
              <w:t xml:space="preserve"> the report of Expert Group</w:t>
            </w:r>
            <w:r w:rsidR="008F39A8" w:rsidRPr="008B3B12">
              <w:t xml:space="preserve"> on Decision 482 </w:t>
            </w:r>
            <w:r w:rsidR="001C3C91">
              <w:t xml:space="preserve">that will be communicated </w:t>
            </w:r>
            <w:r w:rsidR="008F39A8">
              <w:t xml:space="preserve">in February 2025 </w:t>
            </w:r>
            <w:r>
              <w:t xml:space="preserve">and </w:t>
            </w:r>
            <w:r w:rsidRPr="4FC4B61C">
              <w:rPr>
                <w:b/>
                <w:bCs/>
              </w:rPr>
              <w:t>provide guidance</w:t>
            </w:r>
            <w:r>
              <w:t xml:space="preserve"> to the Expert Group </w:t>
            </w:r>
            <w:r w:rsidR="61B910A8">
              <w:t xml:space="preserve">and </w:t>
            </w:r>
            <w:r w:rsidR="00B978B6">
              <w:t xml:space="preserve">the </w:t>
            </w:r>
            <w:r w:rsidR="61B910A8">
              <w:t>Council</w:t>
            </w:r>
            <w:r>
              <w:t>.</w:t>
            </w:r>
          </w:p>
          <w:p w14:paraId="71C2682D" w14:textId="0AA52DEF" w:rsidR="00AD3606" w:rsidRPr="00CD3C91" w:rsidRDefault="00AD3606" w:rsidP="00F16BAB">
            <w:pPr>
              <w:spacing w:after="160"/>
              <w:rPr>
                <w:i/>
                <w:iCs/>
                <w:sz w:val="22"/>
                <w:szCs w:val="22"/>
              </w:rPr>
            </w:pPr>
          </w:p>
        </w:tc>
      </w:tr>
    </w:tbl>
    <w:p w14:paraId="4DEDF7FD" w14:textId="77777777" w:rsidR="00E227F3" w:rsidRPr="00147C54"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0" w:name="_Hlk133421428"/>
      <w:bookmarkEnd w:id="2"/>
      <w:bookmarkEnd w:id="9"/>
    </w:p>
    <w:bookmarkEnd w:id="3"/>
    <w:bookmarkEnd w:id="4"/>
    <w:p w14:paraId="7724A347" w14:textId="77777777" w:rsidR="00C3725C" w:rsidRDefault="0090147A" w:rsidP="00C3725C">
      <w:pPr>
        <w:jc w:val="both"/>
        <w:rPr>
          <w:rFonts w:eastAsia="SimSun"/>
          <w:lang w:val="en-US" w:eastAsia="zh-CN"/>
        </w:rPr>
      </w:pPr>
      <w:r w:rsidRPr="00147C54">
        <w:br w:type="page"/>
      </w:r>
      <w:r w:rsidR="00C3725C">
        <w:rPr>
          <w:rFonts w:eastAsia="SimSun"/>
          <w:lang w:val="en-US" w:eastAsia="zh-CN"/>
        </w:rPr>
        <w:lastRenderedPageBreak/>
        <w:t>1</w:t>
      </w:r>
      <w:r w:rsidR="00C3725C" w:rsidRPr="00A0359C">
        <w:rPr>
          <w:rFonts w:eastAsia="SimSun"/>
          <w:lang w:val="en-US" w:eastAsia="zh-CN"/>
        </w:rPr>
        <w:tab/>
      </w:r>
      <w:r w:rsidR="00C3725C" w:rsidRPr="00E627C5">
        <w:rPr>
          <w:rFonts w:asciiTheme="minorHAnsi" w:hAnsiTheme="minorHAnsi" w:cstheme="minorHAnsi"/>
          <w:color w:val="000000" w:themeColor="text1"/>
          <w:lang w:val="en-US"/>
        </w:rPr>
        <w:t>Council</w:t>
      </w:r>
      <w:r w:rsidR="00C3725C">
        <w:rPr>
          <w:rFonts w:asciiTheme="minorHAnsi" w:hAnsiTheme="minorHAnsi" w:cstheme="minorHAnsi"/>
          <w:color w:val="000000" w:themeColor="text1"/>
          <w:lang w:val="en-US"/>
        </w:rPr>
        <w:t> </w:t>
      </w:r>
      <w:r w:rsidR="00C3725C">
        <w:rPr>
          <w:rFonts w:eastAsia="SimSun"/>
          <w:lang w:val="en-US" w:eastAsia="zh-CN"/>
        </w:rPr>
        <w:t xml:space="preserve">Decision 535 </w:t>
      </w:r>
      <w:r w:rsidR="00C3725C" w:rsidRPr="00265E42">
        <w:rPr>
          <w:rFonts w:eastAsia="SimSun"/>
          <w:lang w:val="en-US" w:eastAsia="zh-CN"/>
        </w:rPr>
        <w:t>(C05, last amended C14)</w:t>
      </w:r>
      <w:r w:rsidR="00C3725C">
        <w:rPr>
          <w:rFonts w:eastAsia="SimSun"/>
          <w:lang w:val="en-US" w:eastAsia="zh-CN"/>
        </w:rPr>
        <w:t xml:space="preserve"> provides the cost allocation methodology for full cost allocation. The methodology stands as follows:</w:t>
      </w:r>
    </w:p>
    <w:p w14:paraId="5398D201" w14:textId="77777777" w:rsidR="00C3725C" w:rsidRPr="00E627C5" w:rsidRDefault="00C3725C" w:rsidP="00C3725C">
      <w:pPr>
        <w:jc w:val="both"/>
        <w:rPr>
          <w:rFonts w:asciiTheme="minorHAnsi" w:hAnsiTheme="minorHAnsi" w:cstheme="minorHAnsi"/>
          <w:color w:val="000000" w:themeColor="text1"/>
          <w:lang w:val="en-US"/>
        </w:rPr>
      </w:pPr>
      <w:r>
        <w:rPr>
          <w:rFonts w:asciiTheme="minorHAnsi" w:hAnsiTheme="minorHAnsi" w:cstheme="minorHAnsi"/>
          <w:color w:val="000000" w:themeColor="text1"/>
        </w:rPr>
        <w:t>1</w:t>
      </w:r>
      <w:r w:rsidRPr="00E627C5">
        <w:rPr>
          <w:rFonts w:asciiTheme="minorHAnsi" w:hAnsiTheme="minorHAnsi" w:cstheme="minorHAnsi"/>
          <w:color w:val="000000" w:themeColor="text1"/>
          <w:lang w:val="en-US"/>
        </w:rPr>
        <w:t>.1</w:t>
      </w:r>
      <w:r w:rsidRPr="00E627C5">
        <w:rPr>
          <w:rFonts w:asciiTheme="minorHAnsi" w:hAnsiTheme="minorHAnsi" w:cstheme="minorHAnsi"/>
          <w:color w:val="000000" w:themeColor="text1"/>
          <w:lang w:val="en-US"/>
        </w:rPr>
        <w:tab/>
        <w:t xml:space="preserve">The full cost allocation to each Results-Based Budget component, i.e., the </w:t>
      </w:r>
      <w:r>
        <w:rPr>
          <w:rFonts w:asciiTheme="minorHAnsi" w:hAnsiTheme="minorHAnsi" w:cstheme="minorHAnsi"/>
          <w:color w:val="000000" w:themeColor="text1"/>
          <w:lang w:val="en-US"/>
        </w:rPr>
        <w:t>thematic priorities</w:t>
      </w:r>
      <w:r w:rsidRPr="00E627C5">
        <w:rPr>
          <w:rFonts w:asciiTheme="minorHAnsi" w:hAnsiTheme="minorHAnsi" w:cstheme="minorHAnsi"/>
          <w:color w:val="000000" w:themeColor="text1"/>
          <w:lang w:val="en-US"/>
        </w:rPr>
        <w:t xml:space="preserve"> and </w:t>
      </w:r>
      <w:r>
        <w:rPr>
          <w:rFonts w:asciiTheme="minorHAnsi" w:hAnsiTheme="minorHAnsi" w:cstheme="minorHAnsi"/>
          <w:color w:val="000000" w:themeColor="text1"/>
          <w:lang w:val="en-US"/>
        </w:rPr>
        <w:t>o</w:t>
      </w:r>
      <w:r w:rsidRPr="00E627C5">
        <w:rPr>
          <w:rFonts w:asciiTheme="minorHAnsi" w:hAnsiTheme="minorHAnsi" w:cstheme="minorHAnsi"/>
          <w:color w:val="000000" w:themeColor="text1"/>
          <w:lang w:val="en-US"/>
        </w:rPr>
        <w:t>utputs</w:t>
      </w:r>
      <w:r>
        <w:rPr>
          <w:rFonts w:asciiTheme="minorHAnsi" w:hAnsiTheme="minorHAnsi" w:cstheme="minorHAnsi"/>
          <w:color w:val="000000" w:themeColor="text1"/>
          <w:lang w:val="en-US"/>
        </w:rPr>
        <w:t>,</w:t>
      </w:r>
      <w:r w:rsidRPr="00E627C5">
        <w:rPr>
          <w:rFonts w:asciiTheme="minorHAnsi" w:hAnsiTheme="minorHAnsi" w:cstheme="minorHAnsi"/>
          <w:color w:val="000000" w:themeColor="text1"/>
          <w:lang w:val="en-US"/>
        </w:rPr>
        <w:t xml:space="preserve"> is based on the cost allocation methodology described in Council</w:t>
      </w:r>
      <w:r>
        <w:rPr>
          <w:rFonts w:asciiTheme="minorHAnsi" w:hAnsiTheme="minorHAnsi" w:cstheme="minorHAnsi"/>
          <w:color w:val="000000" w:themeColor="text1"/>
          <w:lang w:val="en-US"/>
        </w:rPr>
        <w:t> </w:t>
      </w:r>
      <w:r w:rsidRPr="00E627C5">
        <w:rPr>
          <w:rFonts w:asciiTheme="minorHAnsi" w:hAnsiTheme="minorHAnsi" w:cstheme="minorHAnsi"/>
          <w:color w:val="000000" w:themeColor="text1"/>
          <w:lang w:val="en-US"/>
        </w:rPr>
        <w:t>Decision 535.</w:t>
      </w:r>
    </w:p>
    <w:p w14:paraId="28BD49E8" w14:textId="77777777" w:rsidR="00C3725C" w:rsidRPr="00E627C5" w:rsidRDefault="00C3725C" w:rsidP="00C3725C">
      <w:pPr>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1</w:t>
      </w:r>
      <w:r w:rsidRPr="00E627C5">
        <w:rPr>
          <w:rFonts w:asciiTheme="minorHAnsi" w:hAnsiTheme="minorHAnsi" w:cstheme="minorHAnsi"/>
          <w:color w:val="000000" w:themeColor="text1"/>
          <w:lang w:val="en-US"/>
        </w:rPr>
        <w:t>.2</w:t>
      </w:r>
      <w:r w:rsidRPr="00E627C5">
        <w:rPr>
          <w:rFonts w:asciiTheme="minorHAnsi" w:hAnsiTheme="minorHAnsi" w:cstheme="minorHAnsi"/>
          <w:color w:val="000000" w:themeColor="text1"/>
          <w:lang w:val="en-US"/>
        </w:rPr>
        <w:tab/>
        <w:t>The full cost structure stands as follows:</w:t>
      </w:r>
    </w:p>
    <w:p w14:paraId="00C8FF15" w14:textId="77777777" w:rsidR="00C3725C" w:rsidRPr="00DD45CB" w:rsidRDefault="00C3725C" w:rsidP="00C3725C">
      <w:pPr>
        <w:pStyle w:val="Figure"/>
      </w:pPr>
      <w:r w:rsidRPr="00DD45CB">
        <w:rPr>
          <w:noProof/>
        </w:rPr>
        <w:drawing>
          <wp:inline distT="0" distB="0" distL="0" distR="0" wp14:anchorId="6DC8141F" wp14:editId="2FB8CABF">
            <wp:extent cx="3556000" cy="2743200"/>
            <wp:effectExtent l="0" t="0" r="0" b="0"/>
            <wp:docPr id="1927038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38065" name=""/>
                    <pic:cNvPicPr/>
                  </pic:nvPicPr>
                  <pic:blipFill>
                    <a:blip r:embed="rId11"/>
                    <a:stretch>
                      <a:fillRect/>
                    </a:stretch>
                  </pic:blipFill>
                  <pic:spPr>
                    <a:xfrm>
                      <a:off x="0" y="0"/>
                      <a:ext cx="3556000" cy="2743200"/>
                    </a:xfrm>
                    <a:prstGeom prst="rect">
                      <a:avLst/>
                    </a:prstGeom>
                  </pic:spPr>
                </pic:pic>
              </a:graphicData>
            </a:graphic>
          </wp:inline>
        </w:drawing>
      </w:r>
    </w:p>
    <w:p w14:paraId="39EE8C24" w14:textId="77777777" w:rsidR="00C3725C" w:rsidRPr="00505F53" w:rsidRDefault="00C3725C" w:rsidP="00C3725C">
      <w:pPr>
        <w:snapToGrid w:val="0"/>
        <w:spacing w:before="240" w:after="120"/>
        <w:jc w:val="both"/>
        <w:rPr>
          <w:rFonts w:asciiTheme="minorHAnsi" w:hAnsiTheme="minorHAnsi" w:cstheme="minorHAnsi"/>
        </w:rPr>
      </w:pPr>
      <w:r>
        <w:rPr>
          <w:rFonts w:asciiTheme="minorHAnsi" w:hAnsiTheme="minorHAnsi" w:cstheme="minorHAnsi"/>
        </w:rPr>
        <w:t>1.3</w:t>
      </w:r>
      <w:r w:rsidRPr="00505F53">
        <w:rPr>
          <w:rFonts w:asciiTheme="minorHAnsi" w:hAnsiTheme="minorHAnsi" w:cstheme="minorHAnsi"/>
        </w:rPr>
        <w:tab/>
        <w:t>The planned expenses (financial budget) are represented by the categories of expenses as follows:</w:t>
      </w:r>
    </w:p>
    <w:p w14:paraId="0F830DCF" w14:textId="77777777" w:rsidR="00C3725C" w:rsidRPr="00505F53" w:rsidRDefault="00C3725C" w:rsidP="00C3725C">
      <w:pPr>
        <w:pStyle w:val="enumlev1"/>
        <w:jc w:val="both"/>
      </w:pPr>
      <w:r>
        <w:tab/>
      </w:r>
      <w:r w:rsidRPr="00505F53">
        <w:t>Staff costs</w:t>
      </w:r>
      <w:r>
        <w:t>:</w:t>
      </w:r>
    </w:p>
    <w:p w14:paraId="31B57D24" w14:textId="77777777" w:rsidR="00C3725C" w:rsidRPr="00E775B7" w:rsidRDefault="00C3725C" w:rsidP="00C3725C">
      <w:pPr>
        <w:pStyle w:val="enumlev2"/>
        <w:jc w:val="both"/>
      </w:pPr>
      <w:r>
        <w:t>–</w:t>
      </w:r>
      <w:r>
        <w:tab/>
      </w:r>
      <w:r w:rsidRPr="00E775B7">
        <w:t xml:space="preserve">Category 1 </w:t>
      </w:r>
      <w:r>
        <w:t xml:space="preserve">– </w:t>
      </w:r>
      <w:r w:rsidRPr="00E775B7">
        <w:t>Staff costs (salaries and allowances, etc.)</w:t>
      </w:r>
    </w:p>
    <w:p w14:paraId="1A8E97BC" w14:textId="77777777" w:rsidR="00C3725C" w:rsidRPr="00E775B7" w:rsidRDefault="00C3725C" w:rsidP="00C3725C">
      <w:pPr>
        <w:pStyle w:val="enumlev2"/>
        <w:jc w:val="both"/>
      </w:pPr>
      <w:r>
        <w:t>–</w:t>
      </w:r>
      <w:r>
        <w:tab/>
      </w:r>
      <w:r w:rsidRPr="00E775B7">
        <w:t xml:space="preserve">Category 2 </w:t>
      </w:r>
      <w:r>
        <w:t xml:space="preserve">– </w:t>
      </w:r>
      <w:r w:rsidRPr="00E775B7">
        <w:t>Other staff costs (pensions, health insurance, human resources</w:t>
      </w:r>
      <w:r>
        <w:t xml:space="preserve"> </w:t>
      </w:r>
      <w:r w:rsidRPr="00E775B7">
        <w:t>development, etc.)</w:t>
      </w:r>
      <w:r>
        <w:t>.</w:t>
      </w:r>
    </w:p>
    <w:p w14:paraId="6B5FCFFA" w14:textId="77777777" w:rsidR="00C3725C" w:rsidRPr="00505F53" w:rsidRDefault="00C3725C" w:rsidP="00C3725C">
      <w:pPr>
        <w:pStyle w:val="enumlev1"/>
        <w:jc w:val="both"/>
      </w:pPr>
      <w:r>
        <w:tab/>
      </w:r>
      <w:r w:rsidRPr="00505F53">
        <w:t>Non-staff costs</w:t>
      </w:r>
      <w:r>
        <w:t>:</w:t>
      </w:r>
    </w:p>
    <w:p w14:paraId="55BA8B00" w14:textId="77777777" w:rsidR="00C3725C" w:rsidRPr="00505F53" w:rsidRDefault="00C3725C" w:rsidP="00C3725C">
      <w:pPr>
        <w:pStyle w:val="enumlev2"/>
        <w:jc w:val="both"/>
      </w:pPr>
      <w:r>
        <w:t>–</w:t>
      </w:r>
      <w:r>
        <w:tab/>
      </w:r>
      <w:r w:rsidRPr="00505F53">
        <w:t>Category 3</w:t>
      </w:r>
      <w:r w:rsidRPr="00E775B7">
        <w:t xml:space="preserve"> </w:t>
      </w:r>
      <w:r>
        <w:t xml:space="preserve">– </w:t>
      </w:r>
      <w:r w:rsidRPr="00505F53">
        <w:t>Travel on duty</w:t>
      </w:r>
    </w:p>
    <w:p w14:paraId="70736F77" w14:textId="77777777" w:rsidR="00C3725C" w:rsidRPr="00505F53" w:rsidRDefault="00C3725C" w:rsidP="00C3725C">
      <w:pPr>
        <w:pStyle w:val="enumlev2"/>
        <w:jc w:val="both"/>
      </w:pPr>
      <w:r>
        <w:t>–</w:t>
      </w:r>
      <w:r>
        <w:tab/>
      </w:r>
      <w:r w:rsidRPr="00505F53">
        <w:t>Category 4</w:t>
      </w:r>
      <w:r w:rsidRPr="00E775B7">
        <w:t xml:space="preserve"> </w:t>
      </w:r>
      <w:r>
        <w:t xml:space="preserve">– </w:t>
      </w:r>
      <w:r w:rsidRPr="00505F53">
        <w:t>Contractual services</w:t>
      </w:r>
    </w:p>
    <w:p w14:paraId="17881AB9" w14:textId="77777777" w:rsidR="00C3725C" w:rsidRPr="00505F53" w:rsidRDefault="00C3725C" w:rsidP="00C3725C">
      <w:pPr>
        <w:pStyle w:val="enumlev2"/>
        <w:jc w:val="both"/>
      </w:pPr>
      <w:r>
        <w:t>–</w:t>
      </w:r>
      <w:r>
        <w:tab/>
      </w:r>
      <w:r w:rsidRPr="00505F53">
        <w:t>Category 5</w:t>
      </w:r>
      <w:r w:rsidRPr="00E775B7">
        <w:t xml:space="preserve"> </w:t>
      </w:r>
      <w:r>
        <w:t xml:space="preserve">– </w:t>
      </w:r>
      <w:r w:rsidRPr="00505F53">
        <w:t>Rental and maintenance of premises and equipment</w:t>
      </w:r>
    </w:p>
    <w:p w14:paraId="5B75F3A9" w14:textId="77777777" w:rsidR="00C3725C" w:rsidRPr="00505F53" w:rsidRDefault="00C3725C" w:rsidP="00C3725C">
      <w:pPr>
        <w:pStyle w:val="enumlev2"/>
        <w:jc w:val="both"/>
      </w:pPr>
      <w:r>
        <w:t>–</w:t>
      </w:r>
      <w:r>
        <w:tab/>
      </w:r>
      <w:r w:rsidRPr="00505F53">
        <w:t>Category 6</w:t>
      </w:r>
      <w:r w:rsidRPr="00E775B7">
        <w:t xml:space="preserve"> </w:t>
      </w:r>
      <w:r>
        <w:t xml:space="preserve">– </w:t>
      </w:r>
      <w:r w:rsidRPr="00505F53">
        <w:t>Materials and supplies</w:t>
      </w:r>
    </w:p>
    <w:p w14:paraId="57118D09" w14:textId="77777777" w:rsidR="00C3725C" w:rsidRPr="00505F53" w:rsidRDefault="00C3725C" w:rsidP="00C3725C">
      <w:pPr>
        <w:pStyle w:val="enumlev2"/>
        <w:jc w:val="both"/>
      </w:pPr>
      <w:r>
        <w:t>–</w:t>
      </w:r>
      <w:r>
        <w:tab/>
      </w:r>
      <w:r w:rsidRPr="00505F53">
        <w:t>Category 7</w:t>
      </w:r>
      <w:r w:rsidRPr="00E775B7">
        <w:t xml:space="preserve"> </w:t>
      </w:r>
      <w:r>
        <w:t xml:space="preserve">– </w:t>
      </w:r>
      <w:r w:rsidRPr="00505F53">
        <w:t>Acquisition of premises, furniture, and equipment</w:t>
      </w:r>
    </w:p>
    <w:p w14:paraId="575C68A9" w14:textId="77777777" w:rsidR="00C3725C" w:rsidRPr="00505F53" w:rsidRDefault="00C3725C" w:rsidP="00C3725C">
      <w:pPr>
        <w:pStyle w:val="enumlev2"/>
        <w:jc w:val="both"/>
      </w:pPr>
      <w:r>
        <w:t>–</w:t>
      </w:r>
      <w:r>
        <w:tab/>
      </w:r>
      <w:r w:rsidRPr="00505F53">
        <w:t>Category 8</w:t>
      </w:r>
      <w:r w:rsidRPr="00E775B7">
        <w:t xml:space="preserve"> </w:t>
      </w:r>
      <w:r>
        <w:t xml:space="preserve">– </w:t>
      </w:r>
      <w:r w:rsidRPr="00505F53">
        <w:t>Public and internal service utilities</w:t>
      </w:r>
    </w:p>
    <w:p w14:paraId="0F2805CC" w14:textId="77777777" w:rsidR="00C3725C" w:rsidRPr="00505F53" w:rsidRDefault="00C3725C" w:rsidP="00C3725C">
      <w:pPr>
        <w:pStyle w:val="enumlev2"/>
        <w:jc w:val="both"/>
      </w:pPr>
      <w:r>
        <w:t>–</w:t>
      </w:r>
      <w:r>
        <w:tab/>
      </w:r>
      <w:r w:rsidRPr="00505F53">
        <w:t xml:space="preserve">Category 9 </w:t>
      </w:r>
      <w:r>
        <w:t xml:space="preserve">– </w:t>
      </w:r>
      <w:r w:rsidRPr="00505F53">
        <w:t>Audit and inter-agency fees and miscellaneous</w:t>
      </w:r>
      <w:r>
        <w:t>.</w:t>
      </w:r>
    </w:p>
    <w:p w14:paraId="0D7313E4" w14:textId="77777777" w:rsidR="00C3725C" w:rsidRPr="00505F53" w:rsidRDefault="00C3725C" w:rsidP="00C3725C">
      <w:pPr>
        <w:jc w:val="both"/>
      </w:pPr>
      <w:r>
        <w:t>1.4</w:t>
      </w:r>
      <w:r w:rsidRPr="00505F53">
        <w:tab/>
        <w:t>The documentation costs represent services provided by the Conferences and Publications Department</w:t>
      </w:r>
      <w:r>
        <w:t>,</w:t>
      </w:r>
      <w:r w:rsidRPr="00505F53">
        <w:t xml:space="preserve"> which can be directly charged to an Output on </w:t>
      </w:r>
      <w:r>
        <w:t xml:space="preserve">a </w:t>
      </w:r>
      <w:r w:rsidRPr="00505F53">
        <w:t>number</w:t>
      </w:r>
      <w:r>
        <w:t>-of-</w:t>
      </w:r>
      <w:r w:rsidRPr="00505F53">
        <w:t>page basis. Those services are:</w:t>
      </w:r>
    </w:p>
    <w:p w14:paraId="12CECED3" w14:textId="77777777" w:rsidR="00C3725C" w:rsidRPr="00505F53" w:rsidRDefault="00C3725C" w:rsidP="00C3725C">
      <w:pPr>
        <w:pStyle w:val="enumlev1"/>
        <w:jc w:val="both"/>
      </w:pPr>
      <w:r>
        <w:t>–</w:t>
      </w:r>
      <w:r>
        <w:tab/>
      </w:r>
      <w:r w:rsidRPr="00505F53">
        <w:t xml:space="preserve">Translation (in the </w:t>
      </w:r>
      <w:r>
        <w:t>six</w:t>
      </w:r>
      <w:r w:rsidRPr="00505F53">
        <w:t xml:space="preserve"> official languages of the Union)</w:t>
      </w:r>
    </w:p>
    <w:p w14:paraId="22E12296" w14:textId="77777777" w:rsidR="00C3725C" w:rsidRPr="00505F53" w:rsidRDefault="00C3725C" w:rsidP="00C3725C">
      <w:pPr>
        <w:pStyle w:val="enumlev1"/>
        <w:jc w:val="both"/>
      </w:pPr>
      <w:r>
        <w:t>–</w:t>
      </w:r>
      <w:r>
        <w:tab/>
        <w:t>Text processing</w:t>
      </w:r>
      <w:r w:rsidRPr="00505F53">
        <w:t xml:space="preserve"> (in the </w:t>
      </w:r>
      <w:r>
        <w:t>six</w:t>
      </w:r>
      <w:r w:rsidRPr="00505F53">
        <w:t xml:space="preserve"> official languages of the Union)</w:t>
      </w:r>
      <w:r>
        <w:t>.</w:t>
      </w:r>
    </w:p>
    <w:p w14:paraId="31F8953B" w14:textId="77777777" w:rsidR="00C3725C" w:rsidRPr="00505F53" w:rsidRDefault="00C3725C" w:rsidP="00C3725C">
      <w:pPr>
        <w:jc w:val="both"/>
      </w:pPr>
      <w:r>
        <w:lastRenderedPageBreak/>
        <w:t>1.5</w:t>
      </w:r>
      <w:r>
        <w:tab/>
        <w:t>The Bureau / General Secretariat support costs represent the costs of staff and related expenses of the Bureaux (including the Office of the Director) and General Secretariat (Strategic Planning and Membership Department) that are reallocated to thematic priorities and outputs based upon work effort measurement (time survey).</w:t>
      </w:r>
    </w:p>
    <w:p w14:paraId="2881CFE0" w14:textId="77777777" w:rsidR="00C3725C" w:rsidRPr="00505F53" w:rsidRDefault="00C3725C" w:rsidP="00C3725C">
      <w:pPr>
        <w:jc w:val="both"/>
      </w:pPr>
      <w:r>
        <w:t>1.6</w:t>
      </w:r>
      <w:r w:rsidRPr="00505F53">
        <w:tab/>
        <w:t>The centralized administrative services costs represent the costs of staff and related expenses of:</w:t>
      </w:r>
    </w:p>
    <w:p w14:paraId="17109D3E" w14:textId="77777777" w:rsidR="00C3725C" w:rsidRPr="00505F53" w:rsidRDefault="00C3725C" w:rsidP="00C3725C">
      <w:pPr>
        <w:pStyle w:val="enumlev1"/>
        <w:jc w:val="both"/>
      </w:pPr>
      <w:r>
        <w:t>–</w:t>
      </w:r>
      <w:r>
        <w:tab/>
      </w:r>
      <w:r w:rsidRPr="00505F53">
        <w:t>the Office of the Secretary-General and Deputy Secretary-General</w:t>
      </w:r>
    </w:p>
    <w:p w14:paraId="736D1755" w14:textId="77777777" w:rsidR="00C3725C" w:rsidRPr="00505F53" w:rsidRDefault="00C3725C" w:rsidP="00C3725C">
      <w:pPr>
        <w:pStyle w:val="enumlev1"/>
        <w:jc w:val="both"/>
      </w:pPr>
      <w:r>
        <w:t>–</w:t>
      </w:r>
      <w:r>
        <w:tab/>
      </w:r>
      <w:r w:rsidRPr="00505F53">
        <w:t>the Human Resources Management Department</w:t>
      </w:r>
    </w:p>
    <w:p w14:paraId="3B25007B" w14:textId="77777777" w:rsidR="00C3725C" w:rsidRPr="00505F53" w:rsidRDefault="00C3725C" w:rsidP="00C3725C">
      <w:pPr>
        <w:pStyle w:val="enumlev1"/>
        <w:jc w:val="both"/>
      </w:pPr>
      <w:r>
        <w:t>–</w:t>
      </w:r>
      <w:r>
        <w:tab/>
      </w:r>
      <w:r w:rsidRPr="00505F53">
        <w:t>the Financial Resources Management Department</w:t>
      </w:r>
    </w:p>
    <w:p w14:paraId="1590380B" w14:textId="77777777" w:rsidR="00C3725C" w:rsidRPr="00505F53" w:rsidRDefault="00C3725C" w:rsidP="00C3725C">
      <w:pPr>
        <w:jc w:val="both"/>
      </w:pPr>
      <w:r w:rsidRPr="00505F53">
        <w:t xml:space="preserve">that provide general administrative support to all </w:t>
      </w:r>
      <w:r>
        <w:t>thematic priorities</w:t>
      </w:r>
      <w:r w:rsidRPr="00505F53">
        <w:t xml:space="preserve"> and </w:t>
      </w:r>
      <w:r>
        <w:t>o</w:t>
      </w:r>
      <w:r w:rsidRPr="00505F53">
        <w:t xml:space="preserve">utputs of the Union. These costs are reallocated to </w:t>
      </w:r>
      <w:r>
        <w:t>o</w:t>
      </w:r>
      <w:r w:rsidRPr="00505F53">
        <w:t>utputs based on reallocation drivers.</w:t>
      </w:r>
    </w:p>
    <w:p w14:paraId="58C2AACD" w14:textId="77777777" w:rsidR="00C3725C" w:rsidRPr="00505F53" w:rsidRDefault="00C3725C" w:rsidP="00C3725C">
      <w:pPr>
        <w:jc w:val="both"/>
      </w:pPr>
      <w:r>
        <w:t>1.7</w:t>
      </w:r>
      <w:r w:rsidRPr="00505F53">
        <w:tab/>
        <w:t>The centralized support services costs represent the costs of staff and related expenses of:</w:t>
      </w:r>
    </w:p>
    <w:p w14:paraId="3F1F6C24" w14:textId="77777777" w:rsidR="00C3725C" w:rsidRPr="00505F53" w:rsidRDefault="00C3725C" w:rsidP="00C3725C">
      <w:pPr>
        <w:pStyle w:val="enumlev1"/>
        <w:jc w:val="both"/>
      </w:pPr>
      <w:r>
        <w:t>–</w:t>
      </w:r>
      <w:r>
        <w:tab/>
      </w:r>
      <w:r w:rsidRPr="00505F53">
        <w:t>the Conferences and Publications Department (outside documentation costs)</w:t>
      </w:r>
    </w:p>
    <w:p w14:paraId="3384699C" w14:textId="77777777" w:rsidR="00C3725C" w:rsidRPr="00505F53" w:rsidRDefault="00C3725C" w:rsidP="00C3725C">
      <w:pPr>
        <w:pStyle w:val="enumlev1"/>
        <w:jc w:val="both"/>
      </w:pPr>
      <w:r>
        <w:t>–</w:t>
      </w:r>
      <w:r>
        <w:tab/>
      </w:r>
      <w:r w:rsidRPr="00505F53">
        <w:t>the Information Services Department</w:t>
      </w:r>
    </w:p>
    <w:p w14:paraId="79D458EA" w14:textId="77777777" w:rsidR="00C3725C" w:rsidRPr="00505F53" w:rsidRDefault="00C3725C" w:rsidP="00C3725C">
      <w:pPr>
        <w:pStyle w:val="enumlev1"/>
        <w:jc w:val="both"/>
      </w:pPr>
      <w:r>
        <w:t>–</w:t>
      </w:r>
      <w:r>
        <w:tab/>
      </w:r>
      <w:r w:rsidRPr="00505F53">
        <w:t>ITU common expenses</w:t>
      </w:r>
    </w:p>
    <w:p w14:paraId="626401A4" w14:textId="77777777" w:rsidR="00C3725C" w:rsidRDefault="00C3725C" w:rsidP="00C3725C">
      <w:pPr>
        <w:jc w:val="both"/>
      </w:pPr>
      <w:r w:rsidRPr="00505F53">
        <w:t xml:space="preserve">that provide general support to the </w:t>
      </w:r>
      <w:r>
        <w:t>thematic priorities</w:t>
      </w:r>
      <w:r w:rsidRPr="00505F53">
        <w:t xml:space="preserve"> and </w:t>
      </w:r>
      <w:r>
        <w:t>o</w:t>
      </w:r>
      <w:r w:rsidRPr="00505F53">
        <w:t>utputs of the Union. These costs are reallocated to Outputs based on reallocation drivers.</w:t>
      </w:r>
    </w:p>
    <w:p w14:paraId="319FDB5A" w14:textId="36D47E20" w:rsidR="00C3725C" w:rsidRDefault="00C3725C" w:rsidP="00C3725C">
      <w:pPr>
        <w:spacing w:after="120"/>
        <w:jc w:val="both"/>
        <w:rPr>
          <w:rFonts w:eastAsia="SimSun"/>
          <w:lang w:val="en-US" w:eastAsia="zh-CN"/>
        </w:rPr>
      </w:pPr>
      <w:r w:rsidRPr="37E9B153">
        <w:rPr>
          <w:rFonts w:eastAsia="SimSun"/>
          <w:lang w:val="en-US" w:eastAsia="zh-CN"/>
        </w:rPr>
        <w:t>2</w:t>
      </w:r>
      <w:r>
        <w:tab/>
        <w:t>Based</w:t>
      </w:r>
      <w:r w:rsidRPr="37E9B153">
        <w:rPr>
          <w:rFonts w:eastAsia="SimSun"/>
          <w:lang w:val="en-US" w:eastAsia="zh-CN"/>
        </w:rPr>
        <w:t xml:space="preserve"> on this methodology, the 2024 budgeted full cost for the processing of space notices amounts to KCHF 22 810</w:t>
      </w:r>
      <w:r w:rsidR="00DF1268">
        <w:rPr>
          <w:rFonts w:eastAsia="SimSun"/>
          <w:lang w:val="en-US" w:eastAsia="zh-CN"/>
        </w:rPr>
        <w:t>. Table 1 provides the breakdown of the full cost by main cost component:</w:t>
      </w:r>
    </w:p>
    <w:tbl>
      <w:tblPr>
        <w:tblW w:w="8640" w:type="dxa"/>
        <w:jc w:val="center"/>
        <w:tblLook w:val="04A0" w:firstRow="1" w:lastRow="0" w:firstColumn="1" w:lastColumn="0" w:noHBand="0" w:noVBand="1"/>
      </w:tblPr>
      <w:tblGrid>
        <w:gridCol w:w="7320"/>
        <w:gridCol w:w="1320"/>
      </w:tblGrid>
      <w:tr w:rsidR="00C3725C" w:rsidRPr="00DF1268" w14:paraId="67FF9583" w14:textId="77777777" w:rsidTr="00C90111">
        <w:trPr>
          <w:cantSplit/>
          <w:jc w:val="center"/>
        </w:trPr>
        <w:tc>
          <w:tcPr>
            <w:tcW w:w="7320" w:type="dxa"/>
            <w:tcBorders>
              <w:top w:val="nil"/>
              <w:left w:val="nil"/>
              <w:bottom w:val="nil"/>
              <w:right w:val="nil"/>
            </w:tcBorders>
            <w:shd w:val="clear" w:color="auto" w:fill="auto"/>
            <w:noWrap/>
            <w:vAlign w:val="bottom"/>
            <w:hideMark/>
          </w:tcPr>
          <w:p w14:paraId="7676D14C" w14:textId="77777777" w:rsidR="00C3725C" w:rsidRDefault="00DF1268" w:rsidP="00DF1268">
            <w:pPr>
              <w:pStyle w:val="Tabletext"/>
              <w:jc w:val="center"/>
              <w:rPr>
                <w:b/>
                <w:bCs/>
                <w:lang w:eastAsia="zh-CN"/>
              </w:rPr>
            </w:pPr>
            <w:r w:rsidRPr="00DF1268">
              <w:rPr>
                <w:b/>
                <w:bCs/>
                <w:lang w:eastAsia="zh-CN"/>
              </w:rPr>
              <w:t>Table 1</w:t>
            </w:r>
          </w:p>
          <w:p w14:paraId="5CAEDF50" w14:textId="332CBEFF" w:rsidR="00DF1268" w:rsidRPr="00DF1268" w:rsidRDefault="00DF1268" w:rsidP="00DF1268">
            <w:pPr>
              <w:pStyle w:val="Tabletext"/>
              <w:jc w:val="center"/>
              <w:rPr>
                <w:b/>
                <w:bCs/>
                <w:lang w:eastAsia="zh-CN"/>
              </w:rPr>
            </w:pPr>
          </w:p>
        </w:tc>
        <w:tc>
          <w:tcPr>
            <w:tcW w:w="1320" w:type="dxa"/>
            <w:tcBorders>
              <w:top w:val="nil"/>
              <w:left w:val="nil"/>
              <w:bottom w:val="nil"/>
              <w:right w:val="nil"/>
            </w:tcBorders>
            <w:shd w:val="clear" w:color="auto" w:fill="auto"/>
            <w:noWrap/>
            <w:vAlign w:val="bottom"/>
            <w:hideMark/>
          </w:tcPr>
          <w:p w14:paraId="3BB9F52D" w14:textId="77777777" w:rsidR="00C3725C" w:rsidRPr="00DF1268" w:rsidRDefault="00C3725C" w:rsidP="00C90111">
            <w:pPr>
              <w:pStyle w:val="Tabletext"/>
              <w:jc w:val="right"/>
              <w:rPr>
                <w:b/>
                <w:bCs/>
                <w:color w:val="000000"/>
                <w:lang w:eastAsia="zh-CN"/>
              </w:rPr>
            </w:pPr>
            <w:r w:rsidRPr="00DF1268">
              <w:rPr>
                <w:b/>
                <w:bCs/>
                <w:color w:val="000000"/>
                <w:lang w:eastAsia="zh-CN"/>
              </w:rPr>
              <w:t>KCHF</w:t>
            </w:r>
          </w:p>
        </w:tc>
      </w:tr>
      <w:tr w:rsidR="00C3725C" w:rsidRPr="00BF7F4B" w14:paraId="6ECD5F99" w14:textId="77777777" w:rsidTr="00C90111">
        <w:trPr>
          <w:cantSplit/>
          <w:jc w:val="center"/>
        </w:trPr>
        <w:tc>
          <w:tcPr>
            <w:tcW w:w="7320" w:type="dxa"/>
            <w:tcBorders>
              <w:top w:val="single" w:sz="4" w:space="0" w:color="auto"/>
              <w:left w:val="single" w:sz="4" w:space="0" w:color="auto"/>
              <w:bottom w:val="single" w:sz="4" w:space="0" w:color="auto"/>
              <w:right w:val="single" w:sz="4" w:space="0" w:color="auto"/>
            </w:tcBorders>
            <w:shd w:val="clear" w:color="auto" w:fill="DAF2D0"/>
            <w:noWrap/>
            <w:vAlign w:val="bottom"/>
            <w:hideMark/>
          </w:tcPr>
          <w:p w14:paraId="5317BE72" w14:textId="77777777" w:rsidR="00C3725C" w:rsidRPr="00BF7F4B" w:rsidRDefault="00C3725C" w:rsidP="00C90111">
            <w:pPr>
              <w:pStyle w:val="Tabletext"/>
              <w:rPr>
                <w:b/>
                <w:bCs/>
                <w:color w:val="000000"/>
                <w:lang w:eastAsia="zh-CN"/>
              </w:rPr>
            </w:pPr>
            <w:r w:rsidRPr="37E9B153">
              <w:rPr>
                <w:b/>
                <w:bCs/>
                <w:color w:val="000000" w:themeColor="text1"/>
                <w:lang w:eastAsia="zh-CN"/>
              </w:rPr>
              <w:t>Radiocommunication Bureau reallocated costs</w:t>
            </w:r>
          </w:p>
        </w:tc>
        <w:tc>
          <w:tcPr>
            <w:tcW w:w="1320" w:type="dxa"/>
            <w:tcBorders>
              <w:top w:val="single" w:sz="4" w:space="0" w:color="auto"/>
              <w:left w:val="nil"/>
              <w:bottom w:val="single" w:sz="4" w:space="0" w:color="auto"/>
              <w:right w:val="single" w:sz="4" w:space="0" w:color="auto"/>
            </w:tcBorders>
            <w:shd w:val="clear" w:color="auto" w:fill="DAF2D0"/>
            <w:noWrap/>
            <w:vAlign w:val="bottom"/>
            <w:hideMark/>
          </w:tcPr>
          <w:p w14:paraId="50F1FEEB" w14:textId="77777777" w:rsidR="00C3725C" w:rsidRPr="00BF7F4B" w:rsidRDefault="00C3725C" w:rsidP="00C90111">
            <w:pPr>
              <w:pStyle w:val="Tabletext"/>
              <w:jc w:val="right"/>
              <w:rPr>
                <w:b/>
                <w:bCs/>
                <w:color w:val="000000"/>
                <w:lang w:eastAsia="zh-CN"/>
              </w:rPr>
            </w:pPr>
            <w:r w:rsidRPr="00BF7F4B">
              <w:rPr>
                <w:b/>
                <w:bCs/>
                <w:color w:val="000000"/>
                <w:lang w:eastAsia="zh-CN"/>
              </w:rPr>
              <w:t>12 144</w:t>
            </w:r>
          </w:p>
        </w:tc>
      </w:tr>
      <w:tr w:rsidR="00C3725C" w:rsidRPr="00BF7F4B" w14:paraId="4737365D" w14:textId="77777777" w:rsidTr="00C90111">
        <w:trPr>
          <w:cantSplit/>
          <w:jc w:val="center"/>
        </w:trPr>
        <w:tc>
          <w:tcPr>
            <w:tcW w:w="7320" w:type="dxa"/>
            <w:tcBorders>
              <w:top w:val="nil"/>
              <w:left w:val="nil"/>
              <w:bottom w:val="nil"/>
              <w:right w:val="nil"/>
            </w:tcBorders>
            <w:shd w:val="clear" w:color="auto" w:fill="auto"/>
            <w:noWrap/>
            <w:vAlign w:val="bottom"/>
            <w:hideMark/>
          </w:tcPr>
          <w:p w14:paraId="57D975CE" w14:textId="77777777" w:rsidR="00C3725C" w:rsidRPr="00BF7F4B" w:rsidRDefault="00C3725C" w:rsidP="00C90111">
            <w:pPr>
              <w:pStyle w:val="Tabletext"/>
              <w:spacing w:before="0" w:after="0"/>
              <w:rPr>
                <w:b/>
                <w:bCs/>
                <w:color w:val="000000"/>
                <w:sz w:val="16"/>
                <w:szCs w:val="16"/>
                <w:lang w:eastAsia="zh-CN"/>
              </w:rPr>
            </w:pPr>
          </w:p>
        </w:tc>
        <w:tc>
          <w:tcPr>
            <w:tcW w:w="1320" w:type="dxa"/>
            <w:tcBorders>
              <w:top w:val="nil"/>
              <w:left w:val="nil"/>
              <w:bottom w:val="nil"/>
              <w:right w:val="nil"/>
            </w:tcBorders>
            <w:shd w:val="clear" w:color="auto" w:fill="auto"/>
            <w:noWrap/>
            <w:vAlign w:val="bottom"/>
            <w:hideMark/>
          </w:tcPr>
          <w:p w14:paraId="4C893807" w14:textId="77777777" w:rsidR="00C3725C" w:rsidRPr="00BF7F4B" w:rsidRDefault="00C3725C" w:rsidP="00C90111">
            <w:pPr>
              <w:pStyle w:val="Tabletext"/>
              <w:spacing w:before="0" w:after="0"/>
              <w:jc w:val="right"/>
              <w:rPr>
                <w:sz w:val="16"/>
                <w:szCs w:val="16"/>
                <w:lang w:eastAsia="zh-CN"/>
              </w:rPr>
            </w:pPr>
          </w:p>
        </w:tc>
      </w:tr>
      <w:tr w:rsidR="00C3725C" w:rsidRPr="00BF7F4B" w14:paraId="04DE7DD2" w14:textId="77777777" w:rsidTr="00C90111">
        <w:trPr>
          <w:cantSplit/>
          <w:jc w:val="center"/>
        </w:trPr>
        <w:tc>
          <w:tcPr>
            <w:tcW w:w="7320" w:type="dxa"/>
            <w:tcBorders>
              <w:top w:val="single" w:sz="4" w:space="0" w:color="auto"/>
              <w:left w:val="single" w:sz="4" w:space="0" w:color="auto"/>
              <w:bottom w:val="single" w:sz="4" w:space="0" w:color="auto"/>
              <w:right w:val="single" w:sz="4" w:space="0" w:color="auto"/>
            </w:tcBorders>
            <w:shd w:val="clear" w:color="auto" w:fill="FBE2D5"/>
            <w:noWrap/>
            <w:vAlign w:val="bottom"/>
            <w:hideMark/>
          </w:tcPr>
          <w:p w14:paraId="2C2D751D" w14:textId="77777777" w:rsidR="00C3725C" w:rsidRPr="00BF7F4B" w:rsidRDefault="00C3725C" w:rsidP="00C90111">
            <w:pPr>
              <w:pStyle w:val="Tabletext"/>
              <w:rPr>
                <w:b/>
                <w:bCs/>
                <w:color w:val="000000"/>
                <w:lang w:eastAsia="zh-CN"/>
              </w:rPr>
            </w:pPr>
            <w:r w:rsidRPr="00BF7F4B">
              <w:rPr>
                <w:b/>
                <w:bCs/>
                <w:color w:val="000000"/>
                <w:lang w:eastAsia="zh-CN"/>
              </w:rPr>
              <w:t>Centralized administrative services costs</w:t>
            </w:r>
          </w:p>
        </w:tc>
        <w:tc>
          <w:tcPr>
            <w:tcW w:w="1320" w:type="dxa"/>
            <w:tcBorders>
              <w:top w:val="single" w:sz="4" w:space="0" w:color="auto"/>
              <w:left w:val="nil"/>
              <w:bottom w:val="single" w:sz="4" w:space="0" w:color="auto"/>
              <w:right w:val="single" w:sz="4" w:space="0" w:color="auto"/>
            </w:tcBorders>
            <w:shd w:val="clear" w:color="auto" w:fill="FBE2D5"/>
            <w:noWrap/>
            <w:vAlign w:val="bottom"/>
            <w:hideMark/>
          </w:tcPr>
          <w:p w14:paraId="66F29F84" w14:textId="77777777" w:rsidR="00C3725C" w:rsidRPr="00BF7F4B" w:rsidRDefault="00C3725C" w:rsidP="00C90111">
            <w:pPr>
              <w:pStyle w:val="Tabletext"/>
              <w:jc w:val="right"/>
              <w:rPr>
                <w:b/>
                <w:bCs/>
                <w:color w:val="000000"/>
                <w:lang w:eastAsia="zh-CN"/>
              </w:rPr>
            </w:pPr>
            <w:r w:rsidRPr="00BF7F4B">
              <w:rPr>
                <w:b/>
                <w:bCs/>
                <w:color w:val="000000"/>
                <w:lang w:eastAsia="zh-CN"/>
              </w:rPr>
              <w:t>3 136</w:t>
            </w:r>
          </w:p>
        </w:tc>
      </w:tr>
      <w:tr w:rsidR="00C3725C" w:rsidRPr="00BF7F4B" w14:paraId="12256F4B" w14:textId="77777777" w:rsidTr="00C90111">
        <w:trPr>
          <w:cantSplit/>
          <w:jc w:val="center"/>
        </w:trPr>
        <w:tc>
          <w:tcPr>
            <w:tcW w:w="7320" w:type="dxa"/>
            <w:tcBorders>
              <w:top w:val="nil"/>
              <w:left w:val="single" w:sz="4" w:space="0" w:color="auto"/>
              <w:bottom w:val="nil"/>
              <w:right w:val="single" w:sz="4" w:space="0" w:color="auto"/>
            </w:tcBorders>
            <w:shd w:val="clear" w:color="auto" w:fill="FBE2D5"/>
            <w:noWrap/>
            <w:vAlign w:val="center"/>
            <w:hideMark/>
          </w:tcPr>
          <w:p w14:paraId="668DA639" w14:textId="77777777" w:rsidR="00C3725C" w:rsidRPr="00BF7F4B" w:rsidRDefault="00C3725C" w:rsidP="00C90111">
            <w:pPr>
              <w:pStyle w:val="Tabletext"/>
              <w:rPr>
                <w:color w:val="000000"/>
                <w:lang w:eastAsia="zh-CN"/>
              </w:rPr>
            </w:pPr>
            <w:r w:rsidRPr="00BF7F4B">
              <w:rPr>
                <w:color w:val="000000"/>
                <w:lang w:eastAsia="zh-CN"/>
              </w:rPr>
              <w:t>Office of the Secretary-General and Deputy Secretary-General</w:t>
            </w:r>
          </w:p>
        </w:tc>
        <w:tc>
          <w:tcPr>
            <w:tcW w:w="1320" w:type="dxa"/>
            <w:tcBorders>
              <w:top w:val="nil"/>
              <w:left w:val="nil"/>
              <w:bottom w:val="nil"/>
              <w:right w:val="single" w:sz="4" w:space="0" w:color="auto"/>
            </w:tcBorders>
            <w:shd w:val="clear" w:color="auto" w:fill="FBE2D5"/>
            <w:noWrap/>
            <w:vAlign w:val="bottom"/>
            <w:hideMark/>
          </w:tcPr>
          <w:p w14:paraId="632EB6BD" w14:textId="77777777" w:rsidR="00C3725C" w:rsidRPr="00BF7F4B" w:rsidRDefault="00C3725C" w:rsidP="00C90111">
            <w:pPr>
              <w:pStyle w:val="Tabletext"/>
              <w:jc w:val="right"/>
              <w:rPr>
                <w:color w:val="000000"/>
                <w:lang w:eastAsia="zh-CN"/>
              </w:rPr>
            </w:pPr>
            <w:r w:rsidRPr="00BF7F4B">
              <w:rPr>
                <w:color w:val="000000"/>
                <w:lang w:eastAsia="zh-CN"/>
              </w:rPr>
              <w:t>778</w:t>
            </w:r>
          </w:p>
        </w:tc>
      </w:tr>
      <w:tr w:rsidR="00C3725C" w:rsidRPr="00BF7F4B" w14:paraId="0DF983A9" w14:textId="77777777" w:rsidTr="00C90111">
        <w:trPr>
          <w:cantSplit/>
          <w:jc w:val="center"/>
        </w:trPr>
        <w:tc>
          <w:tcPr>
            <w:tcW w:w="7320" w:type="dxa"/>
            <w:tcBorders>
              <w:top w:val="nil"/>
              <w:left w:val="single" w:sz="4" w:space="0" w:color="auto"/>
              <w:bottom w:val="nil"/>
              <w:right w:val="single" w:sz="4" w:space="0" w:color="auto"/>
            </w:tcBorders>
            <w:shd w:val="clear" w:color="auto" w:fill="FBE2D5"/>
            <w:noWrap/>
            <w:vAlign w:val="center"/>
            <w:hideMark/>
          </w:tcPr>
          <w:p w14:paraId="412B42AC" w14:textId="77777777" w:rsidR="00C3725C" w:rsidRPr="00BF7F4B" w:rsidRDefault="00C3725C" w:rsidP="00C90111">
            <w:pPr>
              <w:pStyle w:val="Tabletext"/>
              <w:rPr>
                <w:color w:val="000000"/>
                <w:lang w:eastAsia="zh-CN"/>
              </w:rPr>
            </w:pPr>
            <w:r w:rsidRPr="00BF7F4B">
              <w:rPr>
                <w:color w:val="000000"/>
                <w:lang w:eastAsia="zh-CN"/>
              </w:rPr>
              <w:t>Human Resources Management Department</w:t>
            </w:r>
          </w:p>
        </w:tc>
        <w:tc>
          <w:tcPr>
            <w:tcW w:w="1320" w:type="dxa"/>
            <w:tcBorders>
              <w:top w:val="nil"/>
              <w:left w:val="nil"/>
              <w:bottom w:val="nil"/>
              <w:right w:val="single" w:sz="4" w:space="0" w:color="auto"/>
            </w:tcBorders>
            <w:shd w:val="clear" w:color="auto" w:fill="FBE2D5"/>
            <w:noWrap/>
            <w:vAlign w:val="bottom"/>
            <w:hideMark/>
          </w:tcPr>
          <w:p w14:paraId="33A9A3B1" w14:textId="77777777" w:rsidR="00C3725C" w:rsidRPr="00BF7F4B" w:rsidRDefault="00C3725C" w:rsidP="00C90111">
            <w:pPr>
              <w:pStyle w:val="Tabletext"/>
              <w:jc w:val="right"/>
              <w:rPr>
                <w:color w:val="000000"/>
                <w:lang w:eastAsia="zh-CN"/>
              </w:rPr>
            </w:pPr>
            <w:r w:rsidRPr="00BF7F4B">
              <w:rPr>
                <w:color w:val="000000"/>
                <w:lang w:eastAsia="zh-CN"/>
              </w:rPr>
              <w:t>952</w:t>
            </w:r>
          </w:p>
        </w:tc>
      </w:tr>
      <w:tr w:rsidR="00C3725C" w:rsidRPr="00BF7F4B" w14:paraId="034BDA97" w14:textId="77777777" w:rsidTr="00C90111">
        <w:trPr>
          <w:cantSplit/>
          <w:jc w:val="center"/>
        </w:trPr>
        <w:tc>
          <w:tcPr>
            <w:tcW w:w="7320" w:type="dxa"/>
            <w:tcBorders>
              <w:top w:val="nil"/>
              <w:left w:val="single" w:sz="4" w:space="0" w:color="auto"/>
              <w:bottom w:val="single" w:sz="4" w:space="0" w:color="auto"/>
              <w:right w:val="single" w:sz="4" w:space="0" w:color="auto"/>
            </w:tcBorders>
            <w:shd w:val="clear" w:color="auto" w:fill="FBE2D5"/>
            <w:noWrap/>
            <w:vAlign w:val="center"/>
            <w:hideMark/>
          </w:tcPr>
          <w:p w14:paraId="383CB360" w14:textId="77777777" w:rsidR="00C3725C" w:rsidRPr="00BF7F4B" w:rsidRDefault="00C3725C" w:rsidP="00C90111">
            <w:pPr>
              <w:pStyle w:val="Tabletext"/>
              <w:rPr>
                <w:color w:val="000000"/>
                <w:lang w:eastAsia="zh-CN"/>
              </w:rPr>
            </w:pPr>
            <w:r w:rsidRPr="00BF7F4B">
              <w:rPr>
                <w:color w:val="000000"/>
                <w:lang w:eastAsia="zh-CN"/>
              </w:rPr>
              <w:t>Financial Resources Management Department</w:t>
            </w:r>
          </w:p>
        </w:tc>
        <w:tc>
          <w:tcPr>
            <w:tcW w:w="1320" w:type="dxa"/>
            <w:tcBorders>
              <w:top w:val="nil"/>
              <w:left w:val="nil"/>
              <w:bottom w:val="single" w:sz="4" w:space="0" w:color="auto"/>
              <w:right w:val="single" w:sz="4" w:space="0" w:color="auto"/>
            </w:tcBorders>
            <w:shd w:val="clear" w:color="auto" w:fill="FBE2D5"/>
            <w:noWrap/>
            <w:vAlign w:val="bottom"/>
            <w:hideMark/>
          </w:tcPr>
          <w:p w14:paraId="0BBA4092" w14:textId="77777777" w:rsidR="00C3725C" w:rsidRPr="00BF7F4B" w:rsidRDefault="00C3725C" w:rsidP="00C90111">
            <w:pPr>
              <w:pStyle w:val="Tabletext"/>
              <w:jc w:val="right"/>
              <w:rPr>
                <w:color w:val="000000"/>
                <w:lang w:eastAsia="zh-CN"/>
              </w:rPr>
            </w:pPr>
            <w:r w:rsidRPr="00BF7F4B">
              <w:rPr>
                <w:color w:val="000000"/>
                <w:lang w:eastAsia="zh-CN"/>
              </w:rPr>
              <w:t>1 406</w:t>
            </w:r>
          </w:p>
        </w:tc>
      </w:tr>
      <w:tr w:rsidR="00C3725C" w:rsidRPr="00BF7F4B" w14:paraId="08A0F99C" w14:textId="77777777" w:rsidTr="00C90111">
        <w:trPr>
          <w:cantSplit/>
          <w:jc w:val="center"/>
        </w:trPr>
        <w:tc>
          <w:tcPr>
            <w:tcW w:w="7320" w:type="dxa"/>
            <w:tcBorders>
              <w:top w:val="nil"/>
              <w:left w:val="nil"/>
              <w:bottom w:val="nil"/>
              <w:right w:val="nil"/>
            </w:tcBorders>
            <w:shd w:val="clear" w:color="auto" w:fill="auto"/>
            <w:noWrap/>
            <w:vAlign w:val="bottom"/>
            <w:hideMark/>
          </w:tcPr>
          <w:p w14:paraId="100D7327" w14:textId="77777777" w:rsidR="00C3725C" w:rsidRPr="00BF7F4B" w:rsidRDefault="00C3725C" w:rsidP="00C90111">
            <w:pPr>
              <w:pStyle w:val="Tabletext"/>
              <w:spacing w:before="0" w:after="0"/>
              <w:rPr>
                <w:color w:val="000000"/>
                <w:sz w:val="16"/>
                <w:szCs w:val="16"/>
                <w:lang w:eastAsia="zh-CN"/>
              </w:rPr>
            </w:pPr>
          </w:p>
        </w:tc>
        <w:tc>
          <w:tcPr>
            <w:tcW w:w="1320" w:type="dxa"/>
            <w:tcBorders>
              <w:top w:val="nil"/>
              <w:left w:val="nil"/>
              <w:bottom w:val="nil"/>
              <w:right w:val="nil"/>
            </w:tcBorders>
            <w:shd w:val="clear" w:color="auto" w:fill="auto"/>
            <w:noWrap/>
            <w:vAlign w:val="bottom"/>
            <w:hideMark/>
          </w:tcPr>
          <w:p w14:paraId="6F075DA8" w14:textId="77777777" w:rsidR="00C3725C" w:rsidRPr="00BF7F4B" w:rsidRDefault="00C3725C" w:rsidP="00C90111">
            <w:pPr>
              <w:pStyle w:val="Tabletext"/>
              <w:spacing w:before="0" w:after="0"/>
              <w:jc w:val="right"/>
              <w:rPr>
                <w:sz w:val="16"/>
                <w:szCs w:val="16"/>
                <w:lang w:eastAsia="zh-CN"/>
              </w:rPr>
            </w:pPr>
          </w:p>
        </w:tc>
      </w:tr>
      <w:tr w:rsidR="00C3725C" w:rsidRPr="00BF7F4B" w14:paraId="198F03E6" w14:textId="77777777" w:rsidTr="00C90111">
        <w:trPr>
          <w:cantSplit/>
          <w:jc w:val="center"/>
        </w:trPr>
        <w:tc>
          <w:tcPr>
            <w:tcW w:w="7320" w:type="dxa"/>
            <w:tcBorders>
              <w:top w:val="single" w:sz="4" w:space="0" w:color="auto"/>
              <w:left w:val="single" w:sz="4" w:space="0" w:color="auto"/>
              <w:bottom w:val="single" w:sz="4" w:space="0" w:color="auto"/>
              <w:right w:val="single" w:sz="4" w:space="0" w:color="auto"/>
            </w:tcBorders>
            <w:shd w:val="clear" w:color="auto" w:fill="CAEDFB"/>
            <w:noWrap/>
            <w:vAlign w:val="bottom"/>
            <w:hideMark/>
          </w:tcPr>
          <w:p w14:paraId="229487A7" w14:textId="77777777" w:rsidR="00C3725C" w:rsidRPr="00BF7F4B" w:rsidRDefault="00C3725C" w:rsidP="00C90111">
            <w:pPr>
              <w:pStyle w:val="Tabletext"/>
              <w:rPr>
                <w:b/>
                <w:bCs/>
                <w:color w:val="000000"/>
                <w:lang w:eastAsia="zh-CN"/>
              </w:rPr>
            </w:pPr>
            <w:r w:rsidRPr="00BF7F4B">
              <w:rPr>
                <w:b/>
                <w:bCs/>
                <w:color w:val="000000"/>
                <w:lang w:eastAsia="zh-CN"/>
              </w:rPr>
              <w:t>Centralized support services costs</w:t>
            </w:r>
          </w:p>
        </w:tc>
        <w:tc>
          <w:tcPr>
            <w:tcW w:w="1320" w:type="dxa"/>
            <w:tcBorders>
              <w:top w:val="single" w:sz="4" w:space="0" w:color="auto"/>
              <w:left w:val="nil"/>
              <w:bottom w:val="single" w:sz="4" w:space="0" w:color="auto"/>
              <w:right w:val="single" w:sz="4" w:space="0" w:color="auto"/>
            </w:tcBorders>
            <w:shd w:val="clear" w:color="auto" w:fill="CAEDFB"/>
            <w:noWrap/>
            <w:vAlign w:val="bottom"/>
            <w:hideMark/>
          </w:tcPr>
          <w:p w14:paraId="3724CB10" w14:textId="77777777" w:rsidR="00C3725C" w:rsidRPr="00BF7F4B" w:rsidRDefault="00C3725C" w:rsidP="00C90111">
            <w:pPr>
              <w:pStyle w:val="Tabletext"/>
              <w:jc w:val="right"/>
              <w:rPr>
                <w:b/>
                <w:bCs/>
                <w:color w:val="000000"/>
                <w:lang w:eastAsia="zh-CN"/>
              </w:rPr>
            </w:pPr>
            <w:r w:rsidRPr="00BF7F4B">
              <w:rPr>
                <w:b/>
                <w:bCs/>
                <w:color w:val="000000"/>
                <w:lang w:eastAsia="zh-CN"/>
              </w:rPr>
              <w:t>7 530</w:t>
            </w:r>
          </w:p>
        </w:tc>
      </w:tr>
      <w:tr w:rsidR="00C3725C" w:rsidRPr="00BF7F4B" w14:paraId="2B6D9B0F" w14:textId="77777777" w:rsidTr="00C90111">
        <w:trPr>
          <w:cantSplit/>
          <w:jc w:val="center"/>
        </w:trPr>
        <w:tc>
          <w:tcPr>
            <w:tcW w:w="7320" w:type="dxa"/>
            <w:tcBorders>
              <w:top w:val="nil"/>
              <w:left w:val="single" w:sz="4" w:space="0" w:color="auto"/>
              <w:bottom w:val="nil"/>
              <w:right w:val="single" w:sz="4" w:space="0" w:color="auto"/>
            </w:tcBorders>
            <w:shd w:val="clear" w:color="auto" w:fill="CAEDFB"/>
            <w:noWrap/>
            <w:vAlign w:val="center"/>
            <w:hideMark/>
          </w:tcPr>
          <w:p w14:paraId="1E95554A" w14:textId="77777777" w:rsidR="00C3725C" w:rsidRPr="00BF7F4B" w:rsidRDefault="00C3725C" w:rsidP="00C90111">
            <w:pPr>
              <w:pStyle w:val="Tabletext"/>
              <w:rPr>
                <w:color w:val="000000"/>
                <w:lang w:eastAsia="zh-CN"/>
              </w:rPr>
            </w:pPr>
            <w:r w:rsidRPr="00BF7F4B">
              <w:rPr>
                <w:color w:val="000000"/>
                <w:lang w:eastAsia="zh-CN"/>
              </w:rPr>
              <w:t>Conferences and Publications Department (outside documentation costs)</w:t>
            </w:r>
          </w:p>
        </w:tc>
        <w:tc>
          <w:tcPr>
            <w:tcW w:w="1320" w:type="dxa"/>
            <w:tcBorders>
              <w:top w:val="nil"/>
              <w:left w:val="nil"/>
              <w:bottom w:val="nil"/>
              <w:right w:val="single" w:sz="4" w:space="0" w:color="auto"/>
            </w:tcBorders>
            <w:shd w:val="clear" w:color="auto" w:fill="CAEDFB"/>
            <w:noWrap/>
            <w:vAlign w:val="bottom"/>
            <w:hideMark/>
          </w:tcPr>
          <w:p w14:paraId="61F5BD57" w14:textId="77777777" w:rsidR="00C3725C" w:rsidRPr="00BF7F4B" w:rsidRDefault="00C3725C" w:rsidP="00C90111">
            <w:pPr>
              <w:pStyle w:val="Tabletext"/>
              <w:jc w:val="right"/>
              <w:rPr>
                <w:color w:val="000000"/>
                <w:lang w:eastAsia="zh-CN"/>
              </w:rPr>
            </w:pPr>
            <w:r w:rsidRPr="00BF7F4B">
              <w:rPr>
                <w:color w:val="000000"/>
                <w:lang w:eastAsia="zh-CN"/>
              </w:rPr>
              <w:t>1 663</w:t>
            </w:r>
          </w:p>
        </w:tc>
      </w:tr>
      <w:tr w:rsidR="00C3725C" w:rsidRPr="00BF7F4B" w14:paraId="6221215D" w14:textId="77777777" w:rsidTr="00C90111">
        <w:trPr>
          <w:cantSplit/>
          <w:jc w:val="center"/>
        </w:trPr>
        <w:tc>
          <w:tcPr>
            <w:tcW w:w="7320" w:type="dxa"/>
            <w:tcBorders>
              <w:top w:val="nil"/>
              <w:left w:val="single" w:sz="4" w:space="0" w:color="auto"/>
              <w:bottom w:val="nil"/>
              <w:right w:val="single" w:sz="4" w:space="0" w:color="auto"/>
            </w:tcBorders>
            <w:shd w:val="clear" w:color="auto" w:fill="CAEDFB"/>
            <w:noWrap/>
            <w:vAlign w:val="center"/>
            <w:hideMark/>
          </w:tcPr>
          <w:p w14:paraId="26E249DF" w14:textId="77777777" w:rsidR="00C3725C" w:rsidRPr="00BF7F4B" w:rsidRDefault="00C3725C" w:rsidP="00C90111">
            <w:pPr>
              <w:pStyle w:val="Tabletext"/>
              <w:rPr>
                <w:color w:val="000000"/>
                <w:lang w:eastAsia="zh-CN"/>
              </w:rPr>
            </w:pPr>
            <w:r w:rsidRPr="00BF7F4B">
              <w:rPr>
                <w:color w:val="000000"/>
                <w:lang w:eastAsia="zh-CN"/>
              </w:rPr>
              <w:t>Information Services Department</w:t>
            </w:r>
          </w:p>
        </w:tc>
        <w:tc>
          <w:tcPr>
            <w:tcW w:w="1320" w:type="dxa"/>
            <w:tcBorders>
              <w:top w:val="nil"/>
              <w:left w:val="nil"/>
              <w:bottom w:val="nil"/>
              <w:right w:val="single" w:sz="4" w:space="0" w:color="auto"/>
            </w:tcBorders>
            <w:shd w:val="clear" w:color="auto" w:fill="CAEDFB"/>
            <w:noWrap/>
            <w:vAlign w:val="bottom"/>
            <w:hideMark/>
          </w:tcPr>
          <w:p w14:paraId="5238A50F" w14:textId="77777777" w:rsidR="00C3725C" w:rsidRPr="00BF7F4B" w:rsidRDefault="00C3725C" w:rsidP="00C90111">
            <w:pPr>
              <w:pStyle w:val="Tabletext"/>
              <w:jc w:val="right"/>
              <w:rPr>
                <w:color w:val="000000"/>
                <w:lang w:eastAsia="zh-CN"/>
              </w:rPr>
            </w:pPr>
            <w:r w:rsidRPr="00BF7F4B">
              <w:rPr>
                <w:color w:val="000000"/>
                <w:lang w:eastAsia="zh-CN"/>
              </w:rPr>
              <w:t>3 015</w:t>
            </w:r>
          </w:p>
        </w:tc>
      </w:tr>
      <w:tr w:rsidR="00C3725C" w:rsidRPr="00BF7F4B" w14:paraId="7BAABD7F" w14:textId="77777777" w:rsidTr="00C90111">
        <w:trPr>
          <w:cantSplit/>
          <w:jc w:val="center"/>
        </w:trPr>
        <w:tc>
          <w:tcPr>
            <w:tcW w:w="7320" w:type="dxa"/>
            <w:tcBorders>
              <w:top w:val="nil"/>
              <w:left w:val="single" w:sz="4" w:space="0" w:color="auto"/>
              <w:bottom w:val="single" w:sz="4" w:space="0" w:color="auto"/>
              <w:right w:val="single" w:sz="4" w:space="0" w:color="auto"/>
            </w:tcBorders>
            <w:shd w:val="clear" w:color="auto" w:fill="CAEDFB"/>
            <w:noWrap/>
            <w:vAlign w:val="center"/>
            <w:hideMark/>
          </w:tcPr>
          <w:p w14:paraId="2C09E2B9" w14:textId="77777777" w:rsidR="00C3725C" w:rsidRPr="00BF7F4B" w:rsidRDefault="00C3725C" w:rsidP="00C90111">
            <w:pPr>
              <w:pStyle w:val="Tabletext"/>
              <w:rPr>
                <w:color w:val="000000"/>
                <w:lang w:eastAsia="zh-CN"/>
              </w:rPr>
            </w:pPr>
            <w:r w:rsidRPr="00BF7F4B">
              <w:rPr>
                <w:color w:val="000000"/>
                <w:lang w:eastAsia="zh-CN"/>
              </w:rPr>
              <w:t>ITU Common expenses (including building)</w:t>
            </w:r>
          </w:p>
        </w:tc>
        <w:tc>
          <w:tcPr>
            <w:tcW w:w="1320" w:type="dxa"/>
            <w:tcBorders>
              <w:top w:val="nil"/>
              <w:left w:val="nil"/>
              <w:bottom w:val="single" w:sz="4" w:space="0" w:color="auto"/>
              <w:right w:val="single" w:sz="4" w:space="0" w:color="auto"/>
            </w:tcBorders>
            <w:shd w:val="clear" w:color="auto" w:fill="CAEDFB"/>
            <w:noWrap/>
            <w:vAlign w:val="bottom"/>
            <w:hideMark/>
          </w:tcPr>
          <w:p w14:paraId="124BA94E" w14:textId="77777777" w:rsidR="00C3725C" w:rsidRPr="00BF7F4B" w:rsidRDefault="00C3725C" w:rsidP="00C90111">
            <w:pPr>
              <w:pStyle w:val="Tabletext"/>
              <w:jc w:val="right"/>
              <w:rPr>
                <w:color w:val="000000"/>
                <w:lang w:eastAsia="zh-CN"/>
              </w:rPr>
            </w:pPr>
            <w:r w:rsidRPr="00BF7F4B">
              <w:rPr>
                <w:color w:val="000000"/>
                <w:lang w:eastAsia="zh-CN"/>
              </w:rPr>
              <w:t>2 852</w:t>
            </w:r>
          </w:p>
        </w:tc>
      </w:tr>
      <w:tr w:rsidR="00C3725C" w:rsidRPr="00BF7F4B" w14:paraId="7ED538E9" w14:textId="77777777" w:rsidTr="00C90111">
        <w:trPr>
          <w:cantSplit/>
          <w:jc w:val="center"/>
        </w:trPr>
        <w:tc>
          <w:tcPr>
            <w:tcW w:w="7320" w:type="dxa"/>
            <w:tcBorders>
              <w:top w:val="nil"/>
              <w:left w:val="nil"/>
              <w:bottom w:val="nil"/>
              <w:right w:val="nil"/>
            </w:tcBorders>
            <w:shd w:val="clear" w:color="auto" w:fill="auto"/>
            <w:noWrap/>
            <w:vAlign w:val="bottom"/>
            <w:hideMark/>
          </w:tcPr>
          <w:p w14:paraId="603498C3" w14:textId="77777777" w:rsidR="00C3725C" w:rsidRPr="00BF7F4B" w:rsidRDefault="00C3725C" w:rsidP="00C90111">
            <w:pPr>
              <w:pStyle w:val="Tabletext"/>
              <w:spacing w:before="0" w:after="0"/>
              <w:rPr>
                <w:color w:val="000000"/>
                <w:sz w:val="16"/>
                <w:szCs w:val="16"/>
                <w:lang w:eastAsia="zh-CN"/>
              </w:rPr>
            </w:pPr>
          </w:p>
        </w:tc>
        <w:tc>
          <w:tcPr>
            <w:tcW w:w="1320" w:type="dxa"/>
            <w:tcBorders>
              <w:top w:val="nil"/>
              <w:left w:val="nil"/>
              <w:bottom w:val="nil"/>
              <w:right w:val="nil"/>
            </w:tcBorders>
            <w:shd w:val="clear" w:color="auto" w:fill="auto"/>
            <w:noWrap/>
            <w:vAlign w:val="bottom"/>
            <w:hideMark/>
          </w:tcPr>
          <w:p w14:paraId="5CD552C5" w14:textId="77777777" w:rsidR="00C3725C" w:rsidRPr="00BF7F4B" w:rsidRDefault="00C3725C" w:rsidP="00C90111">
            <w:pPr>
              <w:pStyle w:val="Tabletext"/>
              <w:spacing w:before="0" w:after="0"/>
              <w:jc w:val="right"/>
              <w:rPr>
                <w:sz w:val="16"/>
                <w:szCs w:val="16"/>
                <w:lang w:eastAsia="zh-CN"/>
              </w:rPr>
            </w:pPr>
          </w:p>
        </w:tc>
      </w:tr>
      <w:tr w:rsidR="00C3725C" w:rsidRPr="00BF7F4B" w14:paraId="0420047B" w14:textId="77777777" w:rsidTr="00C90111">
        <w:trPr>
          <w:cantSplit/>
          <w:jc w:val="center"/>
        </w:trPr>
        <w:tc>
          <w:tcPr>
            <w:tcW w:w="7320" w:type="dxa"/>
            <w:tcBorders>
              <w:top w:val="single" w:sz="4" w:space="0" w:color="auto"/>
              <w:left w:val="single" w:sz="4" w:space="0" w:color="auto"/>
              <w:bottom w:val="single" w:sz="4" w:space="0" w:color="auto"/>
              <w:right w:val="single" w:sz="4" w:space="0" w:color="auto"/>
            </w:tcBorders>
            <w:shd w:val="clear" w:color="auto" w:fill="F2CEEF"/>
            <w:noWrap/>
            <w:vAlign w:val="bottom"/>
            <w:hideMark/>
          </w:tcPr>
          <w:p w14:paraId="54F551AF" w14:textId="77777777" w:rsidR="00C3725C" w:rsidRPr="00BF7F4B" w:rsidRDefault="00C3725C" w:rsidP="00C90111">
            <w:pPr>
              <w:pStyle w:val="Tabletext"/>
              <w:rPr>
                <w:b/>
                <w:bCs/>
                <w:color w:val="000000"/>
                <w:lang w:eastAsia="zh-CN"/>
              </w:rPr>
            </w:pPr>
            <w:r w:rsidRPr="00BF7F4B">
              <w:rPr>
                <w:b/>
                <w:bCs/>
                <w:color w:val="000000"/>
                <w:lang w:eastAsia="zh-CN"/>
              </w:rPr>
              <w:t>Full costs</w:t>
            </w:r>
          </w:p>
        </w:tc>
        <w:tc>
          <w:tcPr>
            <w:tcW w:w="1320" w:type="dxa"/>
            <w:tcBorders>
              <w:top w:val="single" w:sz="4" w:space="0" w:color="auto"/>
              <w:left w:val="nil"/>
              <w:bottom w:val="single" w:sz="4" w:space="0" w:color="auto"/>
              <w:right w:val="single" w:sz="4" w:space="0" w:color="auto"/>
            </w:tcBorders>
            <w:shd w:val="clear" w:color="auto" w:fill="F2CEEF"/>
            <w:noWrap/>
            <w:vAlign w:val="bottom"/>
            <w:hideMark/>
          </w:tcPr>
          <w:p w14:paraId="624B76F8" w14:textId="77777777" w:rsidR="00C3725C" w:rsidRPr="00BF7F4B" w:rsidRDefault="00C3725C" w:rsidP="00C90111">
            <w:pPr>
              <w:pStyle w:val="Tabletext"/>
              <w:jc w:val="right"/>
              <w:rPr>
                <w:b/>
                <w:bCs/>
                <w:color w:val="000000"/>
                <w:lang w:eastAsia="zh-CN"/>
              </w:rPr>
            </w:pPr>
            <w:r w:rsidRPr="00BF7F4B">
              <w:rPr>
                <w:b/>
                <w:bCs/>
                <w:color w:val="000000"/>
                <w:lang w:eastAsia="zh-CN"/>
              </w:rPr>
              <w:t>22 810</w:t>
            </w:r>
          </w:p>
        </w:tc>
      </w:tr>
    </w:tbl>
    <w:p w14:paraId="2ACE6A35" w14:textId="77777777" w:rsidR="00C3725C" w:rsidRDefault="00C3725C" w:rsidP="00C3725C">
      <w:pPr>
        <w:tabs>
          <w:tab w:val="clear" w:pos="567"/>
          <w:tab w:val="clear" w:pos="1134"/>
          <w:tab w:val="clear" w:pos="1701"/>
          <w:tab w:val="clear" w:pos="2268"/>
          <w:tab w:val="clear" w:pos="2835"/>
        </w:tabs>
        <w:overflowPunct/>
        <w:autoSpaceDE/>
        <w:autoSpaceDN/>
        <w:adjustRightInd/>
        <w:spacing w:before="0"/>
        <w:textAlignment w:val="auto"/>
        <w:rPr>
          <w:rFonts w:eastAsia="SimSun"/>
          <w:lang w:val="en-US" w:eastAsia="zh-CN"/>
        </w:rPr>
      </w:pPr>
    </w:p>
    <w:p w14:paraId="49579BB0" w14:textId="77777777" w:rsidR="00E15020" w:rsidRDefault="00E15020">
      <w:pPr>
        <w:tabs>
          <w:tab w:val="clear" w:pos="567"/>
          <w:tab w:val="clear" w:pos="1134"/>
          <w:tab w:val="clear" w:pos="1701"/>
          <w:tab w:val="clear" w:pos="2268"/>
          <w:tab w:val="clear" w:pos="2835"/>
        </w:tabs>
        <w:overflowPunct/>
        <w:autoSpaceDE/>
        <w:autoSpaceDN/>
        <w:adjustRightInd/>
        <w:spacing w:before="0"/>
        <w:textAlignment w:val="auto"/>
        <w:rPr>
          <w:rFonts w:eastAsia="SimSun"/>
          <w:lang w:val="en-US" w:eastAsia="zh-CN"/>
        </w:rPr>
      </w:pPr>
      <w:r>
        <w:rPr>
          <w:rFonts w:eastAsia="SimSun"/>
          <w:lang w:val="en-US" w:eastAsia="zh-CN"/>
        </w:rPr>
        <w:br w:type="page"/>
      </w:r>
    </w:p>
    <w:p w14:paraId="3D4F89EA" w14:textId="69D5C79C" w:rsidR="0090147A" w:rsidRDefault="00C3725C" w:rsidP="00C3725C">
      <w:pPr>
        <w:tabs>
          <w:tab w:val="clear" w:pos="567"/>
          <w:tab w:val="clear" w:pos="1134"/>
          <w:tab w:val="clear" w:pos="1701"/>
          <w:tab w:val="clear" w:pos="2268"/>
          <w:tab w:val="clear" w:pos="2835"/>
        </w:tabs>
        <w:overflowPunct/>
        <w:autoSpaceDE/>
        <w:autoSpaceDN/>
        <w:adjustRightInd/>
        <w:spacing w:before="0"/>
        <w:textAlignment w:val="auto"/>
      </w:pPr>
      <w:r>
        <w:rPr>
          <w:rFonts w:eastAsia="SimSun"/>
          <w:lang w:val="en-US" w:eastAsia="zh-CN"/>
        </w:rPr>
        <w:lastRenderedPageBreak/>
        <w:t>3</w:t>
      </w:r>
      <w:r>
        <w:tab/>
      </w:r>
      <w:r w:rsidR="00E15020">
        <w:t xml:space="preserve">Table 2 provides the breakdown of the </w:t>
      </w:r>
      <w:r w:rsidR="00E15020" w:rsidRPr="00E15020">
        <w:t>Radiocommunication Bureau reallocated costs</w:t>
      </w:r>
      <w:r w:rsidR="00E15020">
        <w:t>:</w:t>
      </w:r>
    </w:p>
    <w:tbl>
      <w:tblPr>
        <w:tblW w:w="8640" w:type="dxa"/>
        <w:jc w:val="center"/>
        <w:tblLook w:val="04A0" w:firstRow="1" w:lastRow="0" w:firstColumn="1" w:lastColumn="0" w:noHBand="0" w:noVBand="1"/>
      </w:tblPr>
      <w:tblGrid>
        <w:gridCol w:w="7320"/>
        <w:gridCol w:w="1320"/>
      </w:tblGrid>
      <w:tr w:rsidR="00E15020" w:rsidRPr="00DF1268" w14:paraId="127A0773" w14:textId="77777777" w:rsidTr="00C90111">
        <w:trPr>
          <w:cantSplit/>
          <w:jc w:val="center"/>
        </w:trPr>
        <w:tc>
          <w:tcPr>
            <w:tcW w:w="7320" w:type="dxa"/>
            <w:tcBorders>
              <w:top w:val="nil"/>
              <w:left w:val="nil"/>
              <w:bottom w:val="nil"/>
              <w:right w:val="nil"/>
            </w:tcBorders>
            <w:shd w:val="clear" w:color="auto" w:fill="auto"/>
            <w:noWrap/>
            <w:vAlign w:val="bottom"/>
            <w:hideMark/>
          </w:tcPr>
          <w:p w14:paraId="53FE69F0" w14:textId="3B5BFF67" w:rsidR="00E15020" w:rsidRDefault="00E15020" w:rsidP="00C90111">
            <w:pPr>
              <w:pStyle w:val="Tabletext"/>
              <w:jc w:val="center"/>
              <w:rPr>
                <w:b/>
                <w:bCs/>
                <w:lang w:eastAsia="zh-CN"/>
              </w:rPr>
            </w:pPr>
            <w:r w:rsidRPr="00DF1268">
              <w:rPr>
                <w:b/>
                <w:bCs/>
                <w:lang w:eastAsia="zh-CN"/>
              </w:rPr>
              <w:t xml:space="preserve">Table </w:t>
            </w:r>
            <w:r>
              <w:rPr>
                <w:b/>
                <w:bCs/>
                <w:lang w:eastAsia="zh-CN"/>
              </w:rPr>
              <w:t>2</w:t>
            </w:r>
          </w:p>
          <w:p w14:paraId="6232F49A" w14:textId="77777777" w:rsidR="00E15020" w:rsidRPr="00DF1268" w:rsidRDefault="00E15020" w:rsidP="00C90111">
            <w:pPr>
              <w:pStyle w:val="Tabletext"/>
              <w:jc w:val="center"/>
              <w:rPr>
                <w:b/>
                <w:bCs/>
                <w:lang w:eastAsia="zh-CN"/>
              </w:rPr>
            </w:pPr>
          </w:p>
        </w:tc>
        <w:tc>
          <w:tcPr>
            <w:tcW w:w="1320" w:type="dxa"/>
            <w:tcBorders>
              <w:top w:val="nil"/>
              <w:left w:val="nil"/>
              <w:bottom w:val="nil"/>
              <w:right w:val="nil"/>
            </w:tcBorders>
            <w:shd w:val="clear" w:color="auto" w:fill="auto"/>
            <w:noWrap/>
            <w:vAlign w:val="bottom"/>
            <w:hideMark/>
          </w:tcPr>
          <w:p w14:paraId="57DE9EAC" w14:textId="5361E643" w:rsidR="00E15020" w:rsidRPr="00DF1268" w:rsidRDefault="00E15020" w:rsidP="00C90111">
            <w:pPr>
              <w:pStyle w:val="Tabletext"/>
              <w:jc w:val="right"/>
              <w:rPr>
                <w:b/>
                <w:bCs/>
                <w:color w:val="000000"/>
                <w:lang w:eastAsia="zh-CN"/>
              </w:rPr>
            </w:pPr>
          </w:p>
        </w:tc>
      </w:tr>
    </w:tbl>
    <w:p w14:paraId="66F17F63" w14:textId="0F6F2FB0" w:rsidR="00E15020" w:rsidRDefault="00E15020" w:rsidP="00C3725C">
      <w:pPr>
        <w:tabs>
          <w:tab w:val="clear" w:pos="567"/>
          <w:tab w:val="clear" w:pos="1134"/>
          <w:tab w:val="clear" w:pos="1701"/>
          <w:tab w:val="clear" w:pos="2268"/>
          <w:tab w:val="clear" w:pos="2835"/>
        </w:tabs>
        <w:overflowPunct/>
        <w:autoSpaceDE/>
        <w:autoSpaceDN/>
        <w:adjustRightInd/>
        <w:spacing w:before="0"/>
        <w:textAlignment w:val="auto"/>
        <w:rPr>
          <w:b/>
        </w:rPr>
      </w:pPr>
      <w:r w:rsidRPr="00E15020">
        <w:rPr>
          <w:b/>
          <w:noProof/>
        </w:rPr>
        <w:drawing>
          <wp:inline distT="0" distB="0" distL="0" distR="0" wp14:anchorId="3785272A" wp14:editId="65E0FA33">
            <wp:extent cx="5760085" cy="2245360"/>
            <wp:effectExtent l="0" t="0" r="5715" b="2540"/>
            <wp:docPr id="105787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5127" name=""/>
                    <pic:cNvPicPr/>
                  </pic:nvPicPr>
                  <pic:blipFill>
                    <a:blip r:embed="rId12"/>
                    <a:stretch>
                      <a:fillRect/>
                    </a:stretch>
                  </pic:blipFill>
                  <pic:spPr>
                    <a:xfrm>
                      <a:off x="0" y="0"/>
                      <a:ext cx="5760085" cy="2245360"/>
                    </a:xfrm>
                    <a:prstGeom prst="rect">
                      <a:avLst/>
                    </a:prstGeom>
                  </pic:spPr>
                </pic:pic>
              </a:graphicData>
            </a:graphic>
          </wp:inline>
        </w:drawing>
      </w:r>
    </w:p>
    <w:p w14:paraId="55AC5711" w14:textId="77777777" w:rsidR="00E15020" w:rsidRDefault="00E15020" w:rsidP="00C3725C">
      <w:pPr>
        <w:tabs>
          <w:tab w:val="clear" w:pos="567"/>
          <w:tab w:val="clear" w:pos="1134"/>
          <w:tab w:val="clear" w:pos="1701"/>
          <w:tab w:val="clear" w:pos="2268"/>
          <w:tab w:val="clear" w:pos="2835"/>
        </w:tabs>
        <w:overflowPunct/>
        <w:autoSpaceDE/>
        <w:autoSpaceDN/>
        <w:adjustRightInd/>
        <w:spacing w:before="0"/>
        <w:textAlignment w:val="auto"/>
        <w:rPr>
          <w:b/>
        </w:rPr>
      </w:pPr>
    </w:p>
    <w:p w14:paraId="03ED6404" w14:textId="57109F0D" w:rsidR="00E15020" w:rsidRDefault="00E15020" w:rsidP="00E15020">
      <w:pPr>
        <w:tabs>
          <w:tab w:val="clear" w:pos="567"/>
          <w:tab w:val="clear" w:pos="1134"/>
          <w:tab w:val="clear" w:pos="1701"/>
          <w:tab w:val="clear" w:pos="2268"/>
          <w:tab w:val="clear" w:pos="2835"/>
        </w:tabs>
        <w:overflowPunct/>
        <w:autoSpaceDE/>
        <w:autoSpaceDN/>
        <w:adjustRightInd/>
        <w:spacing w:before="0"/>
        <w:textAlignment w:val="auto"/>
      </w:pPr>
      <w:r>
        <w:rPr>
          <w:rFonts w:eastAsia="SimSun"/>
          <w:lang w:val="en-US" w:eastAsia="zh-CN"/>
        </w:rPr>
        <w:t>4</w:t>
      </w:r>
      <w:r>
        <w:tab/>
        <w:t>Table 3 provides the breakdown of the General Secretariat</w:t>
      </w:r>
      <w:r w:rsidRPr="00E15020">
        <w:t xml:space="preserve"> reallocated costs</w:t>
      </w:r>
      <w:r>
        <w:t>:</w:t>
      </w:r>
    </w:p>
    <w:tbl>
      <w:tblPr>
        <w:tblW w:w="8640" w:type="dxa"/>
        <w:jc w:val="center"/>
        <w:tblLook w:val="04A0" w:firstRow="1" w:lastRow="0" w:firstColumn="1" w:lastColumn="0" w:noHBand="0" w:noVBand="1"/>
      </w:tblPr>
      <w:tblGrid>
        <w:gridCol w:w="7320"/>
        <w:gridCol w:w="1320"/>
      </w:tblGrid>
      <w:tr w:rsidR="00E15020" w:rsidRPr="00DF1268" w14:paraId="605450EE" w14:textId="77777777" w:rsidTr="00C90111">
        <w:trPr>
          <w:cantSplit/>
          <w:jc w:val="center"/>
        </w:trPr>
        <w:tc>
          <w:tcPr>
            <w:tcW w:w="7320" w:type="dxa"/>
            <w:tcBorders>
              <w:top w:val="nil"/>
              <w:left w:val="nil"/>
              <w:bottom w:val="nil"/>
              <w:right w:val="nil"/>
            </w:tcBorders>
            <w:shd w:val="clear" w:color="auto" w:fill="auto"/>
            <w:noWrap/>
            <w:vAlign w:val="bottom"/>
            <w:hideMark/>
          </w:tcPr>
          <w:p w14:paraId="59F0BB06" w14:textId="77777777" w:rsidR="00E15020" w:rsidRDefault="00E15020" w:rsidP="00C90111">
            <w:pPr>
              <w:pStyle w:val="Tabletext"/>
              <w:jc w:val="center"/>
              <w:rPr>
                <w:b/>
                <w:bCs/>
                <w:lang w:eastAsia="zh-CN"/>
              </w:rPr>
            </w:pPr>
          </w:p>
          <w:p w14:paraId="6DCB7BFE" w14:textId="576A3B4E" w:rsidR="00E15020" w:rsidRDefault="00E15020" w:rsidP="00C90111">
            <w:pPr>
              <w:pStyle w:val="Tabletext"/>
              <w:jc w:val="center"/>
              <w:rPr>
                <w:b/>
                <w:bCs/>
                <w:lang w:eastAsia="zh-CN"/>
              </w:rPr>
            </w:pPr>
            <w:r w:rsidRPr="00DF1268">
              <w:rPr>
                <w:b/>
                <w:bCs/>
                <w:lang w:eastAsia="zh-CN"/>
              </w:rPr>
              <w:t xml:space="preserve">Table </w:t>
            </w:r>
            <w:r>
              <w:rPr>
                <w:b/>
                <w:bCs/>
                <w:lang w:eastAsia="zh-CN"/>
              </w:rPr>
              <w:t>3</w:t>
            </w:r>
          </w:p>
          <w:p w14:paraId="3260AF71" w14:textId="77777777" w:rsidR="00E15020" w:rsidRPr="00DF1268" w:rsidRDefault="00E15020" w:rsidP="00C90111">
            <w:pPr>
              <w:pStyle w:val="Tabletext"/>
              <w:jc w:val="center"/>
              <w:rPr>
                <w:b/>
                <w:bCs/>
                <w:lang w:eastAsia="zh-CN"/>
              </w:rPr>
            </w:pPr>
          </w:p>
        </w:tc>
        <w:tc>
          <w:tcPr>
            <w:tcW w:w="1320" w:type="dxa"/>
            <w:tcBorders>
              <w:top w:val="nil"/>
              <w:left w:val="nil"/>
              <w:bottom w:val="nil"/>
              <w:right w:val="nil"/>
            </w:tcBorders>
            <w:shd w:val="clear" w:color="auto" w:fill="auto"/>
            <w:noWrap/>
            <w:vAlign w:val="bottom"/>
            <w:hideMark/>
          </w:tcPr>
          <w:p w14:paraId="423758BE" w14:textId="1DB1A77C" w:rsidR="00E15020" w:rsidRPr="00DF1268" w:rsidRDefault="00E15020" w:rsidP="00C90111">
            <w:pPr>
              <w:pStyle w:val="Tabletext"/>
              <w:jc w:val="right"/>
              <w:rPr>
                <w:b/>
                <w:bCs/>
                <w:color w:val="000000"/>
                <w:lang w:eastAsia="zh-CN"/>
              </w:rPr>
            </w:pPr>
          </w:p>
        </w:tc>
      </w:tr>
    </w:tbl>
    <w:p w14:paraId="65DE061A" w14:textId="78C11F48" w:rsidR="00E15020" w:rsidRDefault="00E15020" w:rsidP="00C3725C">
      <w:pPr>
        <w:tabs>
          <w:tab w:val="clear" w:pos="567"/>
          <w:tab w:val="clear" w:pos="1134"/>
          <w:tab w:val="clear" w:pos="1701"/>
          <w:tab w:val="clear" w:pos="2268"/>
          <w:tab w:val="clear" w:pos="2835"/>
        </w:tabs>
        <w:overflowPunct/>
        <w:autoSpaceDE/>
        <w:autoSpaceDN/>
        <w:adjustRightInd/>
        <w:spacing w:before="0"/>
        <w:textAlignment w:val="auto"/>
        <w:rPr>
          <w:b/>
        </w:rPr>
      </w:pPr>
      <w:r w:rsidRPr="00E15020">
        <w:rPr>
          <w:b/>
          <w:noProof/>
        </w:rPr>
        <w:drawing>
          <wp:inline distT="0" distB="0" distL="0" distR="0" wp14:anchorId="23DA02CC" wp14:editId="4041E93D">
            <wp:extent cx="5760085" cy="2496820"/>
            <wp:effectExtent l="0" t="0" r="5715" b="5080"/>
            <wp:docPr id="1756851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51228" name=""/>
                    <pic:cNvPicPr/>
                  </pic:nvPicPr>
                  <pic:blipFill>
                    <a:blip r:embed="rId13"/>
                    <a:stretch>
                      <a:fillRect/>
                    </a:stretch>
                  </pic:blipFill>
                  <pic:spPr>
                    <a:xfrm>
                      <a:off x="0" y="0"/>
                      <a:ext cx="5760085" cy="2496820"/>
                    </a:xfrm>
                    <a:prstGeom prst="rect">
                      <a:avLst/>
                    </a:prstGeom>
                  </pic:spPr>
                </pic:pic>
              </a:graphicData>
            </a:graphic>
          </wp:inline>
        </w:drawing>
      </w:r>
    </w:p>
    <w:p w14:paraId="2E84E419" w14:textId="77777777" w:rsidR="00E15020" w:rsidRDefault="00E15020" w:rsidP="00C3725C">
      <w:pPr>
        <w:tabs>
          <w:tab w:val="clear" w:pos="567"/>
          <w:tab w:val="clear" w:pos="1134"/>
          <w:tab w:val="clear" w:pos="1701"/>
          <w:tab w:val="clear" w:pos="2268"/>
          <w:tab w:val="clear" w:pos="2835"/>
        </w:tabs>
        <w:overflowPunct/>
        <w:autoSpaceDE/>
        <w:autoSpaceDN/>
        <w:adjustRightInd/>
        <w:spacing w:before="0"/>
        <w:textAlignment w:val="auto"/>
        <w:rPr>
          <w:b/>
        </w:rPr>
      </w:pPr>
    </w:p>
    <w:p w14:paraId="1F6B067F" w14:textId="3651BD62" w:rsidR="00E15020" w:rsidRDefault="00E15020">
      <w:pPr>
        <w:tabs>
          <w:tab w:val="clear" w:pos="567"/>
          <w:tab w:val="clear" w:pos="1134"/>
          <w:tab w:val="clear" w:pos="1701"/>
          <w:tab w:val="clear" w:pos="2268"/>
          <w:tab w:val="clear" w:pos="2835"/>
        </w:tabs>
        <w:overflowPunct/>
        <w:autoSpaceDE/>
        <w:autoSpaceDN/>
        <w:adjustRightInd/>
        <w:spacing w:before="0"/>
        <w:textAlignment w:val="auto"/>
        <w:rPr>
          <w:b/>
        </w:rPr>
      </w:pPr>
      <w:r>
        <w:rPr>
          <w:b/>
        </w:rPr>
        <w:br w:type="page"/>
      </w:r>
    </w:p>
    <w:tbl>
      <w:tblPr>
        <w:tblW w:w="8640" w:type="dxa"/>
        <w:jc w:val="center"/>
        <w:tblLook w:val="04A0" w:firstRow="1" w:lastRow="0" w:firstColumn="1" w:lastColumn="0" w:noHBand="0" w:noVBand="1"/>
      </w:tblPr>
      <w:tblGrid>
        <w:gridCol w:w="7320"/>
        <w:gridCol w:w="1320"/>
      </w:tblGrid>
      <w:tr w:rsidR="00E15020" w:rsidRPr="00DF1268" w14:paraId="3BB28235" w14:textId="77777777" w:rsidTr="00E15020">
        <w:trPr>
          <w:cantSplit/>
          <w:jc w:val="center"/>
        </w:trPr>
        <w:tc>
          <w:tcPr>
            <w:tcW w:w="7320" w:type="dxa"/>
            <w:tcBorders>
              <w:top w:val="nil"/>
              <w:left w:val="nil"/>
              <w:bottom w:val="nil"/>
              <w:right w:val="nil"/>
            </w:tcBorders>
            <w:shd w:val="clear" w:color="auto" w:fill="auto"/>
            <w:noWrap/>
            <w:vAlign w:val="bottom"/>
            <w:hideMark/>
          </w:tcPr>
          <w:p w14:paraId="38142BCD" w14:textId="07056B6E" w:rsidR="00E15020" w:rsidRDefault="00E15020" w:rsidP="00C90111">
            <w:pPr>
              <w:pStyle w:val="Tabletext"/>
              <w:jc w:val="center"/>
              <w:rPr>
                <w:b/>
                <w:bCs/>
                <w:lang w:eastAsia="zh-CN"/>
              </w:rPr>
            </w:pPr>
            <w:r w:rsidRPr="00DF1268">
              <w:rPr>
                <w:b/>
                <w:bCs/>
                <w:lang w:eastAsia="zh-CN"/>
              </w:rPr>
              <w:lastRenderedPageBreak/>
              <w:t xml:space="preserve">Table </w:t>
            </w:r>
            <w:r>
              <w:rPr>
                <w:b/>
                <w:bCs/>
                <w:lang w:eastAsia="zh-CN"/>
              </w:rPr>
              <w:t>3 (continued)</w:t>
            </w:r>
          </w:p>
          <w:p w14:paraId="78E11E80" w14:textId="77777777" w:rsidR="00E15020" w:rsidRPr="00DF1268" w:rsidRDefault="00E15020" w:rsidP="00C90111">
            <w:pPr>
              <w:pStyle w:val="Tabletext"/>
              <w:jc w:val="center"/>
              <w:rPr>
                <w:b/>
                <w:bCs/>
                <w:lang w:eastAsia="zh-CN"/>
              </w:rPr>
            </w:pPr>
          </w:p>
        </w:tc>
        <w:tc>
          <w:tcPr>
            <w:tcW w:w="1320" w:type="dxa"/>
            <w:tcBorders>
              <w:top w:val="nil"/>
              <w:left w:val="nil"/>
              <w:bottom w:val="nil"/>
              <w:right w:val="nil"/>
            </w:tcBorders>
            <w:shd w:val="clear" w:color="auto" w:fill="auto"/>
            <w:noWrap/>
            <w:vAlign w:val="bottom"/>
          </w:tcPr>
          <w:p w14:paraId="6F5C1C31" w14:textId="75F703A5" w:rsidR="00E15020" w:rsidRPr="00DF1268" w:rsidRDefault="00E15020" w:rsidP="00C90111">
            <w:pPr>
              <w:pStyle w:val="Tabletext"/>
              <w:jc w:val="right"/>
              <w:rPr>
                <w:b/>
                <w:bCs/>
                <w:color w:val="000000"/>
                <w:lang w:eastAsia="zh-CN"/>
              </w:rPr>
            </w:pPr>
          </w:p>
        </w:tc>
      </w:tr>
    </w:tbl>
    <w:p w14:paraId="78DB1E82" w14:textId="7BA46DB5" w:rsidR="00E15020" w:rsidRDefault="00E15020" w:rsidP="00C3725C">
      <w:pPr>
        <w:tabs>
          <w:tab w:val="clear" w:pos="567"/>
          <w:tab w:val="clear" w:pos="1134"/>
          <w:tab w:val="clear" w:pos="1701"/>
          <w:tab w:val="clear" w:pos="2268"/>
          <w:tab w:val="clear" w:pos="2835"/>
        </w:tabs>
        <w:overflowPunct/>
        <w:autoSpaceDE/>
        <w:autoSpaceDN/>
        <w:adjustRightInd/>
        <w:spacing w:before="0"/>
        <w:textAlignment w:val="auto"/>
        <w:rPr>
          <w:b/>
        </w:rPr>
      </w:pPr>
      <w:r w:rsidRPr="00E15020">
        <w:rPr>
          <w:b/>
          <w:noProof/>
        </w:rPr>
        <w:drawing>
          <wp:inline distT="0" distB="0" distL="0" distR="0" wp14:anchorId="6E11A52C" wp14:editId="13964418">
            <wp:extent cx="5760085" cy="3621405"/>
            <wp:effectExtent l="0" t="0" r="5715" b="0"/>
            <wp:docPr id="149537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78622" name=""/>
                    <pic:cNvPicPr/>
                  </pic:nvPicPr>
                  <pic:blipFill>
                    <a:blip r:embed="rId14"/>
                    <a:stretch>
                      <a:fillRect/>
                    </a:stretch>
                  </pic:blipFill>
                  <pic:spPr>
                    <a:xfrm>
                      <a:off x="0" y="0"/>
                      <a:ext cx="5760085" cy="3621405"/>
                    </a:xfrm>
                    <a:prstGeom prst="rect">
                      <a:avLst/>
                    </a:prstGeom>
                  </pic:spPr>
                </pic:pic>
              </a:graphicData>
            </a:graphic>
          </wp:inline>
        </w:drawing>
      </w:r>
    </w:p>
    <w:p w14:paraId="39C340F5" w14:textId="77777777" w:rsidR="00E15020" w:rsidRDefault="00E15020" w:rsidP="00C3725C">
      <w:pPr>
        <w:tabs>
          <w:tab w:val="clear" w:pos="567"/>
          <w:tab w:val="clear" w:pos="1134"/>
          <w:tab w:val="clear" w:pos="1701"/>
          <w:tab w:val="clear" w:pos="2268"/>
          <w:tab w:val="clear" w:pos="2835"/>
        </w:tabs>
        <w:overflowPunct/>
        <w:autoSpaceDE/>
        <w:autoSpaceDN/>
        <w:adjustRightInd/>
        <w:spacing w:before="0"/>
        <w:textAlignment w:val="auto"/>
        <w:rPr>
          <w:b/>
        </w:rPr>
      </w:pPr>
    </w:p>
    <w:p w14:paraId="36C8A673" w14:textId="77B8295B" w:rsidR="00E15020" w:rsidRDefault="00E15020" w:rsidP="00E15020">
      <w:pPr>
        <w:tabs>
          <w:tab w:val="clear" w:pos="567"/>
          <w:tab w:val="clear" w:pos="1134"/>
          <w:tab w:val="clear" w:pos="1701"/>
          <w:tab w:val="clear" w:pos="2268"/>
          <w:tab w:val="clear" w:pos="2835"/>
        </w:tabs>
        <w:overflowPunct/>
        <w:autoSpaceDE/>
        <w:autoSpaceDN/>
        <w:adjustRightInd/>
        <w:spacing w:before="0"/>
        <w:textAlignment w:val="auto"/>
      </w:pPr>
      <w:r>
        <w:rPr>
          <w:rFonts w:eastAsia="SimSun"/>
          <w:lang w:val="en-US" w:eastAsia="zh-CN"/>
        </w:rPr>
        <w:t>5</w:t>
      </w:r>
      <w:r>
        <w:tab/>
        <w:t>Table 4 provides the full cost breakdown by category:</w:t>
      </w:r>
    </w:p>
    <w:p w14:paraId="2B1D20BC" w14:textId="05AA407D" w:rsidR="00E15020" w:rsidRDefault="00E15020" w:rsidP="00C3725C">
      <w:pPr>
        <w:tabs>
          <w:tab w:val="clear" w:pos="567"/>
          <w:tab w:val="clear" w:pos="1134"/>
          <w:tab w:val="clear" w:pos="1701"/>
          <w:tab w:val="clear" w:pos="2268"/>
          <w:tab w:val="clear" w:pos="2835"/>
        </w:tabs>
        <w:overflowPunct/>
        <w:autoSpaceDE/>
        <w:autoSpaceDN/>
        <w:adjustRightInd/>
        <w:spacing w:before="0"/>
        <w:textAlignment w:val="auto"/>
        <w:rPr>
          <w:b/>
        </w:rPr>
      </w:pPr>
    </w:p>
    <w:p w14:paraId="18E47BD1" w14:textId="153F6263" w:rsidR="00E15020" w:rsidRPr="00E15020" w:rsidRDefault="00E15020" w:rsidP="00E15020">
      <w:pPr>
        <w:pStyle w:val="Tabletext"/>
        <w:jc w:val="center"/>
        <w:rPr>
          <w:b/>
          <w:bCs/>
          <w:lang w:eastAsia="zh-CN"/>
        </w:rPr>
      </w:pPr>
      <w:r w:rsidRPr="00E15020">
        <w:rPr>
          <w:b/>
          <w:bCs/>
          <w:lang w:eastAsia="zh-CN"/>
        </w:rPr>
        <w:t>Table 4</w:t>
      </w:r>
    </w:p>
    <w:p w14:paraId="791A4B55" w14:textId="77777777" w:rsidR="00E15020" w:rsidRPr="00E15020" w:rsidRDefault="00E15020" w:rsidP="00E15020">
      <w:pPr>
        <w:pStyle w:val="Tabletext"/>
        <w:jc w:val="center"/>
        <w:rPr>
          <w:b/>
          <w:bCs/>
          <w:lang w:eastAsia="zh-CN"/>
        </w:rPr>
      </w:pPr>
    </w:p>
    <w:p w14:paraId="01E5E2A5" w14:textId="6A024471" w:rsidR="00E15020" w:rsidRDefault="00E15020" w:rsidP="64DA550D">
      <w:pPr>
        <w:tabs>
          <w:tab w:val="clear" w:pos="567"/>
          <w:tab w:val="clear" w:pos="1134"/>
          <w:tab w:val="clear" w:pos="1701"/>
          <w:tab w:val="clear" w:pos="2268"/>
          <w:tab w:val="clear" w:pos="2835"/>
        </w:tabs>
        <w:overflowPunct/>
        <w:autoSpaceDE/>
        <w:autoSpaceDN/>
        <w:adjustRightInd/>
        <w:spacing w:before="0"/>
        <w:textAlignment w:val="auto"/>
        <w:rPr>
          <w:b/>
          <w:bCs/>
        </w:rPr>
      </w:pPr>
      <w:r w:rsidRPr="00E15020">
        <w:rPr>
          <w:b/>
          <w:noProof/>
        </w:rPr>
        <w:drawing>
          <wp:inline distT="0" distB="0" distL="0" distR="0" wp14:anchorId="74089C5B" wp14:editId="13ACC8CA">
            <wp:extent cx="5760085" cy="793115"/>
            <wp:effectExtent l="0" t="0" r="5715" b="0"/>
            <wp:docPr id="184043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30450" name=""/>
                    <pic:cNvPicPr/>
                  </pic:nvPicPr>
                  <pic:blipFill>
                    <a:blip r:embed="rId15"/>
                    <a:stretch>
                      <a:fillRect/>
                    </a:stretch>
                  </pic:blipFill>
                  <pic:spPr>
                    <a:xfrm>
                      <a:off x="0" y="0"/>
                      <a:ext cx="5760085" cy="793115"/>
                    </a:xfrm>
                    <a:prstGeom prst="rect">
                      <a:avLst/>
                    </a:prstGeom>
                  </pic:spPr>
                </pic:pic>
              </a:graphicData>
            </a:graphic>
          </wp:inline>
        </w:drawing>
      </w:r>
      <w:bookmarkEnd w:id="5"/>
      <w:bookmarkEnd w:id="10"/>
    </w:p>
    <w:p w14:paraId="2D44DCAA" w14:textId="407EAC2E" w:rsidR="00B978B6" w:rsidRPr="00B978B6" w:rsidRDefault="00B978B6" w:rsidP="00B978B6">
      <w:pPr>
        <w:tabs>
          <w:tab w:val="clear" w:pos="567"/>
          <w:tab w:val="clear" w:pos="1134"/>
          <w:tab w:val="clear" w:pos="1701"/>
          <w:tab w:val="clear" w:pos="2268"/>
          <w:tab w:val="clear" w:pos="2835"/>
        </w:tabs>
        <w:overflowPunct/>
        <w:autoSpaceDE/>
        <w:autoSpaceDN/>
        <w:adjustRightInd/>
        <w:spacing w:before="720"/>
        <w:jc w:val="center"/>
        <w:textAlignment w:val="auto"/>
      </w:pPr>
      <w:r w:rsidRPr="00B978B6">
        <w:t>_________________</w:t>
      </w:r>
    </w:p>
    <w:sectPr w:rsidR="00B978B6" w:rsidRPr="00B978B6" w:rsidSect="00AD3606">
      <w:footerReference w:type="default" r:id="rId16"/>
      <w:headerReference w:type="first" r:id="rId17"/>
      <w:footerReference w:type="first" r:id="rId18"/>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A2F7E" w14:textId="77777777" w:rsidR="00EF185F" w:rsidRDefault="00EF185F">
      <w:r>
        <w:separator/>
      </w:r>
    </w:p>
  </w:endnote>
  <w:endnote w:type="continuationSeparator" w:id="0">
    <w:p w14:paraId="42F45B5D" w14:textId="77777777" w:rsidR="00EF185F" w:rsidRDefault="00EF185F">
      <w:r>
        <w:continuationSeparator/>
      </w:r>
    </w:p>
  </w:endnote>
  <w:endnote w:type="continuationNotice" w:id="1">
    <w:p w14:paraId="1B03D7D4" w14:textId="77777777" w:rsidR="002E5E4A" w:rsidRDefault="002E5E4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B248BC" w14:paraId="708781C8" w14:textId="77777777" w:rsidTr="0042469C">
      <w:trPr>
        <w:jc w:val="center"/>
      </w:trPr>
      <w:tc>
        <w:tcPr>
          <w:tcW w:w="1803" w:type="dxa"/>
          <w:vAlign w:val="center"/>
        </w:tcPr>
        <w:p w14:paraId="78E9F95F" w14:textId="77777777" w:rsidR="00EE49E8" w:rsidRDefault="00EE49E8" w:rsidP="00EE49E8">
          <w:pPr>
            <w:pStyle w:val="Header"/>
            <w:jc w:val="left"/>
            <w:rPr>
              <w:noProof/>
            </w:rPr>
          </w:pPr>
        </w:p>
      </w:tc>
      <w:tc>
        <w:tcPr>
          <w:tcW w:w="8261" w:type="dxa"/>
        </w:tcPr>
        <w:p w14:paraId="4310A49A" w14:textId="536F103E" w:rsidR="00EE49E8" w:rsidRPr="00BA3A51" w:rsidRDefault="00EE49E8" w:rsidP="000F6AB8">
          <w:pPr>
            <w:pStyle w:val="Header"/>
            <w:tabs>
              <w:tab w:val="left" w:pos="6309"/>
              <w:tab w:val="right" w:pos="8505"/>
              <w:tab w:val="right" w:pos="9639"/>
            </w:tabs>
            <w:jc w:val="left"/>
            <w:rPr>
              <w:rFonts w:ascii="Arial" w:hAnsi="Arial" w:cs="Arial"/>
              <w:b/>
              <w:bCs/>
              <w:szCs w:val="18"/>
              <w:lang w:val="fr-CH"/>
            </w:rPr>
          </w:pPr>
          <w:r w:rsidRPr="005C13D4">
            <w:rPr>
              <w:bCs/>
              <w:lang w:val="fr-CH"/>
            </w:rPr>
            <w:tab/>
          </w:r>
          <w:r w:rsidR="00A52C84" w:rsidRPr="00BA3A51">
            <w:rPr>
              <w:bCs/>
              <w:lang w:val="fr-CH"/>
            </w:rPr>
            <w:t>CWG-</w:t>
          </w:r>
          <w:r w:rsidR="000F6AB8">
            <w:rPr>
              <w:bCs/>
              <w:lang w:val="fr-CH"/>
            </w:rPr>
            <w:t>FHR</w:t>
          </w:r>
          <w:r w:rsidR="00A52C84" w:rsidRPr="00BA3A51">
            <w:rPr>
              <w:bCs/>
              <w:lang w:val="fr-CH"/>
            </w:rPr>
            <w:t>-</w:t>
          </w:r>
          <w:r w:rsidR="0025570E">
            <w:rPr>
              <w:bCs/>
              <w:lang w:val="fr-CH"/>
            </w:rPr>
            <w:t>2</w:t>
          </w:r>
          <w:r w:rsidR="000F6AB8">
            <w:rPr>
              <w:bCs/>
              <w:lang w:val="fr-CH"/>
            </w:rPr>
            <w:t>0/</w:t>
          </w:r>
          <w:r w:rsidR="00B978B6">
            <w:rPr>
              <w:bCs/>
              <w:lang w:val="fr-CH"/>
            </w:rPr>
            <w:t>10</w:t>
          </w:r>
          <w:r w:rsidR="00A52C84" w:rsidRPr="00BA3A51">
            <w:rPr>
              <w:bCs/>
              <w:lang w:val="fr-CH"/>
            </w:rPr>
            <w:t>-E</w:t>
          </w:r>
          <w:r w:rsidRPr="00BA3A51">
            <w:rPr>
              <w:bCs/>
              <w:lang w:val="fr-CH"/>
            </w:rPr>
            <w:tab/>
          </w:r>
          <w:r>
            <w:fldChar w:fldCharType="begin"/>
          </w:r>
          <w:r w:rsidRPr="00BA3A51">
            <w:rPr>
              <w:lang w:val="fr-CH"/>
            </w:rPr>
            <w:instrText>PAGE</w:instrText>
          </w:r>
          <w:r>
            <w:fldChar w:fldCharType="separate"/>
          </w:r>
          <w:r w:rsidRPr="00BA3A51">
            <w:rPr>
              <w:lang w:val="fr-CH"/>
            </w:rPr>
            <w:t>1</w:t>
          </w:r>
          <w:r>
            <w:rPr>
              <w:noProof/>
            </w:rPr>
            <w:fldChar w:fldCharType="end"/>
          </w:r>
        </w:p>
      </w:tc>
    </w:tr>
  </w:tbl>
  <w:p w14:paraId="198ACDB2" w14:textId="77777777" w:rsidR="00EE49E8" w:rsidRPr="00BA3A51" w:rsidRDefault="00EE49E8" w:rsidP="00EE49E8">
    <w:pPr>
      <w:pStyle w:val="Header"/>
      <w:tabs>
        <w:tab w:val="left" w:pos="8080"/>
        <w:tab w:val="right" w:pos="9072"/>
      </w:tabs>
      <w:jc w:val="left"/>
      <w:rPr>
        <w:bCs/>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0F6AB8" w14:paraId="13412AA9" w14:textId="77777777" w:rsidTr="00A52C84">
      <w:trPr>
        <w:jc w:val="center"/>
      </w:trPr>
      <w:tc>
        <w:tcPr>
          <w:tcW w:w="3107" w:type="dxa"/>
          <w:vAlign w:val="center"/>
        </w:tcPr>
        <w:p w14:paraId="62C43139" w14:textId="77777777" w:rsidR="00EE49E8" w:rsidRPr="00191EA3" w:rsidRDefault="0025570E" w:rsidP="00EE49E8">
          <w:pPr>
            <w:pStyle w:val="Header"/>
            <w:jc w:val="left"/>
            <w:rPr>
              <w:noProof/>
            </w:rPr>
          </w:pPr>
          <w:hyperlink r:id="rId1" w:history="1">
            <w:r w:rsidRPr="00191EA3">
              <w:rPr>
                <w:rStyle w:val="Hyperlink"/>
                <w:u w:val="none"/>
              </w:rPr>
              <w:t>https://council.itu.int/working-groups</w:t>
            </w:r>
          </w:hyperlink>
        </w:p>
      </w:tc>
      <w:tc>
        <w:tcPr>
          <w:tcW w:w="6957" w:type="dxa"/>
        </w:tcPr>
        <w:p w14:paraId="1BA13A2A" w14:textId="71438706" w:rsidR="00EE49E8" w:rsidRPr="000F6AB8" w:rsidRDefault="00EE49E8" w:rsidP="000F6AB8">
          <w:pPr>
            <w:pStyle w:val="Header"/>
            <w:tabs>
              <w:tab w:val="left" w:pos="5008"/>
              <w:tab w:val="right" w:pos="8505"/>
              <w:tab w:val="right" w:pos="9639"/>
            </w:tabs>
            <w:jc w:val="left"/>
            <w:rPr>
              <w:rFonts w:ascii="Arial" w:hAnsi="Arial" w:cs="Arial"/>
              <w:b/>
              <w:bCs/>
              <w:szCs w:val="18"/>
              <w:lang w:val="es-ES"/>
            </w:rPr>
          </w:pPr>
          <w:r>
            <w:rPr>
              <w:bCs/>
            </w:rPr>
            <w:tab/>
          </w:r>
          <w:r w:rsidRPr="000F6AB8">
            <w:rPr>
              <w:bCs/>
              <w:lang w:val="es-ES"/>
            </w:rPr>
            <w:t>C</w:t>
          </w:r>
          <w:r w:rsidR="00A52C84" w:rsidRPr="000F6AB8">
            <w:rPr>
              <w:bCs/>
              <w:lang w:val="es-ES"/>
            </w:rPr>
            <w:t>WG-</w:t>
          </w:r>
          <w:r w:rsidR="000F6AB8" w:rsidRPr="000F6AB8">
            <w:rPr>
              <w:bCs/>
              <w:lang w:val="es-ES"/>
            </w:rPr>
            <w:t>FHR</w:t>
          </w:r>
          <w:r w:rsidR="00A52C84" w:rsidRPr="000F6AB8">
            <w:rPr>
              <w:bCs/>
              <w:lang w:val="es-ES"/>
            </w:rPr>
            <w:t>-</w:t>
          </w:r>
          <w:r w:rsidR="0025570E" w:rsidRPr="000F6AB8">
            <w:rPr>
              <w:bCs/>
              <w:lang w:val="es-ES"/>
            </w:rPr>
            <w:t>2</w:t>
          </w:r>
          <w:r w:rsidR="000F6AB8">
            <w:rPr>
              <w:bCs/>
              <w:lang w:val="es-ES"/>
            </w:rPr>
            <w:t>0</w:t>
          </w:r>
          <w:r w:rsidRPr="000F6AB8">
            <w:rPr>
              <w:bCs/>
              <w:lang w:val="es-ES"/>
            </w:rPr>
            <w:t>/</w:t>
          </w:r>
          <w:r w:rsidR="00B978B6">
            <w:rPr>
              <w:bCs/>
              <w:lang w:val="es-ES"/>
            </w:rPr>
            <w:t>10</w:t>
          </w:r>
          <w:r w:rsidRPr="000F6AB8">
            <w:rPr>
              <w:bCs/>
              <w:lang w:val="es-ES"/>
            </w:rPr>
            <w:t>-E</w:t>
          </w:r>
          <w:r w:rsidRPr="000F6AB8">
            <w:rPr>
              <w:bCs/>
              <w:lang w:val="es-ES"/>
            </w:rPr>
            <w:tab/>
          </w:r>
          <w:r>
            <w:fldChar w:fldCharType="begin"/>
          </w:r>
          <w:r w:rsidRPr="000F6AB8">
            <w:rPr>
              <w:lang w:val="es-ES"/>
            </w:rPr>
            <w:instrText>PAGE</w:instrText>
          </w:r>
          <w:r>
            <w:fldChar w:fldCharType="separate"/>
          </w:r>
          <w:r w:rsidRPr="000F6AB8">
            <w:rPr>
              <w:lang w:val="es-ES"/>
            </w:rPr>
            <w:t>1</w:t>
          </w:r>
          <w:r>
            <w:rPr>
              <w:noProof/>
            </w:rPr>
            <w:fldChar w:fldCharType="end"/>
          </w:r>
        </w:p>
      </w:tc>
    </w:tr>
  </w:tbl>
  <w:p w14:paraId="460E6139" w14:textId="77777777" w:rsidR="00A514A4" w:rsidRPr="000F6AB8" w:rsidRDefault="00A514A4" w:rsidP="00EE49E8">
    <w:pPr>
      <w:pStyle w:val="Header"/>
      <w:tabs>
        <w:tab w:val="left" w:pos="8080"/>
        <w:tab w:val="right" w:pos="9072"/>
      </w:tabs>
      <w:jc w:val="right"/>
      <w:rPr>
        <w:bCs/>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42547" w14:textId="77777777" w:rsidR="00EF185F" w:rsidRDefault="00EF185F">
      <w:r>
        <w:t>____________________</w:t>
      </w:r>
    </w:p>
  </w:footnote>
  <w:footnote w:type="continuationSeparator" w:id="0">
    <w:p w14:paraId="29588BA1" w14:textId="77777777" w:rsidR="00EF185F" w:rsidRDefault="00EF185F">
      <w:r>
        <w:continuationSeparator/>
      </w:r>
    </w:p>
  </w:footnote>
  <w:footnote w:type="continuationNotice" w:id="1">
    <w:p w14:paraId="1AF4649F" w14:textId="77777777" w:rsidR="002E5E4A" w:rsidRDefault="002E5E4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7B9AD9E4" w14:textId="77777777" w:rsidTr="00F74694">
      <w:trPr>
        <w:trHeight w:val="1304"/>
        <w:jc w:val="center"/>
      </w:trPr>
      <w:tc>
        <w:tcPr>
          <w:tcW w:w="6546" w:type="dxa"/>
        </w:tcPr>
        <w:p w14:paraId="4AE2CC87" w14:textId="77777777" w:rsidR="00AD3606" w:rsidRPr="009621F8" w:rsidRDefault="00191EA3" w:rsidP="00130599">
          <w:pPr>
            <w:pStyle w:val="Header"/>
            <w:jc w:val="left"/>
            <w:rPr>
              <w:rFonts w:ascii="Arial" w:hAnsi="Arial" w:cs="Arial"/>
              <w:b/>
              <w:bCs/>
              <w:color w:val="009CD6"/>
              <w:sz w:val="36"/>
              <w:szCs w:val="36"/>
            </w:rPr>
          </w:pPr>
          <w:bookmarkStart w:id="11" w:name="_Hlk133422111"/>
          <w:r w:rsidRPr="00130599">
            <w:rPr>
              <w:rFonts w:ascii="Arial" w:hAnsi="Arial" w:cs="Arial"/>
              <w:b/>
              <w:bCs/>
              <w:noProof/>
              <w:color w:val="009CD6"/>
              <w:szCs w:val="18"/>
            </w:rPr>
            <mc:AlternateContent>
              <mc:Choice Requires="wps">
                <w:drawing>
                  <wp:anchor distT="0" distB="0" distL="114300" distR="114300" simplePos="0" relativeHeight="251658241" behindDoc="0" locked="0" layoutInCell="1" allowOverlap="1" wp14:anchorId="1111B1DC" wp14:editId="6EE0F0AD">
                    <wp:simplePos x="0" y="0"/>
                    <wp:positionH relativeFrom="column">
                      <wp:posOffset>1436426</wp:posOffset>
                    </wp:positionH>
                    <wp:positionV relativeFrom="paragraph">
                      <wp:posOffset>5715</wp:posOffset>
                    </wp:positionV>
                    <wp:extent cx="3999230" cy="471170"/>
                    <wp:effectExtent l="0" t="0" r="127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solidFill>
                              <a:schemeClr val="bg1"/>
                            </a:solidFill>
                            <a:ln w="9525">
                              <a:noFill/>
                              <a:miter lim="800000"/>
                              <a:headEnd/>
                              <a:tailEnd/>
                            </a:ln>
                          </wps:spPr>
                          <wps:txbx>
                            <w:txbxContent>
                              <w:p w14:paraId="57883859" w14:textId="77777777" w:rsidR="00130599" w:rsidRDefault="00A43C03" w:rsidP="000120E4">
                                <w:pPr>
                                  <w:spacing w:before="0"/>
                                </w:pPr>
                                <w:r w:rsidRPr="00F74694">
                                  <w:rPr>
                                    <w:b/>
                                    <w:bCs/>
                                    <w:szCs w:val="24"/>
                                  </w:rPr>
                                  <w:t xml:space="preserve">Council Working Group </w:t>
                                </w:r>
                                <w:r w:rsidRPr="00F74694">
                                  <w:rPr>
                                    <w:b/>
                                    <w:bCs/>
                                    <w:szCs w:val="24"/>
                                  </w:rPr>
                                  <w:br/>
                                  <w:t xml:space="preserve">on </w:t>
                                </w:r>
                                <w:r>
                                  <w:rPr>
                                    <w:b/>
                                    <w:bCs/>
                                    <w:szCs w:val="24"/>
                                  </w:rPr>
                                  <w:t>financial and human resources</w:t>
                                </w:r>
                                <w:r>
                                  <w:br/>
                                </w:r>
                                <w:r w:rsidR="00CB24AA">
                                  <w:rPr>
                                    <w:sz w:val="20"/>
                                  </w:rPr>
                                  <w:t>Twentieth</w:t>
                                </w:r>
                                <w:r w:rsidRPr="00130599">
                                  <w:rPr>
                                    <w:sz w:val="20"/>
                                  </w:rPr>
                                  <w:t xml:space="preserve"> meeting </w:t>
                                </w:r>
                                <w:r>
                                  <w:rPr>
                                    <w:sz w:val="20"/>
                                  </w:rPr>
                                  <w:t xml:space="preserve">– From 17 to </w:t>
                                </w:r>
                                <w:r w:rsidR="00B17995">
                                  <w:rPr>
                                    <w:sz w:val="20"/>
                                  </w:rPr>
                                  <w:t>19</w:t>
                                </w:r>
                                <w:r>
                                  <w:rPr>
                                    <w:sz w:val="20"/>
                                  </w:rPr>
                                  <w:t xml:space="preserve"> February 2025</w:t>
                                </w:r>
                              </w:p>
                            </w:txbxContent>
                          </wps:txbx>
                          <wps:bodyPr rot="0" vert="horz" wrap="square" lIns="36000" tIns="45720" rIns="3600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111B1DC" id="_x0000_t202" coordsize="21600,21600" o:spt="202" path="m,l,21600r21600,l21600,xe">
                    <v:stroke joinstyle="miter"/>
                    <v:path gradientshapeok="t" o:connecttype="rect"/>
                  </v:shapetype>
                  <v:shape id="Text Box 2" o:spid="_x0000_s1026" type="#_x0000_t202" style="position:absolute;margin-left:113.1pt;margin-top:.45pt;width:314.9pt;height:3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" fillcolor="white [3212]" stroked="f">
                    <v:textbox style="mso-fit-shape-to-text:t" inset="1mm,,1mm">
                      <w:txbxContent>
                        <w:p w14:paraId="57883859" w14:textId="77777777" w:rsidR="00130599" w:rsidRDefault="00A43C03" w:rsidP="000120E4">
                          <w:pPr>
                            <w:spacing w:before="0"/>
                          </w:pPr>
                          <w:r w:rsidRPr="00F74694">
                            <w:rPr>
                              <w:b/>
                              <w:bCs/>
                              <w:szCs w:val="24"/>
                            </w:rPr>
                            <w:t xml:space="preserve">Council Working Group </w:t>
                          </w:r>
                          <w:r w:rsidRPr="00F74694">
                            <w:rPr>
                              <w:b/>
                              <w:bCs/>
                              <w:szCs w:val="24"/>
                            </w:rPr>
                            <w:br/>
                            <w:t xml:space="preserve">on </w:t>
                          </w:r>
                          <w:r>
                            <w:rPr>
                              <w:b/>
                              <w:bCs/>
                              <w:szCs w:val="24"/>
                            </w:rPr>
                            <w:t>financial and human resources</w:t>
                          </w:r>
                          <w:r>
                            <w:br/>
                          </w:r>
                          <w:r w:rsidR="00CB24AA">
                            <w:rPr>
                              <w:sz w:val="20"/>
                            </w:rPr>
                            <w:t>Twentieth</w:t>
                          </w:r>
                          <w:r w:rsidRPr="00130599">
                            <w:rPr>
                              <w:sz w:val="20"/>
                            </w:rPr>
                            <w:t xml:space="preserve"> meeting </w:t>
                          </w:r>
                          <w:r>
                            <w:rPr>
                              <w:sz w:val="20"/>
                            </w:rPr>
                            <w:t xml:space="preserve">– From 17 to </w:t>
                          </w:r>
                          <w:r w:rsidR="00B17995">
                            <w:rPr>
                              <w:sz w:val="20"/>
                            </w:rPr>
                            <w:t>19</w:t>
                          </w:r>
                          <w:r>
                            <w:rPr>
                              <w:sz w:val="20"/>
                            </w:rPr>
                            <w:t xml:space="preserve"> February 2025</w:t>
                          </w:r>
                        </w:p>
                      </w:txbxContent>
                    </v:textbox>
                  </v:shape>
                </w:pict>
              </mc:Fallback>
            </mc:AlternateContent>
          </w:r>
          <w:r>
            <w:rPr>
              <w:rFonts w:ascii="Arial" w:hAnsi="Arial" w:cs="Arial"/>
              <w:b/>
              <w:bCs/>
              <w:noProof/>
              <w:color w:val="009CD6"/>
              <w:sz w:val="36"/>
              <w:szCs w:val="36"/>
            </w:rPr>
            <w:drawing>
              <wp:inline distT="0" distB="0" distL="0" distR="0" wp14:anchorId="467E200C" wp14:editId="6FA0484B">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79CD22CB" w14:textId="77777777" w:rsidR="00AD3606" w:rsidRDefault="00AD3606" w:rsidP="00AD3606">
          <w:pPr>
            <w:pStyle w:val="Header"/>
            <w:jc w:val="right"/>
            <w:rPr>
              <w:rFonts w:ascii="Arial" w:hAnsi="Arial" w:cs="Arial"/>
              <w:b/>
              <w:bCs/>
              <w:color w:val="009CD6"/>
              <w:szCs w:val="18"/>
            </w:rPr>
          </w:pPr>
        </w:p>
        <w:p w14:paraId="4DBCB816" w14:textId="77777777" w:rsidR="00AD3606" w:rsidRDefault="00AD3606" w:rsidP="00AD3606">
          <w:pPr>
            <w:pStyle w:val="Header"/>
            <w:jc w:val="right"/>
            <w:rPr>
              <w:rFonts w:ascii="Arial" w:hAnsi="Arial" w:cs="Arial"/>
              <w:b/>
              <w:bCs/>
              <w:color w:val="009CD6"/>
              <w:szCs w:val="18"/>
            </w:rPr>
          </w:pPr>
        </w:p>
        <w:p w14:paraId="5BEF04E0" w14:textId="77777777"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11"/>
  <w:p w14:paraId="7EA5FBD5" w14:textId="77777777"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8240" behindDoc="0" locked="0" layoutInCell="1" allowOverlap="1" wp14:anchorId="73026093" wp14:editId="3D3FE6DB">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74D93" id="Rectangle 5" o:spid="_x0000_s1026" style="position:absolute;margin-left:1.15pt;margin-top:43.75pt;width:7.35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fillcolor="#009cd5" stroked="f">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1617FB"/>
    <w:multiLevelType w:val="hybridMultilevel"/>
    <w:tmpl w:val="12665846"/>
    <w:lvl w:ilvl="0" w:tplc="EED4E4E0">
      <w:numFmt w:val="bullet"/>
      <w:lvlText w:val="-"/>
      <w:lvlJc w:val="left"/>
      <w:pPr>
        <w:ind w:left="1080" w:hanging="360"/>
      </w:pPr>
      <w:rPr>
        <w:rFonts w:ascii="Calibri" w:eastAsia="Times New Roman"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316FC2"/>
    <w:multiLevelType w:val="hybridMultilevel"/>
    <w:tmpl w:val="A2C042A6"/>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4651347"/>
    <w:multiLevelType w:val="hybridMultilevel"/>
    <w:tmpl w:val="7084F62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1CC3724"/>
    <w:multiLevelType w:val="hybridMultilevel"/>
    <w:tmpl w:val="778211A4"/>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5EB5D0D"/>
    <w:multiLevelType w:val="hybridMultilevel"/>
    <w:tmpl w:val="E73EF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64798F"/>
    <w:multiLevelType w:val="hybridMultilevel"/>
    <w:tmpl w:val="4E3824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2651528"/>
    <w:multiLevelType w:val="hybridMultilevel"/>
    <w:tmpl w:val="9CD89436"/>
    <w:lvl w:ilvl="0" w:tplc="583E9F0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95A60E5"/>
    <w:multiLevelType w:val="hybridMultilevel"/>
    <w:tmpl w:val="06AC33E2"/>
    <w:lvl w:ilvl="0" w:tplc="EED4E4E0">
      <w:numFmt w:val="bullet"/>
      <w:lvlText w:val="-"/>
      <w:lvlJc w:val="left"/>
      <w:pPr>
        <w:ind w:left="1080" w:hanging="360"/>
      </w:pPr>
      <w:rPr>
        <w:rFonts w:ascii="Calibri" w:eastAsia="Times New Roman"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DE5376A"/>
    <w:multiLevelType w:val="hybridMultilevel"/>
    <w:tmpl w:val="EC0C396A"/>
    <w:lvl w:ilvl="0" w:tplc="EED4E4E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9271D47"/>
    <w:multiLevelType w:val="hybridMultilevel"/>
    <w:tmpl w:val="D31ED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816267">
    <w:abstractNumId w:val="0"/>
  </w:num>
  <w:num w:numId="2" w16cid:durableId="1264534816">
    <w:abstractNumId w:val="5"/>
  </w:num>
  <w:num w:numId="3" w16cid:durableId="699743713">
    <w:abstractNumId w:val="7"/>
  </w:num>
  <w:num w:numId="4" w16cid:durableId="867565929">
    <w:abstractNumId w:val="2"/>
  </w:num>
  <w:num w:numId="5" w16cid:durableId="1479615251">
    <w:abstractNumId w:val="6"/>
  </w:num>
  <w:num w:numId="6" w16cid:durableId="772826858">
    <w:abstractNumId w:val="9"/>
  </w:num>
  <w:num w:numId="7" w16cid:durableId="1913344965">
    <w:abstractNumId w:val="10"/>
  </w:num>
  <w:num w:numId="8" w16cid:durableId="752625159">
    <w:abstractNumId w:val="1"/>
  </w:num>
  <w:num w:numId="9" w16cid:durableId="690886388">
    <w:abstractNumId w:val="4"/>
  </w:num>
  <w:num w:numId="10" w16cid:durableId="27797729">
    <w:abstractNumId w:val="8"/>
  </w:num>
  <w:num w:numId="11" w16cid:durableId="12664261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AD4"/>
    <w:rsid w:val="000120E4"/>
    <w:rsid w:val="000210D4"/>
    <w:rsid w:val="00063016"/>
    <w:rsid w:val="00066795"/>
    <w:rsid w:val="00076AF6"/>
    <w:rsid w:val="00085CF2"/>
    <w:rsid w:val="000B1705"/>
    <w:rsid w:val="000D75B2"/>
    <w:rsid w:val="000F6AB8"/>
    <w:rsid w:val="001121F5"/>
    <w:rsid w:val="00130599"/>
    <w:rsid w:val="001400DC"/>
    <w:rsid w:val="00140CE1"/>
    <w:rsid w:val="00147C54"/>
    <w:rsid w:val="0017539C"/>
    <w:rsid w:val="00175AC2"/>
    <w:rsid w:val="0017609F"/>
    <w:rsid w:val="00191EA3"/>
    <w:rsid w:val="001A7D1D"/>
    <w:rsid w:val="001B51DD"/>
    <w:rsid w:val="001C3C91"/>
    <w:rsid w:val="001C628E"/>
    <w:rsid w:val="001E0F7B"/>
    <w:rsid w:val="001E0FBE"/>
    <w:rsid w:val="001E5FE7"/>
    <w:rsid w:val="002119FD"/>
    <w:rsid w:val="002130E0"/>
    <w:rsid w:val="00244F7F"/>
    <w:rsid w:val="0025570E"/>
    <w:rsid w:val="002608B7"/>
    <w:rsid w:val="00264425"/>
    <w:rsid w:val="00264D68"/>
    <w:rsid w:val="00265875"/>
    <w:rsid w:val="0027303B"/>
    <w:rsid w:val="0028109B"/>
    <w:rsid w:val="002A2188"/>
    <w:rsid w:val="002B1F58"/>
    <w:rsid w:val="002C1C7A"/>
    <w:rsid w:val="002C54E2"/>
    <w:rsid w:val="002C7D59"/>
    <w:rsid w:val="002E0AC3"/>
    <w:rsid w:val="002E5E4A"/>
    <w:rsid w:val="002F149C"/>
    <w:rsid w:val="0030160F"/>
    <w:rsid w:val="00301AEE"/>
    <w:rsid w:val="003145DF"/>
    <w:rsid w:val="00320223"/>
    <w:rsid w:val="00322B41"/>
    <w:rsid w:val="00322D0D"/>
    <w:rsid w:val="00361465"/>
    <w:rsid w:val="003877F5"/>
    <w:rsid w:val="003942D4"/>
    <w:rsid w:val="0039514F"/>
    <w:rsid w:val="003958A8"/>
    <w:rsid w:val="003B29C2"/>
    <w:rsid w:val="003B6044"/>
    <w:rsid w:val="003C20CA"/>
    <w:rsid w:val="003C2533"/>
    <w:rsid w:val="003D1E13"/>
    <w:rsid w:val="003D5A7F"/>
    <w:rsid w:val="003D635C"/>
    <w:rsid w:val="004016E2"/>
    <w:rsid w:val="0040435A"/>
    <w:rsid w:val="00416A24"/>
    <w:rsid w:val="0042059E"/>
    <w:rsid w:val="00431D9E"/>
    <w:rsid w:val="00433CE8"/>
    <w:rsid w:val="00434A5C"/>
    <w:rsid w:val="004544D9"/>
    <w:rsid w:val="00472BAD"/>
    <w:rsid w:val="004807FC"/>
    <w:rsid w:val="00484009"/>
    <w:rsid w:val="00490E72"/>
    <w:rsid w:val="00491157"/>
    <w:rsid w:val="004921C8"/>
    <w:rsid w:val="00495B0B"/>
    <w:rsid w:val="004A1B8B"/>
    <w:rsid w:val="004D1851"/>
    <w:rsid w:val="004D599D"/>
    <w:rsid w:val="004E2EA5"/>
    <w:rsid w:val="004E3AEB"/>
    <w:rsid w:val="004F3819"/>
    <w:rsid w:val="0050223C"/>
    <w:rsid w:val="005243FF"/>
    <w:rsid w:val="005311D6"/>
    <w:rsid w:val="00536422"/>
    <w:rsid w:val="00564FBC"/>
    <w:rsid w:val="005800BC"/>
    <w:rsid w:val="00582442"/>
    <w:rsid w:val="005A335D"/>
    <w:rsid w:val="005A730D"/>
    <w:rsid w:val="005B06F7"/>
    <w:rsid w:val="005C13D4"/>
    <w:rsid w:val="005D77CF"/>
    <w:rsid w:val="005E2BD5"/>
    <w:rsid w:val="005F3269"/>
    <w:rsid w:val="00615961"/>
    <w:rsid w:val="00623AE3"/>
    <w:rsid w:val="006261F4"/>
    <w:rsid w:val="0064737F"/>
    <w:rsid w:val="006535F1"/>
    <w:rsid w:val="0065557D"/>
    <w:rsid w:val="00660D50"/>
    <w:rsid w:val="00662984"/>
    <w:rsid w:val="006716BB"/>
    <w:rsid w:val="00677C41"/>
    <w:rsid w:val="006973C8"/>
    <w:rsid w:val="006B1859"/>
    <w:rsid w:val="006B6680"/>
    <w:rsid w:val="006B6DCC"/>
    <w:rsid w:val="006E776F"/>
    <w:rsid w:val="00702DEF"/>
    <w:rsid w:val="00706861"/>
    <w:rsid w:val="007143B1"/>
    <w:rsid w:val="00720F76"/>
    <w:rsid w:val="00726B8C"/>
    <w:rsid w:val="0075051B"/>
    <w:rsid w:val="00752AD4"/>
    <w:rsid w:val="00775655"/>
    <w:rsid w:val="00793188"/>
    <w:rsid w:val="00794D34"/>
    <w:rsid w:val="00806E3C"/>
    <w:rsid w:val="00813E5E"/>
    <w:rsid w:val="00816C2C"/>
    <w:rsid w:val="0083581B"/>
    <w:rsid w:val="00860EED"/>
    <w:rsid w:val="00862FEC"/>
    <w:rsid w:val="00863874"/>
    <w:rsid w:val="00864AFF"/>
    <w:rsid w:val="00865925"/>
    <w:rsid w:val="00891503"/>
    <w:rsid w:val="008B4A6A"/>
    <w:rsid w:val="008C7E27"/>
    <w:rsid w:val="008D05D7"/>
    <w:rsid w:val="008F3822"/>
    <w:rsid w:val="008F39A8"/>
    <w:rsid w:val="008F7448"/>
    <w:rsid w:val="0090147A"/>
    <w:rsid w:val="0090389B"/>
    <w:rsid w:val="009173EF"/>
    <w:rsid w:val="00932906"/>
    <w:rsid w:val="009603F4"/>
    <w:rsid w:val="00961860"/>
    <w:rsid w:val="00961B0B"/>
    <w:rsid w:val="00962D33"/>
    <w:rsid w:val="009965FE"/>
    <w:rsid w:val="009B38C3"/>
    <w:rsid w:val="009D6CA6"/>
    <w:rsid w:val="009E17BD"/>
    <w:rsid w:val="009E485A"/>
    <w:rsid w:val="00A04CEC"/>
    <w:rsid w:val="00A27F92"/>
    <w:rsid w:val="00A32257"/>
    <w:rsid w:val="00A36D20"/>
    <w:rsid w:val="00A43C03"/>
    <w:rsid w:val="00A46CD0"/>
    <w:rsid w:val="00A47322"/>
    <w:rsid w:val="00A514A4"/>
    <w:rsid w:val="00A52C84"/>
    <w:rsid w:val="00A55622"/>
    <w:rsid w:val="00A83502"/>
    <w:rsid w:val="00AD15B3"/>
    <w:rsid w:val="00AD3606"/>
    <w:rsid w:val="00AD4A3D"/>
    <w:rsid w:val="00AF6386"/>
    <w:rsid w:val="00AF6E49"/>
    <w:rsid w:val="00B047BE"/>
    <w:rsid w:val="00B04A67"/>
    <w:rsid w:val="00B0583C"/>
    <w:rsid w:val="00B17995"/>
    <w:rsid w:val="00B248BC"/>
    <w:rsid w:val="00B358B2"/>
    <w:rsid w:val="00B40A81"/>
    <w:rsid w:val="00B44910"/>
    <w:rsid w:val="00B72267"/>
    <w:rsid w:val="00B73DD1"/>
    <w:rsid w:val="00B76EB6"/>
    <w:rsid w:val="00B7737B"/>
    <w:rsid w:val="00B824C8"/>
    <w:rsid w:val="00B82835"/>
    <w:rsid w:val="00B849D3"/>
    <w:rsid w:val="00B84B9D"/>
    <w:rsid w:val="00B978B6"/>
    <w:rsid w:val="00BA3A51"/>
    <w:rsid w:val="00BB463F"/>
    <w:rsid w:val="00BC251A"/>
    <w:rsid w:val="00BD032B"/>
    <w:rsid w:val="00BD0614"/>
    <w:rsid w:val="00BD094B"/>
    <w:rsid w:val="00BE2640"/>
    <w:rsid w:val="00BF06F0"/>
    <w:rsid w:val="00C01189"/>
    <w:rsid w:val="00C259A9"/>
    <w:rsid w:val="00C3725C"/>
    <w:rsid w:val="00C374DE"/>
    <w:rsid w:val="00C47AD4"/>
    <w:rsid w:val="00C52D81"/>
    <w:rsid w:val="00C55198"/>
    <w:rsid w:val="00C725C6"/>
    <w:rsid w:val="00C922C7"/>
    <w:rsid w:val="00CA6393"/>
    <w:rsid w:val="00CB18FF"/>
    <w:rsid w:val="00CB24AA"/>
    <w:rsid w:val="00CB7185"/>
    <w:rsid w:val="00CD0C08"/>
    <w:rsid w:val="00CD3C91"/>
    <w:rsid w:val="00CE03FB"/>
    <w:rsid w:val="00CE433C"/>
    <w:rsid w:val="00CF0161"/>
    <w:rsid w:val="00CF33F3"/>
    <w:rsid w:val="00D0549A"/>
    <w:rsid w:val="00D06183"/>
    <w:rsid w:val="00D22C42"/>
    <w:rsid w:val="00D45669"/>
    <w:rsid w:val="00D46480"/>
    <w:rsid w:val="00D464CC"/>
    <w:rsid w:val="00D522F6"/>
    <w:rsid w:val="00D65041"/>
    <w:rsid w:val="00D773EF"/>
    <w:rsid w:val="00DB00D5"/>
    <w:rsid w:val="00DB1936"/>
    <w:rsid w:val="00DB384B"/>
    <w:rsid w:val="00DF0189"/>
    <w:rsid w:val="00DF1268"/>
    <w:rsid w:val="00E06FD5"/>
    <w:rsid w:val="00E10E80"/>
    <w:rsid w:val="00E124F0"/>
    <w:rsid w:val="00E15020"/>
    <w:rsid w:val="00E227F3"/>
    <w:rsid w:val="00E4728B"/>
    <w:rsid w:val="00E545C6"/>
    <w:rsid w:val="00E60F04"/>
    <w:rsid w:val="00E63EFF"/>
    <w:rsid w:val="00E65B24"/>
    <w:rsid w:val="00E854E4"/>
    <w:rsid w:val="00E86DBF"/>
    <w:rsid w:val="00EB0D6F"/>
    <w:rsid w:val="00EB2232"/>
    <w:rsid w:val="00EC5337"/>
    <w:rsid w:val="00EC5A2C"/>
    <w:rsid w:val="00ED7BA9"/>
    <w:rsid w:val="00EE49E8"/>
    <w:rsid w:val="00EF185F"/>
    <w:rsid w:val="00F10B59"/>
    <w:rsid w:val="00F16BAB"/>
    <w:rsid w:val="00F2150A"/>
    <w:rsid w:val="00F231D8"/>
    <w:rsid w:val="00F44C00"/>
    <w:rsid w:val="00F45D2C"/>
    <w:rsid w:val="00F46C5F"/>
    <w:rsid w:val="00F55DBC"/>
    <w:rsid w:val="00F632C0"/>
    <w:rsid w:val="00F74694"/>
    <w:rsid w:val="00F86596"/>
    <w:rsid w:val="00F93FD4"/>
    <w:rsid w:val="00F94A63"/>
    <w:rsid w:val="00FA1C28"/>
    <w:rsid w:val="00FB1279"/>
    <w:rsid w:val="00FB6B76"/>
    <w:rsid w:val="00FB7596"/>
    <w:rsid w:val="00FE4077"/>
    <w:rsid w:val="00FE500D"/>
    <w:rsid w:val="00FE77D2"/>
    <w:rsid w:val="00FF0A1E"/>
    <w:rsid w:val="4FC4B61C"/>
    <w:rsid w:val="61B910A8"/>
    <w:rsid w:val="64DA55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976DCD"/>
  <w15:docId w15:val="{680066AC-D9CA-5A41-9799-B08890733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B978B6"/>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C922C7"/>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D46480"/>
    <w:rPr>
      <w:color w:val="666666"/>
    </w:rPr>
  </w:style>
  <w:style w:type="paragraph" w:styleId="ListParagraph">
    <w:name w:val="List Paragraph"/>
    <w:basedOn w:val="Normal"/>
    <w:uiPriority w:val="34"/>
    <w:qFormat/>
    <w:rsid w:val="00752AD4"/>
    <w:pPr>
      <w:ind w:left="720"/>
      <w:contextualSpacing/>
    </w:pPr>
  </w:style>
  <w:style w:type="paragraph" w:styleId="Revision">
    <w:name w:val="Revision"/>
    <w:hidden/>
    <w:uiPriority w:val="99"/>
    <w:semiHidden/>
    <w:rsid w:val="00F55DBC"/>
    <w:rPr>
      <w:rFonts w:ascii="Calibri" w:hAnsi="Calibri"/>
      <w:sz w:val="24"/>
      <w:lang w:val="en-GB" w:eastAsia="en-US"/>
    </w:rPr>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ascii="Calibri" w:hAnsi="Calibri"/>
      <w:lang w:val="en-GB"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2E5E4A"/>
    <w:rPr>
      <w:b/>
      <w:bCs/>
    </w:rPr>
  </w:style>
  <w:style w:type="character" w:customStyle="1" w:styleId="CommentSubjectChar">
    <w:name w:val="Comment Subject Char"/>
    <w:basedOn w:val="CommentTextChar"/>
    <w:link w:val="CommentSubject"/>
    <w:semiHidden/>
    <w:rsid w:val="002E5E4A"/>
    <w:rPr>
      <w:rFonts w:ascii="Calibri" w:hAnsi="Calibr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04155">
      <w:bodyDiv w:val="1"/>
      <w:marLeft w:val="0"/>
      <w:marRight w:val="0"/>
      <w:marTop w:val="0"/>
      <w:marBottom w:val="0"/>
      <w:divBdr>
        <w:top w:val="none" w:sz="0" w:space="0" w:color="auto"/>
        <w:left w:val="none" w:sz="0" w:space="0" w:color="auto"/>
        <w:bottom w:val="none" w:sz="0" w:space="0" w:color="auto"/>
        <w:right w:val="none" w:sz="0" w:space="0" w:color="auto"/>
      </w:divBdr>
    </w:div>
    <w:div w:id="919751320">
      <w:bodyDiv w:val="1"/>
      <w:marLeft w:val="0"/>
      <w:marRight w:val="0"/>
      <w:marTop w:val="0"/>
      <w:marBottom w:val="0"/>
      <w:divBdr>
        <w:top w:val="none" w:sz="0" w:space="0" w:color="auto"/>
        <w:left w:val="none" w:sz="0" w:space="0" w:color="auto"/>
        <w:bottom w:val="none" w:sz="0" w:space="0" w:color="auto"/>
        <w:right w:val="none" w:sz="0" w:space="0" w:color="auto"/>
      </w:divBdr>
    </w:div>
    <w:div w:id="1056246169">
      <w:bodyDiv w:val="1"/>
      <w:marLeft w:val="0"/>
      <w:marRight w:val="0"/>
      <w:marTop w:val="0"/>
      <w:marBottom w:val="0"/>
      <w:divBdr>
        <w:top w:val="none" w:sz="0" w:space="0" w:color="auto"/>
        <w:left w:val="none" w:sz="0" w:space="0" w:color="auto"/>
        <w:bottom w:val="none" w:sz="0" w:space="0" w:color="auto"/>
        <w:right w:val="none" w:sz="0" w:space="0" w:color="auto"/>
      </w:divBdr>
    </w:div>
    <w:div w:id="1173257941">
      <w:bodyDiv w:val="1"/>
      <w:marLeft w:val="0"/>
      <w:marRight w:val="0"/>
      <w:marTop w:val="0"/>
      <w:marBottom w:val="0"/>
      <w:divBdr>
        <w:top w:val="none" w:sz="0" w:space="0" w:color="auto"/>
        <w:left w:val="none" w:sz="0" w:space="0" w:color="auto"/>
        <w:bottom w:val="none" w:sz="0" w:space="0" w:color="auto"/>
        <w:right w:val="none" w:sz="0" w:space="0" w:color="auto"/>
      </w:divBdr>
    </w:div>
    <w:div w:id="180534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working-grou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B2CC4DF5F10149B2E37F08EDC3AC3A" ma:contentTypeVersion="4" ma:contentTypeDescription="Create a new document." ma:contentTypeScope="" ma:versionID="307ecc74a8eb51dfea6b750f0799606c">
  <xsd:schema xmlns:xsd="http://www.w3.org/2001/XMLSchema" xmlns:xs="http://www.w3.org/2001/XMLSchema" xmlns:p="http://schemas.microsoft.com/office/2006/metadata/properties" xmlns:ns2="a1cf676c-2816-4389-ad5d-0f2e7c7e67c4" targetNamespace="http://schemas.microsoft.com/office/2006/metadata/properties" ma:root="true" ma:fieldsID="80c3ec948e348096898dbd7aed4bed44" ns2:_="">
    <xsd:import namespace="a1cf676c-2816-4389-ad5d-0f2e7c7e67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f676c-2816-4389-ad5d-0f2e7c7e6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2.xml><?xml version="1.0" encoding="utf-8"?>
<ds:datastoreItem xmlns:ds="http://schemas.openxmlformats.org/officeDocument/2006/customXml" ds:itemID="{C8C6CDA3-4386-471A-B091-F0C4CF13004D}">
  <ds:schemaRefs>
    <ds:schemaRef ds:uri="http://schemas.microsoft.com/sharepoint/v3/contenttype/forms"/>
  </ds:schemaRefs>
</ds:datastoreItem>
</file>

<file path=customXml/itemProps3.xml><?xml version="1.0" encoding="utf-8"?>
<ds:datastoreItem xmlns:ds="http://schemas.openxmlformats.org/officeDocument/2006/customXml" ds:itemID="{F3D60949-AC8E-4F01-BA14-EEBD244D6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f676c-2816-4389-ad5d-0f2e7c7e6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4EBF1F-C913-41FD-9B59-7931E17B88AA}">
  <ds:schemaRefs>
    <ds:schemaRef ds:uri="http://schemas.microsoft.com/office/infopath/2007/PartnerControls"/>
    <ds:schemaRef ds:uri="http://purl.org/dc/terms/"/>
    <ds:schemaRef ds:uri="http://schemas.openxmlformats.org/package/2006/metadata/core-properties"/>
    <ds:schemaRef ds:uri="http://www.w3.org/XML/1998/namespace"/>
    <ds:schemaRef ds:uri="http://schemas.microsoft.com/office/2006/documentManagement/types"/>
    <ds:schemaRef ds:uri="a1cf676c-2816-4389-ad5d-0f2e7c7e67c4"/>
    <ds:schemaRef ds:uri="http://purl.org/dc/elements/1.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648</Words>
  <Characters>3842</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cost – Processing of space notices</dc:title>
  <dc:subject>ITU Council Working Group on financial and human resources</dc:subject>
  <cp:keywords>CWG-FHR</cp:keywords>
  <dc:description/>
  <cp:revision>3</cp:revision>
  <dcterms:created xsi:type="dcterms:W3CDTF">2025-01-24T11:34:00Z</dcterms:created>
  <dcterms:modified xsi:type="dcterms:W3CDTF">2025-01-24T11:40:00Z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0x01010096B2CC4DF5F10149B2E37F08EDC3AC3A</vt:lpwstr>
  </property>
</Properties>
</file>