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9709E" w14:paraId="06988536" w14:textId="77777777" w:rsidTr="00AD3606">
        <w:trPr>
          <w:cantSplit/>
          <w:trHeight w:val="23"/>
        </w:trPr>
        <w:tc>
          <w:tcPr>
            <w:tcW w:w="3969" w:type="dxa"/>
            <w:vMerge w:val="restart"/>
            <w:tcMar>
              <w:left w:w="0" w:type="dxa"/>
            </w:tcMar>
          </w:tcPr>
          <w:p w14:paraId="09139E8F" w14:textId="77777777" w:rsidR="00AD3606" w:rsidRPr="0089709E" w:rsidRDefault="00AD3606" w:rsidP="00472BAD">
            <w:pPr>
              <w:tabs>
                <w:tab w:val="left" w:pos="851"/>
              </w:tabs>
              <w:spacing w:before="0" w:line="240" w:lineRule="atLeast"/>
              <w:rPr>
                <w:b/>
                <w:i/>
                <w:iC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42EC2C23" w:rsidR="00AD3606" w:rsidRPr="0089709E" w:rsidRDefault="00AD3606" w:rsidP="00472BAD">
            <w:pPr>
              <w:tabs>
                <w:tab w:val="left" w:pos="851"/>
              </w:tabs>
              <w:spacing w:before="0" w:line="240" w:lineRule="atLeast"/>
              <w:jc w:val="right"/>
              <w:rPr>
                <w:b/>
              </w:rPr>
            </w:pPr>
            <w:r w:rsidRPr="0089709E">
              <w:rPr>
                <w:b/>
              </w:rPr>
              <w:t>Document C</w:t>
            </w:r>
            <w:r w:rsidR="00A52C84" w:rsidRPr="0089709E">
              <w:rPr>
                <w:b/>
              </w:rPr>
              <w:t>WG-</w:t>
            </w:r>
            <w:r w:rsidR="000F6AB8" w:rsidRPr="0089709E">
              <w:rPr>
                <w:b/>
              </w:rPr>
              <w:t>FHR</w:t>
            </w:r>
            <w:r w:rsidR="00A52C84" w:rsidRPr="0089709E">
              <w:rPr>
                <w:b/>
              </w:rPr>
              <w:t>-</w:t>
            </w:r>
            <w:r w:rsidR="0025570E" w:rsidRPr="0089709E">
              <w:rPr>
                <w:b/>
              </w:rPr>
              <w:t>2</w:t>
            </w:r>
            <w:r w:rsidR="000F6AB8" w:rsidRPr="0089709E">
              <w:rPr>
                <w:b/>
              </w:rPr>
              <w:t>0</w:t>
            </w:r>
            <w:r w:rsidR="00301AEE" w:rsidRPr="0089709E">
              <w:rPr>
                <w:b/>
              </w:rPr>
              <w:t>/</w:t>
            </w:r>
            <w:r w:rsidR="00BE2B2D" w:rsidRPr="0089709E">
              <w:rPr>
                <w:b/>
              </w:rPr>
              <w:t>9</w:t>
            </w:r>
          </w:p>
        </w:tc>
      </w:tr>
      <w:tr w:rsidR="00AD3606" w:rsidRPr="0089709E" w14:paraId="6F6AB1F4" w14:textId="77777777" w:rsidTr="00AD3606">
        <w:trPr>
          <w:cantSplit/>
        </w:trPr>
        <w:tc>
          <w:tcPr>
            <w:tcW w:w="3969" w:type="dxa"/>
            <w:vMerge/>
          </w:tcPr>
          <w:p w14:paraId="243B216A" w14:textId="77777777" w:rsidR="00AD3606" w:rsidRPr="0089709E" w:rsidRDefault="00AD3606" w:rsidP="00AD3606">
            <w:pPr>
              <w:tabs>
                <w:tab w:val="left" w:pos="851"/>
              </w:tabs>
              <w:spacing w:line="240" w:lineRule="atLeast"/>
              <w:rPr>
                <w:b/>
                <w:i/>
                <w:iCs/>
              </w:rPr>
            </w:pPr>
            <w:bookmarkStart w:id="6" w:name="ddate" w:colFirst="1" w:colLast="1"/>
            <w:bookmarkEnd w:id="0"/>
            <w:bookmarkEnd w:id="1"/>
          </w:p>
        </w:tc>
        <w:tc>
          <w:tcPr>
            <w:tcW w:w="5245" w:type="dxa"/>
          </w:tcPr>
          <w:p w14:paraId="0B7DAD36" w14:textId="59B91D6C" w:rsidR="00AD3606" w:rsidRPr="0089709E" w:rsidRDefault="000D123C" w:rsidP="00AD3606">
            <w:pPr>
              <w:tabs>
                <w:tab w:val="left" w:pos="851"/>
              </w:tabs>
              <w:spacing w:before="0"/>
              <w:jc w:val="right"/>
              <w:rPr>
                <w:b/>
              </w:rPr>
            </w:pPr>
            <w:r w:rsidRPr="0089709E">
              <w:rPr>
                <w:b/>
              </w:rPr>
              <w:t>20 January 2025</w:t>
            </w:r>
          </w:p>
        </w:tc>
      </w:tr>
      <w:tr w:rsidR="00AD3606" w:rsidRPr="0089709E" w14:paraId="15660587" w14:textId="77777777" w:rsidTr="00AD3606">
        <w:trPr>
          <w:cantSplit/>
          <w:trHeight w:val="23"/>
        </w:trPr>
        <w:tc>
          <w:tcPr>
            <w:tcW w:w="3969" w:type="dxa"/>
            <w:vMerge/>
          </w:tcPr>
          <w:p w14:paraId="6B39C677" w14:textId="77777777" w:rsidR="00AD3606" w:rsidRPr="0089709E" w:rsidRDefault="00AD3606" w:rsidP="00AD3606">
            <w:pPr>
              <w:tabs>
                <w:tab w:val="left" w:pos="851"/>
              </w:tabs>
              <w:spacing w:line="240" w:lineRule="atLeast"/>
              <w:rPr>
                <w:b/>
                <w:i/>
                <w:iCs/>
              </w:rPr>
            </w:pPr>
            <w:bookmarkStart w:id="7" w:name="dorlang" w:colFirst="1" w:colLast="1"/>
            <w:bookmarkEnd w:id="6"/>
          </w:p>
        </w:tc>
        <w:tc>
          <w:tcPr>
            <w:tcW w:w="5245" w:type="dxa"/>
          </w:tcPr>
          <w:p w14:paraId="227FA191" w14:textId="77777777" w:rsidR="00AD3606" w:rsidRPr="0089709E" w:rsidRDefault="00891503" w:rsidP="00AD3606">
            <w:pPr>
              <w:tabs>
                <w:tab w:val="left" w:pos="851"/>
              </w:tabs>
              <w:spacing w:before="0" w:line="240" w:lineRule="atLeast"/>
              <w:jc w:val="right"/>
              <w:rPr>
                <w:b/>
              </w:rPr>
            </w:pPr>
            <w:r w:rsidRPr="0089709E">
              <w:rPr>
                <w:b/>
              </w:rPr>
              <w:t>English only</w:t>
            </w:r>
          </w:p>
        </w:tc>
      </w:tr>
      <w:tr w:rsidR="00472BAD" w:rsidRPr="0089709E" w14:paraId="0EF492BD" w14:textId="77777777" w:rsidTr="00AD3606">
        <w:trPr>
          <w:cantSplit/>
          <w:trHeight w:val="23"/>
        </w:trPr>
        <w:tc>
          <w:tcPr>
            <w:tcW w:w="3969" w:type="dxa"/>
          </w:tcPr>
          <w:p w14:paraId="05EEDB52" w14:textId="77777777" w:rsidR="00472BAD" w:rsidRPr="0089709E" w:rsidRDefault="00472BAD" w:rsidP="00AD3606">
            <w:pPr>
              <w:tabs>
                <w:tab w:val="left" w:pos="851"/>
              </w:tabs>
              <w:spacing w:line="240" w:lineRule="atLeast"/>
              <w:rPr>
                <w:b/>
                <w:i/>
                <w:iCs/>
              </w:rPr>
            </w:pPr>
          </w:p>
        </w:tc>
        <w:tc>
          <w:tcPr>
            <w:tcW w:w="5245" w:type="dxa"/>
          </w:tcPr>
          <w:p w14:paraId="37609302" w14:textId="77777777" w:rsidR="00472BAD" w:rsidRPr="0089709E" w:rsidRDefault="00472BAD" w:rsidP="00AD3606">
            <w:pPr>
              <w:tabs>
                <w:tab w:val="left" w:pos="851"/>
              </w:tabs>
              <w:spacing w:before="0" w:line="240" w:lineRule="atLeast"/>
              <w:jc w:val="right"/>
              <w:rPr>
                <w:b/>
              </w:rPr>
            </w:pPr>
          </w:p>
        </w:tc>
      </w:tr>
      <w:tr w:rsidR="00AD3606" w:rsidRPr="0089709E" w14:paraId="4D854B2D" w14:textId="77777777" w:rsidTr="00AD3606">
        <w:trPr>
          <w:cantSplit/>
        </w:trPr>
        <w:tc>
          <w:tcPr>
            <w:tcW w:w="9214" w:type="dxa"/>
            <w:gridSpan w:val="2"/>
            <w:tcMar>
              <w:left w:w="0" w:type="dxa"/>
            </w:tcMar>
          </w:tcPr>
          <w:p w14:paraId="57AE1C6C" w14:textId="5CE57145" w:rsidR="00AD3606" w:rsidRPr="0089709E" w:rsidRDefault="000F6AB8" w:rsidP="00E4728B">
            <w:pPr>
              <w:pStyle w:val="Source"/>
              <w:framePr w:hSpace="0" w:wrap="auto" w:vAnchor="margin" w:hAnchor="text" w:xAlign="left" w:yAlign="inline"/>
            </w:pPr>
            <w:bookmarkStart w:id="8" w:name="dsource" w:colFirst="0" w:colLast="0"/>
            <w:bookmarkEnd w:id="7"/>
            <w:r w:rsidRPr="0089709E">
              <w:t xml:space="preserve">Report by the </w:t>
            </w:r>
            <w:r w:rsidR="004D3B0A" w:rsidRPr="0089709E">
              <w:t>Secretary-General</w:t>
            </w:r>
          </w:p>
        </w:tc>
      </w:tr>
      <w:tr w:rsidR="00AD3606" w:rsidRPr="0089709E" w14:paraId="16EB458A" w14:textId="77777777" w:rsidTr="00AD3606">
        <w:trPr>
          <w:cantSplit/>
        </w:trPr>
        <w:tc>
          <w:tcPr>
            <w:tcW w:w="9214" w:type="dxa"/>
            <w:gridSpan w:val="2"/>
            <w:tcMar>
              <w:left w:w="0" w:type="dxa"/>
            </w:tcMar>
          </w:tcPr>
          <w:p w14:paraId="0DA1E56D" w14:textId="6FCE975B" w:rsidR="00AD3606" w:rsidRPr="0089709E" w:rsidRDefault="0089709E" w:rsidP="00E4728B">
            <w:pPr>
              <w:pStyle w:val="Subtitle"/>
              <w:framePr w:hSpace="0" w:wrap="auto" w:xAlign="left" w:yAlign="inline"/>
            </w:pPr>
            <w:bookmarkStart w:id="9" w:name="dtitle1" w:colFirst="0" w:colLast="0"/>
            <w:bookmarkEnd w:id="8"/>
            <w:r w:rsidRPr="0089709E">
              <w:t>BUSINESS CONTINUITY MODALITIES FOR ITU MEETINGS 2028-2029</w:t>
            </w:r>
          </w:p>
        </w:tc>
      </w:tr>
      <w:tr w:rsidR="00AD3606" w:rsidRPr="0089709E" w14:paraId="5E1AA971" w14:textId="77777777" w:rsidTr="00AD3606">
        <w:trPr>
          <w:cantSplit/>
        </w:trPr>
        <w:tc>
          <w:tcPr>
            <w:tcW w:w="9214" w:type="dxa"/>
            <w:gridSpan w:val="2"/>
            <w:tcBorders>
              <w:top w:val="single" w:sz="4" w:space="0" w:color="auto"/>
              <w:bottom w:val="single" w:sz="4" w:space="0" w:color="auto"/>
            </w:tcBorders>
            <w:tcMar>
              <w:left w:w="0" w:type="dxa"/>
            </w:tcMar>
          </w:tcPr>
          <w:p w14:paraId="5AD788C9" w14:textId="77777777" w:rsidR="00AD3606" w:rsidRPr="0089709E" w:rsidRDefault="00F16BAB" w:rsidP="00F16BAB">
            <w:pPr>
              <w:spacing w:before="160"/>
              <w:rPr>
                <w:b/>
                <w:bCs/>
                <w:sz w:val="26"/>
                <w:szCs w:val="26"/>
              </w:rPr>
            </w:pPr>
            <w:r w:rsidRPr="0089709E">
              <w:rPr>
                <w:b/>
                <w:bCs/>
                <w:sz w:val="26"/>
                <w:szCs w:val="26"/>
              </w:rPr>
              <w:t>Purpose</w:t>
            </w:r>
          </w:p>
          <w:p w14:paraId="62D8D355" w14:textId="7996E13C" w:rsidR="003D64C3" w:rsidRPr="0089709E" w:rsidRDefault="00AA0792" w:rsidP="000D123C">
            <w:pPr>
              <w:jc w:val="both"/>
            </w:pPr>
            <w:r w:rsidRPr="0089709E">
              <w:t>Following the approval of Decision 640 on the new Varembé building project at ITU Council 2024 (Doc</w:t>
            </w:r>
            <w:r w:rsidR="000D123C" w:rsidRPr="0089709E">
              <w:t>. </w:t>
            </w:r>
            <w:hyperlink r:id="rId8">
              <w:r w:rsidRPr="0089709E">
                <w:rPr>
                  <w:rStyle w:val="Hyperlink"/>
                  <w:szCs w:val="24"/>
                </w:rPr>
                <w:t>C24/132</w:t>
              </w:r>
            </w:hyperlink>
            <w:r w:rsidRPr="0089709E">
              <w:t>), the Secretariat provided an update on progress</w:t>
            </w:r>
            <w:r w:rsidR="00026700" w:rsidRPr="0089709E">
              <w:t xml:space="preserve"> in the</w:t>
            </w:r>
            <w:r w:rsidR="000D123C" w:rsidRPr="0089709E">
              <w:t> </w:t>
            </w:r>
            <w:r w:rsidR="00026700" w:rsidRPr="0089709E">
              <w:t>implementation of the Decision at the nineteenth meeting of CWG-FHR (</w:t>
            </w:r>
            <w:r w:rsidR="000D123C" w:rsidRPr="0089709E">
              <w:t>Doc. </w:t>
            </w:r>
            <w:hyperlink r:id="rId9" w:history="1">
              <w:r w:rsidR="00026700" w:rsidRPr="0089709E">
                <w:rPr>
                  <w:rStyle w:val="Hyperlink"/>
                </w:rPr>
                <w:t>CWGFHR19/10</w:t>
              </w:r>
            </w:hyperlink>
            <w:r w:rsidR="00026700" w:rsidRPr="0089709E">
              <w:t xml:space="preserve">). The update indicated that activities are on schedule in accordance with the project milestones </w:t>
            </w:r>
            <w:r w:rsidR="00A729B1" w:rsidRPr="0089709E">
              <w:t>provided</w:t>
            </w:r>
            <w:r w:rsidR="00026700" w:rsidRPr="0089709E">
              <w:t xml:space="preserve"> in the annex to Decisions 640, which establishes </w:t>
            </w:r>
            <w:r w:rsidR="00A729B1" w:rsidRPr="0089709E">
              <w:t xml:space="preserve">2028 as the initial year for </w:t>
            </w:r>
            <w:r w:rsidR="000D123C" w:rsidRPr="0089709E">
              <w:t xml:space="preserve">the </w:t>
            </w:r>
            <w:r w:rsidR="00A729B1" w:rsidRPr="0089709E">
              <w:t xml:space="preserve">execution of the project. </w:t>
            </w:r>
          </w:p>
          <w:p w14:paraId="422BCA6A" w14:textId="301BEE1D" w:rsidR="00026700" w:rsidRPr="0089709E" w:rsidRDefault="00A729B1" w:rsidP="00661401">
            <w:pPr>
              <w:jc w:val="both"/>
            </w:pPr>
            <w:r w:rsidRPr="0089709E">
              <w:t>This report</w:t>
            </w:r>
            <w:r w:rsidR="000D123C" w:rsidRPr="0089709E">
              <w:t>, therefore,</w:t>
            </w:r>
            <w:r w:rsidRPr="0089709E">
              <w:t xml:space="preserve"> sets out business continuity options for holding ITU meetings in 2028 and 2029 in accordance with this project milestone.</w:t>
            </w:r>
          </w:p>
          <w:p w14:paraId="049A5526" w14:textId="4ACEEA97" w:rsidR="009503E1" w:rsidRPr="0089709E" w:rsidRDefault="00C70E33" w:rsidP="000D123C">
            <w:pPr>
              <w:jc w:val="both"/>
              <w:rPr>
                <w:sz w:val="22"/>
                <w:szCs w:val="22"/>
              </w:rPr>
            </w:pPr>
            <w:r w:rsidRPr="0089709E">
              <w:rPr>
                <w:sz w:val="22"/>
                <w:szCs w:val="22"/>
              </w:rPr>
              <w:t xml:space="preserve">Note: </w:t>
            </w:r>
            <w:r w:rsidR="000D123C" w:rsidRPr="0089709E">
              <w:rPr>
                <w:sz w:val="22"/>
                <w:szCs w:val="22"/>
              </w:rPr>
              <w:t xml:space="preserve">This </w:t>
            </w:r>
            <w:r w:rsidRPr="0089709E">
              <w:rPr>
                <w:sz w:val="22"/>
                <w:szCs w:val="22"/>
              </w:rPr>
              <w:t>document</w:t>
            </w:r>
            <w:r w:rsidR="000D3706" w:rsidRPr="0089709E">
              <w:rPr>
                <w:sz w:val="22"/>
                <w:szCs w:val="22"/>
              </w:rPr>
              <w:t xml:space="preserve"> </w:t>
            </w:r>
            <w:r w:rsidR="009503E1" w:rsidRPr="0089709E">
              <w:rPr>
                <w:sz w:val="22"/>
                <w:szCs w:val="22"/>
              </w:rPr>
              <w:t>does</w:t>
            </w:r>
            <w:r w:rsidRPr="0089709E">
              <w:rPr>
                <w:sz w:val="22"/>
                <w:szCs w:val="22"/>
              </w:rPr>
              <w:t xml:space="preserve"> not include</w:t>
            </w:r>
            <w:r w:rsidR="000D3706" w:rsidRPr="0089709E">
              <w:rPr>
                <w:sz w:val="22"/>
                <w:szCs w:val="22"/>
              </w:rPr>
              <w:t xml:space="preserve"> </w:t>
            </w:r>
            <w:r w:rsidR="009226EC" w:rsidRPr="0089709E">
              <w:rPr>
                <w:sz w:val="22"/>
                <w:szCs w:val="22"/>
              </w:rPr>
              <w:t xml:space="preserve">any </w:t>
            </w:r>
            <w:r w:rsidR="009503E1" w:rsidRPr="0089709E">
              <w:rPr>
                <w:sz w:val="22"/>
                <w:szCs w:val="22"/>
              </w:rPr>
              <w:t xml:space="preserve">costs </w:t>
            </w:r>
            <w:r w:rsidRPr="0089709E">
              <w:rPr>
                <w:sz w:val="22"/>
                <w:szCs w:val="22"/>
              </w:rPr>
              <w:t xml:space="preserve">related to the </w:t>
            </w:r>
            <w:r w:rsidR="009503E1" w:rsidRPr="0089709E">
              <w:rPr>
                <w:sz w:val="22"/>
                <w:szCs w:val="22"/>
              </w:rPr>
              <w:t xml:space="preserve">temporary relocation of staff </w:t>
            </w:r>
            <w:r w:rsidR="009226EC" w:rsidRPr="0089709E">
              <w:rPr>
                <w:sz w:val="22"/>
                <w:szCs w:val="22"/>
              </w:rPr>
              <w:t>which may be necessary during</w:t>
            </w:r>
            <w:r w:rsidR="00006B1D" w:rsidRPr="0089709E">
              <w:rPr>
                <w:sz w:val="22"/>
                <w:szCs w:val="22"/>
              </w:rPr>
              <w:t xml:space="preserve"> the heavy construction period of </w:t>
            </w:r>
            <w:r w:rsidRPr="0089709E">
              <w:rPr>
                <w:sz w:val="22"/>
                <w:szCs w:val="22"/>
              </w:rPr>
              <w:t xml:space="preserve">the new Headquarters </w:t>
            </w:r>
            <w:r w:rsidR="00006B1D" w:rsidRPr="0089709E">
              <w:rPr>
                <w:sz w:val="22"/>
                <w:szCs w:val="22"/>
              </w:rPr>
              <w:t>building</w:t>
            </w:r>
            <w:r w:rsidR="000D3706" w:rsidRPr="0089709E">
              <w:rPr>
                <w:sz w:val="22"/>
                <w:szCs w:val="22"/>
              </w:rPr>
              <w:t xml:space="preserve">. </w:t>
            </w:r>
          </w:p>
          <w:p w14:paraId="486924FF" w14:textId="77777777" w:rsidR="00AD3606" w:rsidRPr="0089709E" w:rsidRDefault="00AD3606" w:rsidP="00F16BAB">
            <w:pPr>
              <w:spacing w:before="160"/>
              <w:rPr>
                <w:b/>
                <w:bCs/>
                <w:sz w:val="26"/>
                <w:szCs w:val="26"/>
              </w:rPr>
            </w:pPr>
            <w:r w:rsidRPr="0089709E">
              <w:rPr>
                <w:b/>
                <w:bCs/>
                <w:sz w:val="26"/>
                <w:szCs w:val="26"/>
              </w:rPr>
              <w:t>Action required</w:t>
            </w:r>
          </w:p>
          <w:p w14:paraId="04BD14AB" w14:textId="677564F6" w:rsidR="0025570E" w:rsidRPr="0089709E" w:rsidRDefault="000F6AB8" w:rsidP="000F6AB8">
            <w:pPr>
              <w:spacing w:before="160"/>
            </w:pPr>
            <w:r w:rsidRPr="0089709E">
              <w:t xml:space="preserve">The Council Working Group on financial and human resources is invited to </w:t>
            </w:r>
            <w:r w:rsidR="00306381" w:rsidRPr="0089709E">
              <w:rPr>
                <w:b/>
                <w:bCs/>
              </w:rPr>
              <w:t xml:space="preserve">note </w:t>
            </w:r>
            <w:r w:rsidR="00306381" w:rsidRPr="0089709E">
              <w:t>this report</w:t>
            </w:r>
            <w:r w:rsidRPr="0089709E">
              <w:t>.</w:t>
            </w:r>
          </w:p>
          <w:p w14:paraId="64CEA947" w14:textId="77777777" w:rsidR="00AD3606" w:rsidRPr="0089709E" w:rsidRDefault="00CD3C91" w:rsidP="00CD3C91">
            <w:pPr>
              <w:rPr>
                <w:i/>
                <w:iCs/>
              </w:rPr>
            </w:pPr>
            <w:r w:rsidRPr="0089709E">
              <w:rPr>
                <w:i/>
                <w:iCs/>
              </w:rPr>
              <w:t>_______________</w:t>
            </w:r>
          </w:p>
          <w:p w14:paraId="6740FBBB" w14:textId="77777777" w:rsidR="00AD3606" w:rsidRPr="0089709E" w:rsidRDefault="00AD3606" w:rsidP="00F16BAB">
            <w:pPr>
              <w:spacing w:before="160"/>
              <w:rPr>
                <w:b/>
                <w:bCs/>
                <w:i/>
                <w:iCs/>
                <w:sz w:val="26"/>
                <w:szCs w:val="26"/>
              </w:rPr>
            </w:pPr>
            <w:r w:rsidRPr="0089709E">
              <w:rPr>
                <w:b/>
                <w:bCs/>
                <w:i/>
                <w:iCs/>
                <w:sz w:val="26"/>
                <w:szCs w:val="26"/>
              </w:rPr>
              <w:t>References</w:t>
            </w:r>
            <w:r w:rsidR="00301AEE" w:rsidRPr="0089709E">
              <w:rPr>
                <w:b/>
                <w:bCs/>
                <w:i/>
                <w:iCs/>
                <w:sz w:val="26"/>
                <w:szCs w:val="26"/>
              </w:rPr>
              <w:t xml:space="preserve"> </w:t>
            </w:r>
          </w:p>
          <w:p w14:paraId="43062733" w14:textId="26FAA55D" w:rsidR="00AD3606" w:rsidRPr="0089709E" w:rsidRDefault="000F6AB8" w:rsidP="00F16BAB">
            <w:pPr>
              <w:spacing w:after="160"/>
              <w:rPr>
                <w:i/>
                <w:iCs/>
                <w:sz w:val="22"/>
                <w:szCs w:val="22"/>
              </w:rPr>
            </w:pPr>
            <w:hyperlink r:id="rId10" w:history="1">
              <w:r w:rsidRPr="0089709E">
                <w:rPr>
                  <w:rStyle w:val="Hyperlink"/>
                  <w:i/>
                  <w:iCs/>
                  <w:sz w:val="22"/>
                  <w:szCs w:val="22"/>
                </w:rPr>
                <w:t>CWG-FHR website</w:t>
              </w:r>
            </w:hyperlink>
            <w:r w:rsidRPr="0089709E">
              <w:rPr>
                <w:i/>
                <w:iCs/>
                <w:sz w:val="22"/>
                <w:szCs w:val="22"/>
              </w:rPr>
              <w:t xml:space="preserve">; </w:t>
            </w:r>
            <w:r w:rsidR="00026700" w:rsidRPr="0089709E">
              <w:rPr>
                <w:i/>
                <w:iCs/>
                <w:sz w:val="22"/>
                <w:szCs w:val="22"/>
              </w:rPr>
              <w:t xml:space="preserve">Decision </w:t>
            </w:r>
            <w:hyperlink r:id="rId11" w:history="1">
              <w:r w:rsidR="00026700" w:rsidRPr="0089709E">
                <w:rPr>
                  <w:rStyle w:val="Hyperlink"/>
                  <w:i/>
                  <w:iCs/>
                  <w:sz w:val="22"/>
                  <w:szCs w:val="22"/>
                </w:rPr>
                <w:t>640</w:t>
              </w:r>
              <w:r w:rsidR="00661401" w:rsidRPr="0089709E">
                <w:rPr>
                  <w:rStyle w:val="Hyperlink"/>
                  <w:i/>
                  <w:iCs/>
                  <w:sz w:val="22"/>
                  <w:szCs w:val="22"/>
                </w:rPr>
                <w:t xml:space="preserve"> (C24)</w:t>
              </w:r>
            </w:hyperlink>
            <w:r w:rsidR="00026700" w:rsidRPr="0089709E">
              <w:rPr>
                <w:i/>
                <w:iCs/>
                <w:sz w:val="22"/>
                <w:szCs w:val="22"/>
              </w:rPr>
              <w:t>; CWG</w:t>
            </w:r>
            <w:r w:rsidR="00661401" w:rsidRPr="0089709E">
              <w:rPr>
                <w:i/>
                <w:iCs/>
                <w:sz w:val="22"/>
                <w:szCs w:val="22"/>
              </w:rPr>
              <w:t>-</w:t>
            </w:r>
            <w:r w:rsidR="00026700" w:rsidRPr="0089709E">
              <w:rPr>
                <w:i/>
                <w:iCs/>
                <w:sz w:val="22"/>
                <w:szCs w:val="22"/>
              </w:rPr>
              <w:t>FHR update</w:t>
            </w:r>
          </w:p>
        </w:tc>
      </w:tr>
    </w:tbl>
    <w:p w14:paraId="3FE32CB1" w14:textId="3C3BE867" w:rsidR="00E227F3" w:rsidRPr="0089709E" w:rsidRDefault="00E227F3">
      <w:pPr>
        <w:tabs>
          <w:tab w:val="clear" w:pos="567"/>
          <w:tab w:val="clear" w:pos="1134"/>
          <w:tab w:val="clear" w:pos="1701"/>
          <w:tab w:val="clear" w:pos="2268"/>
          <w:tab w:val="clear" w:pos="2835"/>
        </w:tabs>
        <w:overflowPunct/>
        <w:autoSpaceDE/>
        <w:autoSpaceDN/>
        <w:adjustRightInd/>
        <w:spacing w:before="0"/>
        <w:textAlignment w:val="auto"/>
        <w:rPr>
          <w:i/>
          <w:iCs/>
        </w:rPr>
      </w:pPr>
      <w:bookmarkStart w:id="10" w:name="_Hlk133421428"/>
      <w:bookmarkEnd w:id="2"/>
      <w:bookmarkEnd w:id="9"/>
    </w:p>
    <w:bookmarkEnd w:id="3"/>
    <w:bookmarkEnd w:id="4"/>
    <w:p w14:paraId="09365793" w14:textId="77777777" w:rsidR="0090147A" w:rsidRPr="0089709E" w:rsidRDefault="0090147A">
      <w:pPr>
        <w:tabs>
          <w:tab w:val="clear" w:pos="567"/>
          <w:tab w:val="clear" w:pos="1134"/>
          <w:tab w:val="clear" w:pos="1701"/>
          <w:tab w:val="clear" w:pos="2268"/>
          <w:tab w:val="clear" w:pos="2835"/>
        </w:tabs>
        <w:overflowPunct/>
        <w:autoSpaceDE/>
        <w:autoSpaceDN/>
        <w:adjustRightInd/>
        <w:spacing w:before="0"/>
        <w:textAlignment w:val="auto"/>
        <w:rPr>
          <w:b/>
          <w:i/>
          <w:iCs/>
        </w:rPr>
      </w:pPr>
      <w:r w:rsidRPr="0089709E">
        <w:rPr>
          <w:i/>
          <w:iCs/>
        </w:rPr>
        <w:br w:type="page"/>
      </w:r>
    </w:p>
    <w:bookmarkEnd w:id="5"/>
    <w:bookmarkEnd w:id="10"/>
    <w:p w14:paraId="29E54A02" w14:textId="77777777" w:rsidR="00781108" w:rsidRPr="0089709E" w:rsidRDefault="00781108" w:rsidP="00B57269">
      <w:pPr>
        <w:pStyle w:val="Headingb"/>
      </w:pPr>
      <w:r w:rsidRPr="0089709E">
        <w:lastRenderedPageBreak/>
        <w:t>Background</w:t>
      </w:r>
    </w:p>
    <w:p w14:paraId="6841826C" w14:textId="0BD2BD1F" w:rsidR="0098186F" w:rsidRPr="0089709E" w:rsidRDefault="0098186F" w:rsidP="00B57269">
      <w:pPr>
        <w:pStyle w:val="Headingi"/>
      </w:pPr>
      <w:r w:rsidRPr="0089709E">
        <w:t>Current status of ITU meetings in Geneva</w:t>
      </w:r>
    </w:p>
    <w:p w14:paraId="4DB79C31" w14:textId="72D0D6D2" w:rsidR="00FF7362" w:rsidRPr="0089709E" w:rsidRDefault="006F4BA2" w:rsidP="00B57269">
      <w:pPr>
        <w:jc w:val="both"/>
      </w:pPr>
      <w:r w:rsidRPr="0089709E">
        <w:t>Approximately 60</w:t>
      </w:r>
      <w:r w:rsidR="00877141" w:rsidRPr="0089709E">
        <w:t xml:space="preserve"> ITU meetings</w:t>
      </w:r>
      <w:r w:rsidRPr="0089709E">
        <w:t xml:space="preserve"> each year</w:t>
      </w:r>
      <w:r w:rsidR="00877141" w:rsidRPr="0089709E">
        <w:t xml:space="preserve"> are currently held in ITU headquarters (Popov, Room A and Room C in the Tower, </w:t>
      </w:r>
      <w:r w:rsidR="00B01D1A" w:rsidRPr="0089709E">
        <w:t>Roo</w:t>
      </w:r>
      <w:r w:rsidR="00877141" w:rsidRPr="0089709E">
        <w:t>ms H, L and K in Montbrillant</w:t>
      </w:r>
      <w:r w:rsidR="00B01D1A" w:rsidRPr="0089709E">
        <w:t>, Rooms G and E in Varembé</w:t>
      </w:r>
      <w:r w:rsidR="00F621C5" w:rsidRPr="0089709E">
        <w:t>), supplemented by additional capacity in CICG</w:t>
      </w:r>
      <w:r w:rsidR="00B01D1A" w:rsidRPr="0089709E">
        <w:t>/CCV</w:t>
      </w:r>
      <w:r w:rsidR="00F621C5" w:rsidRPr="0089709E">
        <w:t xml:space="preserve">. </w:t>
      </w:r>
    </w:p>
    <w:p w14:paraId="5DBC85C9" w14:textId="20FD1305" w:rsidR="00F621C5" w:rsidRPr="0089709E" w:rsidRDefault="00FF7362" w:rsidP="00B57269">
      <w:pPr>
        <w:jc w:val="both"/>
      </w:pPr>
      <w:r w:rsidRPr="0089709E">
        <w:t xml:space="preserve">These meetings comprise </w:t>
      </w:r>
      <w:r w:rsidR="0098186F" w:rsidRPr="0089709E">
        <w:t>technical meetings for all sectors (</w:t>
      </w:r>
      <w:r w:rsidRPr="0089709E">
        <w:t>Study Group and Working Party meeting</w:t>
      </w:r>
      <w:r w:rsidR="0098186F" w:rsidRPr="0089709E">
        <w:t>s)</w:t>
      </w:r>
      <w:r w:rsidRPr="0089709E">
        <w:t xml:space="preserve">, Advisory Group meetings, Council and Council Working Groups, AI for Good and WSIS. </w:t>
      </w:r>
    </w:p>
    <w:p w14:paraId="523590AD" w14:textId="1A90CA46" w:rsidR="0098186F" w:rsidRPr="0089709E" w:rsidRDefault="006F4BA2" w:rsidP="00B57269">
      <w:pPr>
        <w:jc w:val="both"/>
      </w:pPr>
      <w:r w:rsidRPr="0089709E">
        <w:t xml:space="preserve">Currently, a limited number of </w:t>
      </w:r>
      <w:r w:rsidR="0098186F" w:rsidRPr="0089709E">
        <w:t>technical</w:t>
      </w:r>
      <w:r w:rsidRPr="0089709E">
        <w:t xml:space="preserve"> meetings are held outside Geneva, </w:t>
      </w:r>
      <w:r w:rsidR="0098186F" w:rsidRPr="0089709E">
        <w:t xml:space="preserve">organized and </w:t>
      </w:r>
      <w:r w:rsidRPr="0089709E">
        <w:t>hosted by a M</w:t>
      </w:r>
      <w:r w:rsidR="0098186F" w:rsidRPr="0089709E">
        <w:t>em</w:t>
      </w:r>
      <w:r w:rsidRPr="0089709E">
        <w:t xml:space="preserve">ber State or Sector Member </w:t>
      </w:r>
      <w:r w:rsidR="00FC6D62" w:rsidRPr="0089709E">
        <w:t xml:space="preserve">on </w:t>
      </w:r>
      <w:r w:rsidRPr="0089709E">
        <w:t>an ad hoc basis depe</w:t>
      </w:r>
      <w:r w:rsidR="0070140A" w:rsidRPr="0089709E">
        <w:t>n</w:t>
      </w:r>
      <w:r w:rsidRPr="0089709E">
        <w:t>de</w:t>
      </w:r>
      <w:r w:rsidR="0098186F" w:rsidRPr="0089709E">
        <w:t>n</w:t>
      </w:r>
      <w:r w:rsidRPr="0089709E">
        <w:t xml:space="preserve">t on interest and relevance. </w:t>
      </w:r>
      <w:r w:rsidR="009532C7" w:rsidRPr="0089709E">
        <w:t xml:space="preserve">Some </w:t>
      </w:r>
      <w:r w:rsidR="0098186F" w:rsidRPr="0089709E">
        <w:t xml:space="preserve">technical meetings are also held entirely virtually. </w:t>
      </w:r>
    </w:p>
    <w:p w14:paraId="1F3073D3" w14:textId="43F2B3DD" w:rsidR="009532C7" w:rsidRPr="0089709E" w:rsidRDefault="00FC6D62" w:rsidP="00B57269">
      <w:pPr>
        <w:jc w:val="both"/>
      </w:pPr>
      <w:r w:rsidRPr="0089709E">
        <w:t xml:space="preserve">The </w:t>
      </w:r>
      <w:r w:rsidR="009532C7" w:rsidRPr="0089709E">
        <w:t xml:space="preserve">AI for </w:t>
      </w:r>
      <w:r w:rsidR="00D92C9F" w:rsidRPr="0089709E">
        <w:t>G</w:t>
      </w:r>
      <w:r w:rsidR="009532C7" w:rsidRPr="0089709E">
        <w:t xml:space="preserve">ood </w:t>
      </w:r>
      <w:r w:rsidR="00D92C9F" w:rsidRPr="0089709E">
        <w:t xml:space="preserve">Global Summit </w:t>
      </w:r>
      <w:r w:rsidR="009532C7" w:rsidRPr="0089709E">
        <w:t>and WSIS</w:t>
      </w:r>
      <w:r w:rsidR="00D92C9F" w:rsidRPr="0089709E">
        <w:t>+20 High-Level Event</w:t>
      </w:r>
      <w:r w:rsidR="009532C7" w:rsidRPr="0089709E">
        <w:t xml:space="preserve"> </w:t>
      </w:r>
      <w:r w:rsidR="0098186F" w:rsidRPr="0089709E">
        <w:t>will b</w:t>
      </w:r>
      <w:r w:rsidR="009532C7" w:rsidRPr="0089709E">
        <w:t>e held in Palexpo in 2025</w:t>
      </w:r>
      <w:r w:rsidR="0098186F" w:rsidRPr="0089709E">
        <w:t>.</w:t>
      </w:r>
    </w:p>
    <w:p w14:paraId="24AFDC4C" w14:textId="0246DA77" w:rsidR="0098186F" w:rsidRPr="0089709E" w:rsidRDefault="0098186F" w:rsidP="00B57269">
      <w:pPr>
        <w:pStyle w:val="Headingi"/>
      </w:pPr>
      <w:r w:rsidRPr="0089709E">
        <w:t xml:space="preserve">New </w:t>
      </w:r>
      <w:r w:rsidR="00B57269" w:rsidRPr="0089709E">
        <w:t>building project</w:t>
      </w:r>
    </w:p>
    <w:p w14:paraId="0F21856C" w14:textId="6021E947" w:rsidR="0098186F" w:rsidRPr="0089709E" w:rsidRDefault="006F4BA2" w:rsidP="00B57269">
      <w:pPr>
        <w:jc w:val="both"/>
      </w:pPr>
      <w:r w:rsidRPr="0089709E">
        <w:t>Under current plans for the New Building Project</w:t>
      </w:r>
      <w:r w:rsidR="0098186F" w:rsidRPr="0089709E">
        <w:t xml:space="preserve">, ITU meeting rooms will remain available until the end of 2027. </w:t>
      </w:r>
      <w:r w:rsidR="001A57C5" w:rsidRPr="0089709E">
        <w:t>Given the revised scope of the project, no disruption is anticipated in this period. In 2028</w:t>
      </w:r>
      <w:r w:rsidR="00A729B1" w:rsidRPr="0089709E">
        <w:t xml:space="preserve">, </w:t>
      </w:r>
      <w:r w:rsidR="001A57C5" w:rsidRPr="0089709E">
        <w:t xml:space="preserve">meeting rooms in </w:t>
      </w:r>
      <w:r w:rsidR="00A729B1" w:rsidRPr="0089709E">
        <w:t>the Tower</w:t>
      </w:r>
      <w:r w:rsidR="00B01D1A" w:rsidRPr="0089709E">
        <w:t>, Montbrillant</w:t>
      </w:r>
      <w:r w:rsidR="00A729B1" w:rsidRPr="0089709E">
        <w:t xml:space="preserve"> and </w:t>
      </w:r>
      <w:r w:rsidR="00B01D1A" w:rsidRPr="0089709E">
        <w:t xml:space="preserve">Varembé </w:t>
      </w:r>
      <w:r w:rsidR="00A729B1" w:rsidRPr="0089709E">
        <w:t>will not be available due to construction work. As the construction schedule cannot be finalized before the selection of the</w:t>
      </w:r>
      <w:r w:rsidR="000A1585" w:rsidRPr="0089709E">
        <w:t xml:space="preserve"> architect and design team</w:t>
      </w:r>
      <w:r w:rsidR="00066D87" w:rsidRPr="0089709E">
        <w:t xml:space="preserve"> (</w:t>
      </w:r>
      <w:r w:rsidR="001D72AB" w:rsidRPr="0089709E">
        <w:t>April</w:t>
      </w:r>
      <w:r w:rsidR="000A1585" w:rsidRPr="0089709E">
        <w:t xml:space="preserve"> 2025</w:t>
      </w:r>
      <w:r w:rsidR="00066D87" w:rsidRPr="0089709E">
        <w:t xml:space="preserve">) and finalization of planning (mid-2026), </w:t>
      </w:r>
      <w:r w:rsidR="00A729B1" w:rsidRPr="0089709E">
        <w:t xml:space="preserve">it should be assumed at this stage that </w:t>
      </w:r>
      <w:r w:rsidR="00B01D1A" w:rsidRPr="0089709E">
        <w:t>these</w:t>
      </w:r>
      <w:r w:rsidR="00A729B1" w:rsidRPr="0089709E">
        <w:t xml:space="preserve"> meeting rooms will remain unavailable throughout 2029.</w:t>
      </w:r>
    </w:p>
    <w:p w14:paraId="55AD4F3C" w14:textId="5CB47D66" w:rsidR="001A57C5" w:rsidRPr="0089709E" w:rsidRDefault="001A57C5" w:rsidP="00B57269">
      <w:pPr>
        <w:jc w:val="both"/>
      </w:pPr>
      <w:r w:rsidRPr="0089709E">
        <w:t>CICG will be unava</w:t>
      </w:r>
      <w:r w:rsidR="0025511F" w:rsidRPr="0089709E">
        <w:t>i</w:t>
      </w:r>
      <w:r w:rsidRPr="0089709E">
        <w:t xml:space="preserve">lable for use throughout 2028 as it is undergoing </w:t>
      </w:r>
      <w:r w:rsidR="0025511F" w:rsidRPr="0089709E">
        <w:t xml:space="preserve">a </w:t>
      </w:r>
      <w:r w:rsidRPr="0089709E">
        <w:t>renovation</w:t>
      </w:r>
      <w:r w:rsidR="0025511F" w:rsidRPr="0089709E">
        <w:t xml:space="preserve"> process currently planned for 2028. There is a possibility that this renovation may be pushed back to 2029</w:t>
      </w:r>
      <w:r w:rsidR="005F662C" w:rsidRPr="0089709E">
        <w:t>.</w:t>
      </w:r>
      <w:r w:rsidRPr="0089709E">
        <w:t xml:space="preserve"> In addition, there is increased pressure on</w:t>
      </w:r>
      <w:r w:rsidR="009226EC" w:rsidRPr="0089709E">
        <w:t xml:space="preserve"> </w:t>
      </w:r>
      <w:r w:rsidRPr="0089709E">
        <w:t xml:space="preserve">meeting spaces in international Geneva in this period as several major construction projects are taking place in parallel and </w:t>
      </w:r>
      <w:r w:rsidR="00A729B1" w:rsidRPr="0089709E">
        <w:t>demand</w:t>
      </w:r>
      <w:r w:rsidRPr="0089709E">
        <w:t xml:space="preserve"> is </w:t>
      </w:r>
      <w:r w:rsidR="009226EC" w:rsidRPr="0089709E">
        <w:t xml:space="preserve">very </w:t>
      </w:r>
      <w:r w:rsidRPr="0089709E">
        <w:t>high.</w:t>
      </w:r>
    </w:p>
    <w:p w14:paraId="3344CD74" w14:textId="3D37F24E" w:rsidR="00A729B1" w:rsidRPr="0089709E" w:rsidRDefault="00A729B1" w:rsidP="00B57269">
      <w:pPr>
        <w:jc w:val="both"/>
      </w:pPr>
      <w:r w:rsidRPr="0089709E">
        <w:t xml:space="preserve">CICG </w:t>
      </w:r>
      <w:r w:rsidR="00FF7C21" w:rsidRPr="0089709E">
        <w:t xml:space="preserve">will </w:t>
      </w:r>
      <w:r w:rsidRPr="0089709E">
        <w:t>have limited availability</w:t>
      </w:r>
      <w:r w:rsidR="009226EC" w:rsidRPr="0089709E">
        <w:t xml:space="preserve"> at best</w:t>
      </w:r>
      <w:r w:rsidRPr="0089709E">
        <w:t xml:space="preserve"> in 2029</w:t>
      </w:r>
      <w:r w:rsidR="00FF7C21" w:rsidRPr="0089709E">
        <w:t xml:space="preserve"> and </w:t>
      </w:r>
      <w:r w:rsidRPr="0089709E">
        <w:t>there is</w:t>
      </w:r>
      <w:r w:rsidR="004B4252" w:rsidRPr="0089709E">
        <w:t xml:space="preserve"> therefore</w:t>
      </w:r>
      <w:r w:rsidRPr="0089709E">
        <w:t xml:space="preserve"> no guarantee of sufficient space or of the availability of the existing financial subsidy for ITU meetings which provides rooms free of rental charges.</w:t>
      </w:r>
      <w:r w:rsidR="005B1012" w:rsidRPr="0089709E">
        <w:t xml:space="preserve"> It should additionally be noted that any request for meeting room facilities in CICG must be made </w:t>
      </w:r>
      <w:r w:rsidR="006E489D" w:rsidRPr="0089709E">
        <w:t xml:space="preserve">and confirmed </w:t>
      </w:r>
      <w:r w:rsidR="005B1012" w:rsidRPr="0089709E">
        <w:t>a</w:t>
      </w:r>
      <w:r w:rsidR="00B730E9" w:rsidRPr="0089709E">
        <w:t xml:space="preserve"> </w:t>
      </w:r>
      <w:r w:rsidR="005B1012" w:rsidRPr="0089709E">
        <w:t>minimum of 18 months in advance of the date of the meeting.</w:t>
      </w:r>
    </w:p>
    <w:p w14:paraId="5E3E835D" w14:textId="64A7F0BC" w:rsidR="0025511F" w:rsidRPr="0089709E" w:rsidRDefault="0025511F" w:rsidP="00B57269">
      <w:pPr>
        <w:jc w:val="both"/>
      </w:pPr>
      <w:r w:rsidRPr="0089709E">
        <w:t xml:space="preserve">This document does not </w:t>
      </w:r>
      <w:r w:rsidR="0056404E" w:rsidRPr="0089709E">
        <w:t>include</w:t>
      </w:r>
      <w:r w:rsidRPr="0089709E">
        <w:t xml:space="preserve"> the potential cost of rental fees for meeting rooms at CICG/CCV to replace the missing Varembé rooms in 2030/31 (and in 2029 if necessary).</w:t>
      </w:r>
    </w:p>
    <w:p w14:paraId="35B9F04F" w14:textId="07C750C6" w:rsidR="00D37DB5" w:rsidRPr="0089709E" w:rsidRDefault="005B1012" w:rsidP="00B57269">
      <w:pPr>
        <w:jc w:val="both"/>
      </w:pPr>
      <w:r w:rsidRPr="0089709E">
        <w:t>Holding all ITU technical meetings on an ad hoc basis in different host countries is not feasible at an operational or logistical level at this scale.</w:t>
      </w:r>
    </w:p>
    <w:p w14:paraId="52EFE62A" w14:textId="63DEBE67" w:rsidR="006F4BA2" w:rsidRPr="0089709E" w:rsidRDefault="001A57C5" w:rsidP="00B57269">
      <w:pPr>
        <w:pStyle w:val="Headingb"/>
      </w:pPr>
      <w:r w:rsidRPr="0089709E">
        <w:t xml:space="preserve">Business continuity </w:t>
      </w:r>
      <w:r w:rsidR="00C70E33" w:rsidRPr="0089709E">
        <w:t>modalities</w:t>
      </w:r>
    </w:p>
    <w:p w14:paraId="02B256FE" w14:textId="458FB031" w:rsidR="001A57C5" w:rsidRPr="0089709E" w:rsidRDefault="001A57C5" w:rsidP="00B57269">
      <w:r w:rsidRPr="0089709E">
        <w:t>The aim of this document is to present an overview of alternative meeting spaces for 2028 -2029 to ensure business continuity for ITU meetings, activities and membership.</w:t>
      </w:r>
    </w:p>
    <w:p w14:paraId="22F0B66E" w14:textId="658C0867" w:rsidR="006F4BA2" w:rsidRPr="0089709E" w:rsidRDefault="00C70E33" w:rsidP="00B57269">
      <w:pPr>
        <w:pStyle w:val="Headingi"/>
      </w:pPr>
      <w:r w:rsidRPr="0089709E">
        <w:t xml:space="preserve">Modality </w:t>
      </w:r>
      <w:r w:rsidR="001A57C5" w:rsidRPr="0089709E">
        <w:t xml:space="preserve">1: </w:t>
      </w:r>
      <w:r w:rsidR="006F4BA2" w:rsidRPr="0089709E">
        <w:t>Geneva</w:t>
      </w:r>
    </w:p>
    <w:p w14:paraId="5EFF19AF" w14:textId="139A79B3" w:rsidR="006F4BA2" w:rsidRPr="0089709E" w:rsidRDefault="004B4252" w:rsidP="00B57269">
      <w:pPr>
        <w:jc w:val="both"/>
      </w:pPr>
      <w:r w:rsidRPr="0089709E">
        <w:t>Given that</w:t>
      </w:r>
      <w:r w:rsidR="00A729B1" w:rsidRPr="0089709E">
        <w:t xml:space="preserve"> CICG</w:t>
      </w:r>
      <w:r w:rsidRPr="0089709E">
        <w:t xml:space="preserve"> is not available</w:t>
      </w:r>
      <w:r w:rsidR="00A729B1" w:rsidRPr="0089709E">
        <w:t xml:space="preserve"> </w:t>
      </w:r>
      <w:r w:rsidR="00D92C9F" w:rsidRPr="0089709E">
        <w:t xml:space="preserve">in 2028 </w:t>
      </w:r>
      <w:r w:rsidR="00A729B1" w:rsidRPr="0089709E">
        <w:t>and</w:t>
      </w:r>
      <w:r w:rsidRPr="0089709E">
        <w:t xml:space="preserve"> is only available on a limited scale in 2029 </w:t>
      </w:r>
      <w:r w:rsidR="00D92C9F" w:rsidRPr="0089709E">
        <w:t xml:space="preserve">due to </w:t>
      </w:r>
      <w:r w:rsidR="00A729B1" w:rsidRPr="0089709E">
        <w:t>the generally high demand for</w:t>
      </w:r>
      <w:r w:rsidR="00470E6D" w:rsidRPr="0089709E">
        <w:t xml:space="preserve"> room spaces in international Geneva, the newly extended </w:t>
      </w:r>
      <w:r w:rsidR="00470E6D" w:rsidRPr="0089709E">
        <w:lastRenderedPageBreak/>
        <w:t>Palexpo conference centre offers the most viable alternative</w:t>
      </w:r>
      <w:r w:rsidR="005746B3" w:rsidRPr="0089709E">
        <w:t xml:space="preserve"> to hold</w:t>
      </w:r>
      <w:r w:rsidR="00470E6D" w:rsidRPr="0089709E">
        <w:t xml:space="preserve"> ITU meeting</w:t>
      </w:r>
      <w:r w:rsidR="005746B3" w:rsidRPr="0089709E">
        <w:t>s</w:t>
      </w:r>
      <w:r w:rsidR="00470E6D" w:rsidRPr="0089709E">
        <w:t xml:space="preserve"> within Geneva</w:t>
      </w:r>
      <w:r w:rsidR="00D92C9F" w:rsidRPr="0089709E">
        <w:t xml:space="preserve"> in 2028-2029</w:t>
      </w:r>
      <w:r w:rsidR="00470E6D" w:rsidRPr="0089709E">
        <w:t>.</w:t>
      </w:r>
    </w:p>
    <w:p w14:paraId="6BB9F4A0" w14:textId="7CAFCA91" w:rsidR="005D3BFD" w:rsidRPr="0089709E" w:rsidRDefault="005D3BFD" w:rsidP="00B57269">
      <w:pPr>
        <w:jc w:val="both"/>
      </w:pPr>
      <w:r w:rsidRPr="0089709E">
        <w:t xml:space="preserve">Palexpo have provided a quote of 558 980 CHF for the rental of 12 meeting rooms on an exclusive basis, managed autonomously by ITU, for a period of 12 months.  Additional rooms may be rented, subject to availability, with a discount of 40% on standard costs. </w:t>
      </w:r>
    </w:p>
    <w:p w14:paraId="51AD430C" w14:textId="7BAAAE6E" w:rsidR="004B4252" w:rsidRPr="0089709E" w:rsidRDefault="005D3BFD" w:rsidP="00B57269">
      <w:pPr>
        <w:jc w:val="both"/>
      </w:pPr>
      <w:r w:rsidRPr="0089709E">
        <w:t>Additional costs must be calculate</w:t>
      </w:r>
      <w:r w:rsidR="00D92C9F" w:rsidRPr="0089709E">
        <w:t>d</w:t>
      </w:r>
      <w:r w:rsidRPr="0089709E">
        <w:t xml:space="preserve"> for technical services, security, cleaning and any change to room set up (from classroom to boardroom style, for example). Indicative costs for cleaning services provided by Palexpo are 260 CHF per day; cleaning services may be outsourced if required. Security services are costed at 58 CHF per hour and must be provided by one of Palexpo’s three official partners. These costings are based on 2024 rates and are indicative only.  </w:t>
      </w:r>
    </w:p>
    <w:p w14:paraId="00D2F864" w14:textId="1A2A4972" w:rsidR="004B4252" w:rsidRPr="0089709E" w:rsidRDefault="004B4252" w:rsidP="00B57269">
      <w:pPr>
        <w:pStyle w:val="Headingi"/>
      </w:pPr>
      <w:r w:rsidRPr="0089709E">
        <w:t>Indicative costs of hosting all meetings in Palexpo for one year</w:t>
      </w:r>
    </w:p>
    <w:p w14:paraId="7BEBBE4B" w14:textId="77777777" w:rsidR="004B4252" w:rsidRPr="0089709E" w:rsidRDefault="004B4252" w:rsidP="005D3BFD">
      <w:pPr>
        <w:tabs>
          <w:tab w:val="clear" w:pos="567"/>
          <w:tab w:val="clear" w:pos="1134"/>
          <w:tab w:val="clear" w:pos="1701"/>
          <w:tab w:val="clear" w:pos="2268"/>
          <w:tab w:val="clear" w:pos="2835"/>
        </w:tabs>
        <w:overflowPunct/>
        <w:autoSpaceDE/>
        <w:autoSpaceDN/>
        <w:adjustRightInd/>
        <w:spacing w:before="0"/>
        <w:textAlignment w:val="auto"/>
      </w:pPr>
    </w:p>
    <w:tbl>
      <w:tblPr>
        <w:tblStyle w:val="TableGrid"/>
        <w:tblW w:w="0" w:type="auto"/>
        <w:jc w:val="center"/>
        <w:tblLook w:val="04A0" w:firstRow="1" w:lastRow="0" w:firstColumn="1" w:lastColumn="0" w:noHBand="0" w:noVBand="1"/>
      </w:tblPr>
      <w:tblGrid>
        <w:gridCol w:w="3402"/>
        <w:gridCol w:w="3402"/>
      </w:tblGrid>
      <w:tr w:rsidR="004B4252" w:rsidRPr="0089709E" w14:paraId="3F26EB0B" w14:textId="77777777" w:rsidTr="0089709E">
        <w:trPr>
          <w:jc w:val="center"/>
        </w:trPr>
        <w:tc>
          <w:tcPr>
            <w:tcW w:w="3402" w:type="dxa"/>
          </w:tcPr>
          <w:p w14:paraId="39FFC851" w14:textId="21A9FFC7" w:rsidR="004B4252" w:rsidRPr="0089709E" w:rsidRDefault="004B4252" w:rsidP="0031424F">
            <w:pPr>
              <w:pStyle w:val="Tablehead"/>
            </w:pPr>
            <w:r w:rsidRPr="0089709E">
              <w:t>Item</w:t>
            </w:r>
          </w:p>
        </w:tc>
        <w:tc>
          <w:tcPr>
            <w:tcW w:w="3402" w:type="dxa"/>
          </w:tcPr>
          <w:p w14:paraId="24B4978E" w14:textId="5031D822" w:rsidR="004B4252" w:rsidRPr="0089709E" w:rsidRDefault="004B4252" w:rsidP="0089709E">
            <w:pPr>
              <w:pStyle w:val="Tablehead"/>
            </w:pPr>
            <w:r w:rsidRPr="0089709E">
              <w:t>Cost (CHF)</w:t>
            </w:r>
            <w:r w:rsidR="00F47E79" w:rsidRPr="0089709E">
              <w:t>/year</w:t>
            </w:r>
          </w:p>
        </w:tc>
      </w:tr>
      <w:tr w:rsidR="004B4252" w:rsidRPr="0089709E" w14:paraId="33D3A2B0" w14:textId="77777777" w:rsidTr="0089709E">
        <w:trPr>
          <w:jc w:val="center"/>
        </w:trPr>
        <w:tc>
          <w:tcPr>
            <w:tcW w:w="3402" w:type="dxa"/>
          </w:tcPr>
          <w:p w14:paraId="5313D146" w14:textId="21643DA9" w:rsidR="004B4252" w:rsidRPr="0089709E" w:rsidRDefault="004B4252" w:rsidP="0089709E">
            <w:pPr>
              <w:pStyle w:val="Tabletext"/>
            </w:pPr>
            <w:r w:rsidRPr="0089709E">
              <w:t>Rental (12 meeting rooms)</w:t>
            </w:r>
          </w:p>
        </w:tc>
        <w:tc>
          <w:tcPr>
            <w:tcW w:w="3402" w:type="dxa"/>
          </w:tcPr>
          <w:p w14:paraId="3A5040D3" w14:textId="3D900E00" w:rsidR="004B4252" w:rsidRPr="0089709E" w:rsidRDefault="004B4252" w:rsidP="0089709E">
            <w:pPr>
              <w:pStyle w:val="Tabletext"/>
              <w:jc w:val="center"/>
            </w:pPr>
            <w:r w:rsidRPr="0089709E">
              <w:t>558 980</w:t>
            </w:r>
          </w:p>
        </w:tc>
      </w:tr>
      <w:tr w:rsidR="00F47E79" w:rsidRPr="0089709E" w14:paraId="759E3E4D" w14:textId="77777777" w:rsidTr="0089709E">
        <w:trPr>
          <w:jc w:val="center"/>
        </w:trPr>
        <w:tc>
          <w:tcPr>
            <w:tcW w:w="3402" w:type="dxa"/>
          </w:tcPr>
          <w:p w14:paraId="171FDD72" w14:textId="4FC86A43" w:rsidR="00F47E79" w:rsidRPr="0089709E" w:rsidRDefault="00F47E79" w:rsidP="0089709E">
            <w:pPr>
              <w:pStyle w:val="Tabletext"/>
            </w:pPr>
            <w:r w:rsidRPr="0089709E">
              <w:t>Rental for additional rooms</w:t>
            </w:r>
          </w:p>
        </w:tc>
        <w:tc>
          <w:tcPr>
            <w:tcW w:w="3402" w:type="dxa"/>
          </w:tcPr>
          <w:p w14:paraId="3C7F2AEB" w14:textId="0CDBFFAE" w:rsidR="00F47E79" w:rsidRPr="0089709E" w:rsidRDefault="006E489D" w:rsidP="0089709E">
            <w:pPr>
              <w:pStyle w:val="Tabletext"/>
              <w:jc w:val="center"/>
            </w:pPr>
            <w:r w:rsidRPr="0089709E">
              <w:t>560 000</w:t>
            </w:r>
          </w:p>
        </w:tc>
      </w:tr>
      <w:tr w:rsidR="004B4252" w:rsidRPr="0089709E" w14:paraId="798D1B0E" w14:textId="77777777" w:rsidTr="0089709E">
        <w:trPr>
          <w:jc w:val="center"/>
        </w:trPr>
        <w:tc>
          <w:tcPr>
            <w:tcW w:w="3402" w:type="dxa"/>
          </w:tcPr>
          <w:p w14:paraId="59151114" w14:textId="6A6D7B46" w:rsidR="004B4252" w:rsidRPr="0089709E" w:rsidRDefault="004B4252" w:rsidP="0089709E">
            <w:pPr>
              <w:pStyle w:val="Tabletext"/>
            </w:pPr>
            <w:r w:rsidRPr="0089709E">
              <w:t>Technical services</w:t>
            </w:r>
            <w:r w:rsidR="00F47E79" w:rsidRPr="0089709E">
              <w:t xml:space="preserve"> </w:t>
            </w:r>
            <w:r w:rsidR="00083A35" w:rsidRPr="0089709E">
              <w:t>&amp; room set-up</w:t>
            </w:r>
          </w:p>
        </w:tc>
        <w:tc>
          <w:tcPr>
            <w:tcW w:w="3402" w:type="dxa"/>
          </w:tcPr>
          <w:p w14:paraId="183D0FA0" w14:textId="3D796B0F" w:rsidR="004B4252" w:rsidRPr="0089709E" w:rsidRDefault="00083A35" w:rsidP="0089709E">
            <w:pPr>
              <w:pStyle w:val="Tabletext"/>
              <w:jc w:val="center"/>
            </w:pPr>
            <w:r w:rsidRPr="0089709E">
              <w:t>3 000 000</w:t>
            </w:r>
          </w:p>
        </w:tc>
      </w:tr>
      <w:tr w:rsidR="004B4252" w:rsidRPr="0089709E" w14:paraId="1A45FF9B" w14:textId="77777777" w:rsidTr="0089709E">
        <w:trPr>
          <w:jc w:val="center"/>
        </w:trPr>
        <w:tc>
          <w:tcPr>
            <w:tcW w:w="3402" w:type="dxa"/>
          </w:tcPr>
          <w:p w14:paraId="3553CF30" w14:textId="3153B407" w:rsidR="004B4252" w:rsidRPr="0089709E" w:rsidRDefault="004B4252" w:rsidP="0089709E">
            <w:pPr>
              <w:pStyle w:val="Tabletext"/>
            </w:pPr>
            <w:r w:rsidRPr="0089709E">
              <w:t>Security</w:t>
            </w:r>
          </w:p>
        </w:tc>
        <w:tc>
          <w:tcPr>
            <w:tcW w:w="3402" w:type="dxa"/>
          </w:tcPr>
          <w:p w14:paraId="6B403BE0" w14:textId="6EA551C7" w:rsidR="004B4252" w:rsidRPr="0089709E" w:rsidRDefault="00083A35" w:rsidP="0089709E">
            <w:pPr>
              <w:pStyle w:val="Tabletext"/>
              <w:jc w:val="center"/>
            </w:pPr>
            <w:r w:rsidRPr="0089709E">
              <w:t>6</w:t>
            </w:r>
            <w:r w:rsidR="00FD2026" w:rsidRPr="0089709E">
              <w:t>00</w:t>
            </w:r>
            <w:r w:rsidR="00F47E79" w:rsidRPr="0089709E">
              <w:t xml:space="preserve"> 000</w:t>
            </w:r>
          </w:p>
        </w:tc>
      </w:tr>
      <w:tr w:rsidR="004B4252" w:rsidRPr="0089709E" w14:paraId="25A79FA3" w14:textId="77777777" w:rsidTr="0089709E">
        <w:trPr>
          <w:jc w:val="center"/>
        </w:trPr>
        <w:tc>
          <w:tcPr>
            <w:tcW w:w="3402" w:type="dxa"/>
          </w:tcPr>
          <w:p w14:paraId="0A6BA146" w14:textId="2B36445C" w:rsidR="004B4252" w:rsidRPr="0089709E" w:rsidRDefault="004B4252" w:rsidP="0089709E">
            <w:pPr>
              <w:pStyle w:val="Tabletext"/>
            </w:pPr>
            <w:r w:rsidRPr="0089709E">
              <w:t>Cleaning</w:t>
            </w:r>
          </w:p>
        </w:tc>
        <w:tc>
          <w:tcPr>
            <w:tcW w:w="3402" w:type="dxa"/>
          </w:tcPr>
          <w:p w14:paraId="5E16A43D" w14:textId="39618AF8" w:rsidR="004B4252" w:rsidRPr="0089709E" w:rsidRDefault="00083A35" w:rsidP="0089709E">
            <w:pPr>
              <w:pStyle w:val="Tabletext"/>
              <w:jc w:val="center"/>
            </w:pPr>
            <w:r w:rsidRPr="0089709E">
              <w:t>60 000</w:t>
            </w:r>
          </w:p>
        </w:tc>
      </w:tr>
      <w:tr w:rsidR="004B4252" w:rsidRPr="0089709E" w14:paraId="5BFA2775" w14:textId="77777777" w:rsidTr="0089709E">
        <w:trPr>
          <w:jc w:val="center"/>
        </w:trPr>
        <w:tc>
          <w:tcPr>
            <w:tcW w:w="3402" w:type="dxa"/>
          </w:tcPr>
          <w:p w14:paraId="31CC9A15" w14:textId="1FED531F" w:rsidR="004B4252" w:rsidRPr="0089709E" w:rsidRDefault="009503E1" w:rsidP="0089709E">
            <w:pPr>
              <w:pStyle w:val="Tabletext"/>
              <w:rPr>
                <w:b/>
                <w:bCs/>
              </w:rPr>
            </w:pPr>
            <w:r w:rsidRPr="0089709E">
              <w:rPr>
                <w:b/>
                <w:bCs/>
              </w:rPr>
              <w:t>Total</w:t>
            </w:r>
          </w:p>
        </w:tc>
        <w:tc>
          <w:tcPr>
            <w:tcW w:w="3402" w:type="dxa"/>
          </w:tcPr>
          <w:p w14:paraId="113FE9D4" w14:textId="325B2CFA" w:rsidR="004B4252" w:rsidRPr="0089709E" w:rsidRDefault="00C70E33" w:rsidP="0089709E">
            <w:pPr>
              <w:pStyle w:val="Tabletext"/>
              <w:jc w:val="center"/>
              <w:rPr>
                <w:b/>
                <w:bCs/>
              </w:rPr>
            </w:pPr>
            <w:r w:rsidRPr="0089709E">
              <w:rPr>
                <w:b/>
                <w:bCs/>
              </w:rPr>
              <w:t>4 778 980</w:t>
            </w:r>
          </w:p>
        </w:tc>
      </w:tr>
    </w:tbl>
    <w:p w14:paraId="24BC3D01" w14:textId="77777777" w:rsidR="004B4252" w:rsidRPr="0089709E" w:rsidRDefault="004B4252" w:rsidP="0089709E">
      <w:pPr>
        <w:pStyle w:val="Tabletext"/>
      </w:pPr>
    </w:p>
    <w:p w14:paraId="28ADFFD1" w14:textId="57BC5C46" w:rsidR="005D3BFD" w:rsidRPr="0089709E" w:rsidRDefault="005D3BFD" w:rsidP="0089709E">
      <w:pPr>
        <w:jc w:val="both"/>
      </w:pPr>
      <w:r w:rsidRPr="0089709E">
        <w:t>Palexpo require</w:t>
      </w:r>
      <w:r w:rsidR="0089709E" w:rsidRPr="0089709E">
        <w:t>s</w:t>
      </w:r>
      <w:r w:rsidRPr="0089709E">
        <w:t xml:space="preserve"> any contract for 2028 to be signed by 31 December 2025 at the latest; and for 2029, by 31 December 2026 </w:t>
      </w:r>
      <w:r w:rsidR="0089709E" w:rsidRPr="0089709E">
        <w:t xml:space="preserve">at the </w:t>
      </w:r>
      <w:r w:rsidRPr="0089709E">
        <w:t>latest.</w:t>
      </w:r>
    </w:p>
    <w:p w14:paraId="692D7E29" w14:textId="186242FD" w:rsidR="0066386F" w:rsidRPr="0089709E" w:rsidRDefault="009503E1" w:rsidP="0089709E">
      <w:pPr>
        <w:jc w:val="both"/>
      </w:pPr>
      <w:bookmarkStart w:id="11" w:name="_Hlk187683539"/>
      <w:r w:rsidRPr="0089709E">
        <w:t>F</w:t>
      </w:r>
      <w:r w:rsidR="00F47E79" w:rsidRPr="0089709E">
        <w:t xml:space="preserve">ollowing initial discussions on business continuity with the host state, Switzerland, if ITU seeks to hold meetings elsewhere in Geneva during the period of CICG renovation, Switzerland is prepared to consider providing financial support to ITU </w:t>
      </w:r>
      <w:r w:rsidR="0066386F" w:rsidRPr="0089709E">
        <w:t>according to the resources available at that time. However, Switzerland cannot give any guarantee at this stage.</w:t>
      </w:r>
    </w:p>
    <w:p w14:paraId="313A983A" w14:textId="554870CE" w:rsidR="0079263F" w:rsidRPr="0089709E" w:rsidRDefault="0079263F" w:rsidP="0089709E">
      <w:pPr>
        <w:jc w:val="both"/>
      </w:pPr>
      <w:r w:rsidRPr="0089709E">
        <w:t xml:space="preserve">The advantages of continuing to hold all meetings in Geneva include excellence and centrality of location, delegate familiarity with Geneva, ease of access to ITU staff and expertise, provision of ITU support services and access to the wider UN network. </w:t>
      </w:r>
    </w:p>
    <w:bookmarkEnd w:id="11"/>
    <w:p w14:paraId="6D799264" w14:textId="181DF71E" w:rsidR="006F4BA2" w:rsidRPr="0089709E" w:rsidRDefault="00C70E33" w:rsidP="0089709E">
      <w:pPr>
        <w:pStyle w:val="Headingi"/>
      </w:pPr>
      <w:r w:rsidRPr="0089709E">
        <w:t>Modality</w:t>
      </w:r>
      <w:r w:rsidR="006F4BA2" w:rsidRPr="0089709E">
        <w:t xml:space="preserve"> 2</w:t>
      </w:r>
      <w:r w:rsidR="001A57C5" w:rsidRPr="0089709E">
        <w:t>: ITU Meeting Hubs</w:t>
      </w:r>
    </w:p>
    <w:p w14:paraId="27D57D4E" w14:textId="353F6A27" w:rsidR="001170C7" w:rsidRPr="0089709E" w:rsidRDefault="005014F0" w:rsidP="0089709E">
      <w:pPr>
        <w:jc w:val="both"/>
      </w:pPr>
      <w:r w:rsidRPr="0089709E">
        <w:t xml:space="preserve">An initial call </w:t>
      </w:r>
      <w:r w:rsidR="009226EC" w:rsidRPr="0089709E">
        <w:t xml:space="preserve">for </w:t>
      </w:r>
      <w:r w:rsidRPr="0089709E">
        <w:t xml:space="preserve">expressions of interest in hosting physical ITU meetings during the construction period of the new ITU headquarters was sent to all Member States in October and November 2021 (Circular Letters </w:t>
      </w:r>
      <w:hyperlink r:id="rId12" w:history="1">
        <w:r w:rsidRPr="0089709E">
          <w:rPr>
            <w:rStyle w:val="Hyperlink"/>
          </w:rPr>
          <w:t>CL21/47</w:t>
        </w:r>
        <w:r w:rsidR="0031424F" w:rsidRPr="0089709E">
          <w:t xml:space="preserve"> </w:t>
        </w:r>
        <w:r w:rsidRPr="0089709E">
          <w:rPr>
            <w:rStyle w:val="Hyperlink"/>
            <w:color w:val="auto"/>
            <w:u w:val="none"/>
          </w:rPr>
          <w:t xml:space="preserve">and </w:t>
        </w:r>
        <w:r w:rsidRPr="0089709E">
          <w:rPr>
            <w:rStyle w:val="Hyperlink"/>
          </w:rPr>
          <w:t>CL21/47-</w:t>
        </w:r>
        <w:r w:rsidR="0031424F" w:rsidRPr="0089709E">
          <w:rPr>
            <w:rStyle w:val="Hyperlink"/>
          </w:rPr>
          <w:t>A</w:t>
        </w:r>
        <w:r w:rsidRPr="0089709E">
          <w:rPr>
            <w:rStyle w:val="Hyperlink"/>
          </w:rPr>
          <w:t>ddendum</w:t>
        </w:r>
      </w:hyperlink>
      <w:r w:rsidRPr="0089709E">
        <w:t xml:space="preserve">). This was followed by an information session at Council </w:t>
      </w:r>
      <w:r w:rsidR="00D37DB5" w:rsidRPr="0089709E">
        <w:t xml:space="preserve">in July 2023 </w:t>
      </w:r>
      <w:r w:rsidRPr="0089709E">
        <w:t>presenting detailed requirements for hosting ITU technical meetings (</w:t>
      </w:r>
      <w:hyperlink r:id="rId13" w:history="1">
        <w:r w:rsidR="001170C7" w:rsidRPr="0089709E">
          <w:rPr>
            <w:rStyle w:val="Hyperlink"/>
          </w:rPr>
          <w:t>https://council.itu.int/2023/en/programme/hosting-itu-meetings/</w:t>
        </w:r>
      </w:hyperlink>
      <w:r w:rsidRPr="0089709E">
        <w:t>), whereby i</w:t>
      </w:r>
      <w:r w:rsidR="009707CE" w:rsidRPr="0089709E">
        <w:t xml:space="preserve">n line with Resolution 5 of the Plenipotentiary Conference and the respective Sector resolutions, the Host Country covers the cost of venue, facilities, technical services and running the Meetings Hub, in addition to ITU staff costs onsite. </w:t>
      </w:r>
    </w:p>
    <w:p w14:paraId="41FA7278" w14:textId="566D2D93" w:rsidR="00AF47E4" w:rsidRPr="0089709E" w:rsidRDefault="005014F0" w:rsidP="0089709E">
      <w:pPr>
        <w:jc w:val="both"/>
      </w:pPr>
      <w:r w:rsidRPr="0089709E">
        <w:t xml:space="preserve">Several Member States subsequently requested that the secretariat develop a more comprehensive proposal for an ITU Meetings Hub with a Member State hosting many or all </w:t>
      </w:r>
      <w:r w:rsidRPr="0089709E">
        <w:lastRenderedPageBreak/>
        <w:t xml:space="preserve">ITU technical meetings in one venue for a period of one year. </w:t>
      </w:r>
      <w:r w:rsidR="00D37DB5" w:rsidRPr="0089709E">
        <w:t>The expression</w:t>
      </w:r>
      <w:r w:rsidR="00AF47E4" w:rsidRPr="0089709E">
        <w:t xml:space="preserve"> of interest process remains open and ongoing, </w:t>
      </w:r>
      <w:r w:rsidR="00D37DB5" w:rsidRPr="0089709E">
        <w:t xml:space="preserve">with concrete </w:t>
      </w:r>
      <w:r w:rsidR="00AF47E4" w:rsidRPr="0089709E">
        <w:t xml:space="preserve">discussions continuing with China, Hungary and Qatar. Assessment of suitability for an ITU Meeting Hub is based on accessibility of location, the readiness of venues and facilities, proven experience with international events of this nature, visa facilitation and costs. </w:t>
      </w:r>
    </w:p>
    <w:p w14:paraId="129E69DF" w14:textId="4CAC2343" w:rsidR="00AF47E4" w:rsidRPr="0089709E" w:rsidRDefault="00AF47E4" w:rsidP="0089709E">
      <w:pPr>
        <w:jc w:val="both"/>
      </w:pPr>
      <w:r w:rsidRPr="0089709E">
        <w:t>The Host Country benefits from global recognition as a major digital hub and international events organizer, access to industry expertise, status as a trusted ITU partner and extended real return on investment at local, regional and national levels, as well as international visitor traffic and spending in the local economy.</w:t>
      </w:r>
    </w:p>
    <w:p w14:paraId="37647234" w14:textId="112EABA4" w:rsidR="006F4BA2" w:rsidRPr="0089709E" w:rsidRDefault="00AF47E4" w:rsidP="0089709E">
      <w:pPr>
        <w:jc w:val="both"/>
      </w:pPr>
      <w:r w:rsidRPr="0089709E">
        <w:t>ITU membership benefits from expanded visibility, long-term business continuity for meetings, ease of planning, delegate familiarity with venue, established facilities and technical services and opportunities for ITU staff outside Geneva.</w:t>
      </w:r>
      <w:r w:rsidR="009707CE" w:rsidRPr="0089709E">
        <w:t xml:space="preserve"> </w:t>
      </w:r>
    </w:p>
    <w:p w14:paraId="116754CF" w14:textId="49F42A2A" w:rsidR="009707CE" w:rsidRPr="0089709E" w:rsidRDefault="009707CE" w:rsidP="0089709E">
      <w:pPr>
        <w:jc w:val="both"/>
      </w:pPr>
      <w:r w:rsidRPr="0089709E">
        <w:t>One Host Country may hold all 60 ITU technical meetings in one year; or meetings may be split between two or more Host Countries.</w:t>
      </w:r>
    </w:p>
    <w:p w14:paraId="7667086C" w14:textId="35A5D156" w:rsidR="00781108" w:rsidRPr="0089709E" w:rsidRDefault="009503E1" w:rsidP="0089709E">
      <w:pPr>
        <w:pStyle w:val="Headingi"/>
      </w:pPr>
      <w:r w:rsidRPr="0089709E">
        <w:t>Modality</w:t>
      </w:r>
      <w:r w:rsidR="001170C7" w:rsidRPr="0089709E">
        <w:t xml:space="preserve"> 3:</w:t>
      </w:r>
      <w:r w:rsidR="00781108" w:rsidRPr="0089709E">
        <w:t xml:space="preserve"> Remote meetings </w:t>
      </w:r>
    </w:p>
    <w:p w14:paraId="28B24F29" w14:textId="6F409278" w:rsidR="001170C7" w:rsidRPr="0089709E" w:rsidRDefault="001170C7" w:rsidP="0089709E">
      <w:r w:rsidRPr="0089709E">
        <w:t xml:space="preserve">Given the availability of platforms open to all and the familiarity of Member State delegates, ITU staff and technical support with online meetings following the COVID-19 pandemic, </w:t>
      </w:r>
      <w:r w:rsidR="00607E2A" w:rsidRPr="0089709E">
        <w:t xml:space="preserve">it </w:t>
      </w:r>
      <w:r w:rsidRPr="0089709E">
        <w:t>is technically</w:t>
      </w:r>
      <w:r w:rsidR="00B73A0F" w:rsidRPr="0089709E">
        <w:t xml:space="preserve"> and practically</w:t>
      </w:r>
      <w:r w:rsidRPr="0089709E">
        <w:t xml:space="preserve"> feasible </w:t>
      </w:r>
      <w:r w:rsidR="00607E2A" w:rsidRPr="0089709E">
        <w:t>to hold fully virtual technical meetings. This option</w:t>
      </w:r>
      <w:r w:rsidRPr="0089709E">
        <w:t xml:space="preserve"> would provide a low-cost alternative for the limited period of time when meeting rooms in ITU headquarters are not available (2028</w:t>
      </w:r>
      <w:r w:rsidR="0089709E" w:rsidRPr="0089709E">
        <w:t>-</w:t>
      </w:r>
      <w:r w:rsidRPr="0089709E">
        <w:t>2029).</w:t>
      </w:r>
    </w:p>
    <w:p w14:paraId="5EA0E318" w14:textId="029B04D6" w:rsidR="00B73A0F" w:rsidRPr="0089709E" w:rsidRDefault="00DF710B" w:rsidP="0089709E">
      <w:pPr>
        <w:pStyle w:val="Headingb"/>
      </w:pPr>
      <w:r w:rsidRPr="0089709E">
        <w:t>C</w:t>
      </w:r>
      <w:r w:rsidR="009226EC" w:rsidRPr="0089709E">
        <w:t>ombining modalities</w:t>
      </w:r>
    </w:p>
    <w:p w14:paraId="627F59FE" w14:textId="7FB540A3" w:rsidR="00B73A0F" w:rsidRPr="0089709E" w:rsidRDefault="00B73A0F" w:rsidP="0089709E">
      <w:pPr>
        <w:jc w:val="both"/>
      </w:pPr>
      <w:r w:rsidRPr="0089709E">
        <w:t xml:space="preserve">A combination of the above </w:t>
      </w:r>
      <w:r w:rsidR="00006B1D" w:rsidRPr="0089709E">
        <w:t>modalities</w:t>
      </w:r>
      <w:r w:rsidRPr="0089709E">
        <w:t xml:space="preserve"> may also be considered, holding meetings in Palexpo, in Member State hosts and </w:t>
      </w:r>
      <w:r w:rsidR="006E489D" w:rsidRPr="0089709E">
        <w:t>virtually</w:t>
      </w:r>
      <w:r w:rsidRPr="0089709E">
        <w:t xml:space="preserve"> dependent upon the nature and size of each individual meeting. This may be beneficial in terms of costs and flexibility. This approach would call for detailed planning within a relatively tight timeframe (given Palexpo contract deadlines) and may introduce additional complexities in communication, travel and technical support or additional costs (lack of economy of scale in Palexpo contract, for example).</w:t>
      </w:r>
    </w:p>
    <w:p w14:paraId="42DC8B4C" w14:textId="77777777" w:rsidR="0089709E" w:rsidRPr="0089709E" w:rsidRDefault="0089709E" w:rsidP="0089709E">
      <w:pPr>
        <w:spacing w:before="600"/>
        <w:jc w:val="center"/>
      </w:pPr>
      <w:r w:rsidRPr="0089709E">
        <w:t>______________</w:t>
      </w:r>
    </w:p>
    <w:sectPr w:rsidR="0089709E" w:rsidRPr="0089709E"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97355" w14:textId="77777777" w:rsidR="00A03665" w:rsidRDefault="00A03665">
      <w:r>
        <w:separator/>
      </w:r>
    </w:p>
  </w:endnote>
  <w:endnote w:type="continuationSeparator" w:id="0">
    <w:p w14:paraId="532FF195" w14:textId="77777777" w:rsidR="00A03665" w:rsidRDefault="00A0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43F3FA6A"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B57269">
            <w:rPr>
              <w:bCs/>
              <w:lang w:val="fr-CH"/>
            </w:rPr>
            <w:t>9</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7777777" w:rsidR="00EE49E8" w:rsidRPr="00F56F10" w:rsidRDefault="0025570E" w:rsidP="00EE49E8">
          <w:pPr>
            <w:pStyle w:val="Header"/>
            <w:jc w:val="left"/>
            <w:rPr>
              <w:noProof/>
            </w:rPr>
          </w:pPr>
          <w:hyperlink r:id="rId1" w:history="1">
            <w:r w:rsidRPr="00F56F10">
              <w:rPr>
                <w:rStyle w:val="Hyperlink"/>
                <w:u w:val="none"/>
              </w:rPr>
              <w:t>https://council.itu.int/working-groups</w:t>
            </w:r>
          </w:hyperlink>
        </w:p>
      </w:tc>
      <w:tc>
        <w:tcPr>
          <w:tcW w:w="6957" w:type="dxa"/>
        </w:tcPr>
        <w:p w14:paraId="7CFADCBC" w14:textId="1592A5A2"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661401">
            <w:rPr>
              <w:bCs/>
              <w:lang w:val="es-ES"/>
            </w:rPr>
            <w:t>9</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F54A3" w14:textId="77777777" w:rsidR="00A03665" w:rsidRDefault="00A03665">
      <w:r>
        <w:t>____________________</w:t>
      </w:r>
    </w:p>
  </w:footnote>
  <w:footnote w:type="continuationSeparator" w:id="0">
    <w:p w14:paraId="37FDD631" w14:textId="77777777" w:rsidR="00A03665" w:rsidRDefault="00A0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BD4E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A0E2F"/>
    <w:multiLevelType w:val="hybridMultilevel"/>
    <w:tmpl w:val="54AEF6AA"/>
    <w:lvl w:ilvl="0" w:tplc="2A6AB12C">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2F905BC4"/>
    <w:multiLevelType w:val="hybridMultilevel"/>
    <w:tmpl w:val="776A928A"/>
    <w:lvl w:ilvl="0" w:tplc="3A5062A2">
      <w:start w:val="1"/>
      <w:numFmt w:val="bullet"/>
      <w:lvlText w:val="•"/>
      <w:lvlJc w:val="left"/>
      <w:pPr>
        <w:tabs>
          <w:tab w:val="num" w:pos="720"/>
        </w:tabs>
        <w:ind w:left="720" w:hanging="360"/>
      </w:pPr>
      <w:rPr>
        <w:rFonts w:ascii="Arial" w:hAnsi="Arial" w:hint="default"/>
      </w:rPr>
    </w:lvl>
    <w:lvl w:ilvl="1" w:tplc="4D3A31B0" w:tentative="1">
      <w:start w:val="1"/>
      <w:numFmt w:val="bullet"/>
      <w:lvlText w:val="•"/>
      <w:lvlJc w:val="left"/>
      <w:pPr>
        <w:tabs>
          <w:tab w:val="num" w:pos="1440"/>
        </w:tabs>
        <w:ind w:left="1440" w:hanging="360"/>
      </w:pPr>
      <w:rPr>
        <w:rFonts w:ascii="Arial" w:hAnsi="Arial" w:hint="default"/>
      </w:rPr>
    </w:lvl>
    <w:lvl w:ilvl="2" w:tplc="8C6E02CA" w:tentative="1">
      <w:start w:val="1"/>
      <w:numFmt w:val="bullet"/>
      <w:lvlText w:val="•"/>
      <w:lvlJc w:val="left"/>
      <w:pPr>
        <w:tabs>
          <w:tab w:val="num" w:pos="2160"/>
        </w:tabs>
        <w:ind w:left="2160" w:hanging="360"/>
      </w:pPr>
      <w:rPr>
        <w:rFonts w:ascii="Arial" w:hAnsi="Arial" w:hint="default"/>
      </w:rPr>
    </w:lvl>
    <w:lvl w:ilvl="3" w:tplc="6868E04E" w:tentative="1">
      <w:start w:val="1"/>
      <w:numFmt w:val="bullet"/>
      <w:lvlText w:val="•"/>
      <w:lvlJc w:val="left"/>
      <w:pPr>
        <w:tabs>
          <w:tab w:val="num" w:pos="2880"/>
        </w:tabs>
        <w:ind w:left="2880" w:hanging="360"/>
      </w:pPr>
      <w:rPr>
        <w:rFonts w:ascii="Arial" w:hAnsi="Arial" w:hint="default"/>
      </w:rPr>
    </w:lvl>
    <w:lvl w:ilvl="4" w:tplc="C1A6AC38" w:tentative="1">
      <w:start w:val="1"/>
      <w:numFmt w:val="bullet"/>
      <w:lvlText w:val="•"/>
      <w:lvlJc w:val="left"/>
      <w:pPr>
        <w:tabs>
          <w:tab w:val="num" w:pos="3600"/>
        </w:tabs>
        <w:ind w:left="3600" w:hanging="360"/>
      </w:pPr>
      <w:rPr>
        <w:rFonts w:ascii="Arial" w:hAnsi="Arial" w:hint="default"/>
      </w:rPr>
    </w:lvl>
    <w:lvl w:ilvl="5" w:tplc="65EA210A" w:tentative="1">
      <w:start w:val="1"/>
      <w:numFmt w:val="bullet"/>
      <w:lvlText w:val="•"/>
      <w:lvlJc w:val="left"/>
      <w:pPr>
        <w:tabs>
          <w:tab w:val="num" w:pos="4320"/>
        </w:tabs>
        <w:ind w:left="4320" w:hanging="360"/>
      </w:pPr>
      <w:rPr>
        <w:rFonts w:ascii="Arial" w:hAnsi="Arial" w:hint="default"/>
      </w:rPr>
    </w:lvl>
    <w:lvl w:ilvl="6" w:tplc="FEE2D992" w:tentative="1">
      <w:start w:val="1"/>
      <w:numFmt w:val="bullet"/>
      <w:lvlText w:val="•"/>
      <w:lvlJc w:val="left"/>
      <w:pPr>
        <w:tabs>
          <w:tab w:val="num" w:pos="5040"/>
        </w:tabs>
        <w:ind w:left="5040" w:hanging="360"/>
      </w:pPr>
      <w:rPr>
        <w:rFonts w:ascii="Arial" w:hAnsi="Arial" w:hint="default"/>
      </w:rPr>
    </w:lvl>
    <w:lvl w:ilvl="7" w:tplc="536CAA1C" w:tentative="1">
      <w:start w:val="1"/>
      <w:numFmt w:val="bullet"/>
      <w:lvlText w:val="•"/>
      <w:lvlJc w:val="left"/>
      <w:pPr>
        <w:tabs>
          <w:tab w:val="num" w:pos="5760"/>
        </w:tabs>
        <w:ind w:left="5760" w:hanging="360"/>
      </w:pPr>
      <w:rPr>
        <w:rFonts w:ascii="Arial" w:hAnsi="Arial" w:hint="default"/>
      </w:rPr>
    </w:lvl>
    <w:lvl w:ilvl="8" w:tplc="668431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864AF9"/>
    <w:multiLevelType w:val="hybridMultilevel"/>
    <w:tmpl w:val="13FA9B42"/>
    <w:lvl w:ilvl="0" w:tplc="1F38309A">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816267">
    <w:abstractNumId w:val="0"/>
  </w:num>
  <w:num w:numId="2" w16cid:durableId="176966965">
    <w:abstractNumId w:val="3"/>
  </w:num>
  <w:num w:numId="3" w16cid:durableId="26180664">
    <w:abstractNumId w:val="1"/>
  </w:num>
  <w:num w:numId="4" w16cid:durableId="993413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06B1D"/>
    <w:rsid w:val="000120E4"/>
    <w:rsid w:val="00016CBB"/>
    <w:rsid w:val="00017B81"/>
    <w:rsid w:val="000210D4"/>
    <w:rsid w:val="00026700"/>
    <w:rsid w:val="00051A47"/>
    <w:rsid w:val="00063016"/>
    <w:rsid w:val="00066795"/>
    <w:rsid w:val="00066D87"/>
    <w:rsid w:val="00076AF6"/>
    <w:rsid w:val="00083A35"/>
    <w:rsid w:val="00085CF2"/>
    <w:rsid w:val="000930F2"/>
    <w:rsid w:val="000A1585"/>
    <w:rsid w:val="000B1705"/>
    <w:rsid w:val="000D123C"/>
    <w:rsid w:val="000D3706"/>
    <w:rsid w:val="000D75B2"/>
    <w:rsid w:val="000F6AB8"/>
    <w:rsid w:val="001121F5"/>
    <w:rsid w:val="001170C7"/>
    <w:rsid w:val="00130599"/>
    <w:rsid w:val="001400DC"/>
    <w:rsid w:val="00140CE1"/>
    <w:rsid w:val="001461F6"/>
    <w:rsid w:val="00147C54"/>
    <w:rsid w:val="00155025"/>
    <w:rsid w:val="0017539C"/>
    <w:rsid w:val="00175AC2"/>
    <w:rsid w:val="0017609F"/>
    <w:rsid w:val="00180F16"/>
    <w:rsid w:val="00191A9D"/>
    <w:rsid w:val="001A57C5"/>
    <w:rsid w:val="001A7D1D"/>
    <w:rsid w:val="001B51DD"/>
    <w:rsid w:val="001C628E"/>
    <w:rsid w:val="001D0B84"/>
    <w:rsid w:val="001D35BA"/>
    <w:rsid w:val="001D72AB"/>
    <w:rsid w:val="001E0F7B"/>
    <w:rsid w:val="001E0FBE"/>
    <w:rsid w:val="001E5FE7"/>
    <w:rsid w:val="001F475B"/>
    <w:rsid w:val="002119FD"/>
    <w:rsid w:val="002130E0"/>
    <w:rsid w:val="0021578D"/>
    <w:rsid w:val="002244FF"/>
    <w:rsid w:val="00244F7F"/>
    <w:rsid w:val="0025511F"/>
    <w:rsid w:val="0025570E"/>
    <w:rsid w:val="00264425"/>
    <w:rsid w:val="00265875"/>
    <w:rsid w:val="0027303B"/>
    <w:rsid w:val="0028096E"/>
    <w:rsid w:val="0028109B"/>
    <w:rsid w:val="0029138C"/>
    <w:rsid w:val="002A2188"/>
    <w:rsid w:val="002B1F58"/>
    <w:rsid w:val="002C1C7A"/>
    <w:rsid w:val="002C54E2"/>
    <w:rsid w:val="002D122C"/>
    <w:rsid w:val="002D4722"/>
    <w:rsid w:val="002E0AC3"/>
    <w:rsid w:val="002F01DC"/>
    <w:rsid w:val="0030160F"/>
    <w:rsid w:val="00301AEE"/>
    <w:rsid w:val="00306381"/>
    <w:rsid w:val="00307773"/>
    <w:rsid w:val="0031424F"/>
    <w:rsid w:val="003145DF"/>
    <w:rsid w:val="0031755B"/>
    <w:rsid w:val="00320223"/>
    <w:rsid w:val="00322D0D"/>
    <w:rsid w:val="00361465"/>
    <w:rsid w:val="003877F5"/>
    <w:rsid w:val="003942D4"/>
    <w:rsid w:val="0039514F"/>
    <w:rsid w:val="003958A8"/>
    <w:rsid w:val="00397EB6"/>
    <w:rsid w:val="003B29C2"/>
    <w:rsid w:val="003C20CA"/>
    <w:rsid w:val="003C2533"/>
    <w:rsid w:val="003D5A7F"/>
    <w:rsid w:val="003D635C"/>
    <w:rsid w:val="003D64C3"/>
    <w:rsid w:val="004016E2"/>
    <w:rsid w:val="0040435A"/>
    <w:rsid w:val="00416A24"/>
    <w:rsid w:val="0042059E"/>
    <w:rsid w:val="004247D5"/>
    <w:rsid w:val="00431D9E"/>
    <w:rsid w:val="00433CE8"/>
    <w:rsid w:val="00434A5C"/>
    <w:rsid w:val="004544D9"/>
    <w:rsid w:val="00470E6D"/>
    <w:rsid w:val="00472BAD"/>
    <w:rsid w:val="00484009"/>
    <w:rsid w:val="00490E72"/>
    <w:rsid w:val="00491157"/>
    <w:rsid w:val="004921C8"/>
    <w:rsid w:val="00495B0B"/>
    <w:rsid w:val="004A1B8B"/>
    <w:rsid w:val="004B4252"/>
    <w:rsid w:val="004D1851"/>
    <w:rsid w:val="004D3B0A"/>
    <w:rsid w:val="004D599D"/>
    <w:rsid w:val="004E2EA5"/>
    <w:rsid w:val="004E3AEB"/>
    <w:rsid w:val="005013E9"/>
    <w:rsid w:val="005014F0"/>
    <w:rsid w:val="0050223C"/>
    <w:rsid w:val="005039C5"/>
    <w:rsid w:val="005154E1"/>
    <w:rsid w:val="005243FF"/>
    <w:rsid w:val="005311D6"/>
    <w:rsid w:val="00536422"/>
    <w:rsid w:val="00550F2E"/>
    <w:rsid w:val="0056404E"/>
    <w:rsid w:val="00564FBC"/>
    <w:rsid w:val="005746B3"/>
    <w:rsid w:val="005800BC"/>
    <w:rsid w:val="00582442"/>
    <w:rsid w:val="0059750C"/>
    <w:rsid w:val="005A335D"/>
    <w:rsid w:val="005B1012"/>
    <w:rsid w:val="005C13D4"/>
    <w:rsid w:val="005C498E"/>
    <w:rsid w:val="005C6F1C"/>
    <w:rsid w:val="005D3BFD"/>
    <w:rsid w:val="005E2BD5"/>
    <w:rsid w:val="005F2D7F"/>
    <w:rsid w:val="005F3269"/>
    <w:rsid w:val="005F576E"/>
    <w:rsid w:val="005F662C"/>
    <w:rsid w:val="005F7A47"/>
    <w:rsid w:val="00607E2A"/>
    <w:rsid w:val="00615961"/>
    <w:rsid w:val="00623AE3"/>
    <w:rsid w:val="006261F4"/>
    <w:rsid w:val="0064737F"/>
    <w:rsid w:val="006535F1"/>
    <w:rsid w:val="0065557D"/>
    <w:rsid w:val="00656368"/>
    <w:rsid w:val="00660D50"/>
    <w:rsid w:val="00661401"/>
    <w:rsid w:val="00662984"/>
    <w:rsid w:val="0066386F"/>
    <w:rsid w:val="006716BB"/>
    <w:rsid w:val="0069774E"/>
    <w:rsid w:val="006A0699"/>
    <w:rsid w:val="006B1859"/>
    <w:rsid w:val="006B6680"/>
    <w:rsid w:val="006B6DCC"/>
    <w:rsid w:val="006C32E0"/>
    <w:rsid w:val="006C545F"/>
    <w:rsid w:val="006D30E3"/>
    <w:rsid w:val="006E2CBA"/>
    <w:rsid w:val="006E489D"/>
    <w:rsid w:val="006F4BA2"/>
    <w:rsid w:val="00700069"/>
    <w:rsid w:val="0070140A"/>
    <w:rsid w:val="00701C70"/>
    <w:rsid w:val="00702DEF"/>
    <w:rsid w:val="00706861"/>
    <w:rsid w:val="00726B8C"/>
    <w:rsid w:val="007353C0"/>
    <w:rsid w:val="0075051B"/>
    <w:rsid w:val="00775655"/>
    <w:rsid w:val="00781108"/>
    <w:rsid w:val="0079263F"/>
    <w:rsid w:val="00793188"/>
    <w:rsid w:val="00794D34"/>
    <w:rsid w:val="007B62B9"/>
    <w:rsid w:val="007E57A6"/>
    <w:rsid w:val="00806E3C"/>
    <w:rsid w:val="0081340C"/>
    <w:rsid w:val="00813E5E"/>
    <w:rsid w:val="00816C2C"/>
    <w:rsid w:val="00817F15"/>
    <w:rsid w:val="0083581B"/>
    <w:rsid w:val="00860EED"/>
    <w:rsid w:val="00863874"/>
    <w:rsid w:val="00864AFF"/>
    <w:rsid w:val="00865925"/>
    <w:rsid w:val="00877141"/>
    <w:rsid w:val="00891503"/>
    <w:rsid w:val="00896FFC"/>
    <w:rsid w:val="0089709E"/>
    <w:rsid w:val="008A3B50"/>
    <w:rsid w:val="008B4A6A"/>
    <w:rsid w:val="008B6309"/>
    <w:rsid w:val="008C0B4D"/>
    <w:rsid w:val="008C7E27"/>
    <w:rsid w:val="008D672D"/>
    <w:rsid w:val="008D7D20"/>
    <w:rsid w:val="008F3822"/>
    <w:rsid w:val="008F7448"/>
    <w:rsid w:val="0090147A"/>
    <w:rsid w:val="0090389B"/>
    <w:rsid w:val="009070A3"/>
    <w:rsid w:val="009173EF"/>
    <w:rsid w:val="009226EC"/>
    <w:rsid w:val="00923034"/>
    <w:rsid w:val="00932906"/>
    <w:rsid w:val="00935784"/>
    <w:rsid w:val="009503E1"/>
    <w:rsid w:val="009532C7"/>
    <w:rsid w:val="00961860"/>
    <w:rsid w:val="00961B0B"/>
    <w:rsid w:val="00962D33"/>
    <w:rsid w:val="009707CE"/>
    <w:rsid w:val="0098186F"/>
    <w:rsid w:val="009B38C3"/>
    <w:rsid w:val="009D4A2E"/>
    <w:rsid w:val="009D79D8"/>
    <w:rsid w:val="009E17BD"/>
    <w:rsid w:val="009E485A"/>
    <w:rsid w:val="00A03665"/>
    <w:rsid w:val="00A04CEC"/>
    <w:rsid w:val="00A27F92"/>
    <w:rsid w:val="00A32257"/>
    <w:rsid w:val="00A36D20"/>
    <w:rsid w:val="00A43C03"/>
    <w:rsid w:val="00A46CD0"/>
    <w:rsid w:val="00A514A4"/>
    <w:rsid w:val="00A52C84"/>
    <w:rsid w:val="00A55622"/>
    <w:rsid w:val="00A729B1"/>
    <w:rsid w:val="00A83502"/>
    <w:rsid w:val="00AA0792"/>
    <w:rsid w:val="00AB2AB5"/>
    <w:rsid w:val="00AD15B3"/>
    <w:rsid w:val="00AD3606"/>
    <w:rsid w:val="00AD4A3D"/>
    <w:rsid w:val="00AF19E0"/>
    <w:rsid w:val="00AF47E4"/>
    <w:rsid w:val="00AF6E49"/>
    <w:rsid w:val="00B01D1A"/>
    <w:rsid w:val="00B04A67"/>
    <w:rsid w:val="00B0583C"/>
    <w:rsid w:val="00B248BC"/>
    <w:rsid w:val="00B358B2"/>
    <w:rsid w:val="00B40A81"/>
    <w:rsid w:val="00B44910"/>
    <w:rsid w:val="00B57269"/>
    <w:rsid w:val="00B6112F"/>
    <w:rsid w:val="00B72267"/>
    <w:rsid w:val="00B730E9"/>
    <w:rsid w:val="00B73A0F"/>
    <w:rsid w:val="00B73DD1"/>
    <w:rsid w:val="00B76EB6"/>
    <w:rsid w:val="00B7737B"/>
    <w:rsid w:val="00B824C8"/>
    <w:rsid w:val="00B849D3"/>
    <w:rsid w:val="00B84B9D"/>
    <w:rsid w:val="00B975F9"/>
    <w:rsid w:val="00BA3A51"/>
    <w:rsid w:val="00BC251A"/>
    <w:rsid w:val="00BD032B"/>
    <w:rsid w:val="00BD0614"/>
    <w:rsid w:val="00BD094B"/>
    <w:rsid w:val="00BE2640"/>
    <w:rsid w:val="00BE2B2D"/>
    <w:rsid w:val="00C004F1"/>
    <w:rsid w:val="00C01189"/>
    <w:rsid w:val="00C0614E"/>
    <w:rsid w:val="00C374DE"/>
    <w:rsid w:val="00C3796A"/>
    <w:rsid w:val="00C47AD4"/>
    <w:rsid w:val="00C52D81"/>
    <w:rsid w:val="00C55198"/>
    <w:rsid w:val="00C70E33"/>
    <w:rsid w:val="00C725C6"/>
    <w:rsid w:val="00C922C7"/>
    <w:rsid w:val="00CA6393"/>
    <w:rsid w:val="00CB18FF"/>
    <w:rsid w:val="00CB24AA"/>
    <w:rsid w:val="00CD0C08"/>
    <w:rsid w:val="00CD3C91"/>
    <w:rsid w:val="00CE03FB"/>
    <w:rsid w:val="00CE0767"/>
    <w:rsid w:val="00CE38C1"/>
    <w:rsid w:val="00CE433C"/>
    <w:rsid w:val="00CF0161"/>
    <w:rsid w:val="00CF33F3"/>
    <w:rsid w:val="00CF4D1B"/>
    <w:rsid w:val="00D06183"/>
    <w:rsid w:val="00D22C42"/>
    <w:rsid w:val="00D37DB5"/>
    <w:rsid w:val="00D45669"/>
    <w:rsid w:val="00D464CC"/>
    <w:rsid w:val="00D522F6"/>
    <w:rsid w:val="00D65041"/>
    <w:rsid w:val="00D755CA"/>
    <w:rsid w:val="00D92C9F"/>
    <w:rsid w:val="00DB00D5"/>
    <w:rsid w:val="00DB1936"/>
    <w:rsid w:val="00DB384B"/>
    <w:rsid w:val="00DE7FAB"/>
    <w:rsid w:val="00DF0189"/>
    <w:rsid w:val="00DF710B"/>
    <w:rsid w:val="00E06FD5"/>
    <w:rsid w:val="00E10E80"/>
    <w:rsid w:val="00E124F0"/>
    <w:rsid w:val="00E227F3"/>
    <w:rsid w:val="00E301EC"/>
    <w:rsid w:val="00E422C5"/>
    <w:rsid w:val="00E4728B"/>
    <w:rsid w:val="00E545C6"/>
    <w:rsid w:val="00E60F04"/>
    <w:rsid w:val="00E65B24"/>
    <w:rsid w:val="00E854E4"/>
    <w:rsid w:val="00E86DBF"/>
    <w:rsid w:val="00E9747B"/>
    <w:rsid w:val="00EA0A75"/>
    <w:rsid w:val="00EB0D6F"/>
    <w:rsid w:val="00EB2232"/>
    <w:rsid w:val="00EC5337"/>
    <w:rsid w:val="00EE49E8"/>
    <w:rsid w:val="00F10B59"/>
    <w:rsid w:val="00F153C0"/>
    <w:rsid w:val="00F16BAB"/>
    <w:rsid w:val="00F2150A"/>
    <w:rsid w:val="00F231D8"/>
    <w:rsid w:val="00F44C00"/>
    <w:rsid w:val="00F45D2C"/>
    <w:rsid w:val="00F46C5F"/>
    <w:rsid w:val="00F47E79"/>
    <w:rsid w:val="00F56F10"/>
    <w:rsid w:val="00F621C5"/>
    <w:rsid w:val="00F632C0"/>
    <w:rsid w:val="00F74694"/>
    <w:rsid w:val="00F86596"/>
    <w:rsid w:val="00F93FD4"/>
    <w:rsid w:val="00F94A63"/>
    <w:rsid w:val="00FA10DD"/>
    <w:rsid w:val="00FA1C28"/>
    <w:rsid w:val="00FB1279"/>
    <w:rsid w:val="00FB6B76"/>
    <w:rsid w:val="00FB7596"/>
    <w:rsid w:val="00FC6D62"/>
    <w:rsid w:val="00FD2026"/>
    <w:rsid w:val="00FD5855"/>
    <w:rsid w:val="00FE4077"/>
    <w:rsid w:val="00FE500D"/>
    <w:rsid w:val="00FE77D2"/>
    <w:rsid w:val="00FF7362"/>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804650ED-1A5B-4A9C-A4D6-E3131DF5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character" w:styleId="CommentReference">
    <w:name w:val="annotation reference"/>
    <w:basedOn w:val="DefaultParagraphFont"/>
    <w:semiHidden/>
    <w:unhideWhenUsed/>
    <w:rsid w:val="001D0B84"/>
    <w:rPr>
      <w:sz w:val="16"/>
      <w:szCs w:val="16"/>
    </w:rPr>
  </w:style>
  <w:style w:type="paragraph" w:styleId="CommentText">
    <w:name w:val="annotation text"/>
    <w:basedOn w:val="Normal"/>
    <w:link w:val="CommentTextChar"/>
    <w:unhideWhenUsed/>
    <w:rsid w:val="001D0B84"/>
    <w:rPr>
      <w:sz w:val="20"/>
    </w:rPr>
  </w:style>
  <w:style w:type="character" w:customStyle="1" w:styleId="CommentTextChar">
    <w:name w:val="Comment Text Char"/>
    <w:basedOn w:val="DefaultParagraphFont"/>
    <w:link w:val="CommentText"/>
    <w:rsid w:val="001D0B84"/>
    <w:rPr>
      <w:rFonts w:ascii="Calibri" w:hAnsi="Calibri"/>
      <w:lang w:val="en-GB" w:eastAsia="en-US"/>
    </w:rPr>
  </w:style>
  <w:style w:type="paragraph" w:styleId="CommentSubject">
    <w:name w:val="annotation subject"/>
    <w:basedOn w:val="CommentText"/>
    <w:next w:val="CommentText"/>
    <w:link w:val="CommentSubjectChar"/>
    <w:semiHidden/>
    <w:unhideWhenUsed/>
    <w:rsid w:val="001D0B84"/>
    <w:rPr>
      <w:b/>
      <w:bCs/>
    </w:rPr>
  </w:style>
  <w:style w:type="character" w:customStyle="1" w:styleId="CommentSubjectChar">
    <w:name w:val="Comment Subject Char"/>
    <w:basedOn w:val="CommentTextChar"/>
    <w:link w:val="CommentSubject"/>
    <w:semiHidden/>
    <w:rsid w:val="001D0B84"/>
    <w:rPr>
      <w:rFonts w:ascii="Calibri" w:hAnsi="Calibri"/>
      <w:b/>
      <w:bCs/>
      <w:lang w:val="en-GB" w:eastAsia="en-US"/>
    </w:rPr>
  </w:style>
  <w:style w:type="paragraph" w:styleId="Revision">
    <w:name w:val="Revision"/>
    <w:hidden/>
    <w:uiPriority w:val="99"/>
    <w:semiHidden/>
    <w:rsid w:val="00D92C9F"/>
    <w:rPr>
      <w:rFonts w:ascii="Calibri" w:hAnsi="Calibri"/>
      <w:sz w:val="24"/>
      <w:lang w:val="en-GB" w:eastAsia="en-US"/>
    </w:rPr>
  </w:style>
  <w:style w:type="paragraph" w:customStyle="1" w:styleId="Reasons">
    <w:name w:val="Reasons"/>
    <w:basedOn w:val="Normal"/>
    <w:qFormat/>
    <w:rsid w:val="0089709E"/>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03691">
      <w:bodyDiv w:val="1"/>
      <w:marLeft w:val="0"/>
      <w:marRight w:val="0"/>
      <w:marTop w:val="0"/>
      <w:marBottom w:val="0"/>
      <w:divBdr>
        <w:top w:val="none" w:sz="0" w:space="0" w:color="auto"/>
        <w:left w:val="none" w:sz="0" w:space="0" w:color="auto"/>
        <w:bottom w:val="none" w:sz="0" w:space="0" w:color="auto"/>
        <w:right w:val="none" w:sz="0" w:space="0" w:color="auto"/>
      </w:divBdr>
      <w:divsChild>
        <w:div w:id="129639935">
          <w:marLeft w:val="446"/>
          <w:marRight w:val="0"/>
          <w:marTop w:val="240"/>
          <w:marBottom w:val="0"/>
          <w:divBdr>
            <w:top w:val="none" w:sz="0" w:space="0" w:color="auto"/>
            <w:left w:val="none" w:sz="0" w:space="0" w:color="auto"/>
            <w:bottom w:val="none" w:sz="0" w:space="0" w:color="auto"/>
            <w:right w:val="none" w:sz="0" w:space="0" w:color="auto"/>
          </w:divBdr>
        </w:div>
        <w:div w:id="1758020518">
          <w:marLeft w:val="446"/>
          <w:marRight w:val="0"/>
          <w:marTop w:val="240"/>
          <w:marBottom w:val="0"/>
          <w:divBdr>
            <w:top w:val="none" w:sz="0" w:space="0" w:color="auto"/>
            <w:left w:val="none" w:sz="0" w:space="0" w:color="auto"/>
            <w:bottom w:val="none" w:sz="0" w:space="0" w:color="auto"/>
            <w:right w:val="none" w:sz="0" w:space="0" w:color="auto"/>
          </w:divBdr>
        </w:div>
        <w:div w:id="858003714">
          <w:marLeft w:val="446"/>
          <w:marRight w:val="0"/>
          <w:marTop w:val="240"/>
          <w:marBottom w:val="0"/>
          <w:divBdr>
            <w:top w:val="none" w:sz="0" w:space="0" w:color="auto"/>
            <w:left w:val="none" w:sz="0" w:space="0" w:color="auto"/>
            <w:bottom w:val="none" w:sz="0" w:space="0" w:color="auto"/>
            <w:right w:val="none" w:sz="0" w:space="0" w:color="auto"/>
          </w:divBdr>
        </w:div>
        <w:div w:id="681588158">
          <w:marLeft w:val="446"/>
          <w:marRight w:val="0"/>
          <w:marTop w:val="240"/>
          <w:marBottom w:val="0"/>
          <w:divBdr>
            <w:top w:val="none" w:sz="0" w:space="0" w:color="auto"/>
            <w:left w:val="none" w:sz="0" w:space="0" w:color="auto"/>
            <w:bottom w:val="none" w:sz="0" w:space="0" w:color="auto"/>
            <w:right w:val="none" w:sz="0" w:space="0" w:color="auto"/>
          </w:divBdr>
        </w:div>
        <w:div w:id="94373159">
          <w:marLeft w:val="446"/>
          <w:marRight w:val="0"/>
          <w:marTop w:val="240"/>
          <w:marBottom w:val="0"/>
          <w:divBdr>
            <w:top w:val="none" w:sz="0" w:space="0" w:color="auto"/>
            <w:left w:val="none" w:sz="0" w:space="0" w:color="auto"/>
            <w:bottom w:val="none" w:sz="0" w:space="0" w:color="auto"/>
            <w:right w:val="none" w:sz="0" w:space="0" w:color="auto"/>
          </w:divBdr>
        </w:div>
      </w:divsChild>
    </w:div>
    <w:div w:id="571279327">
      <w:bodyDiv w:val="1"/>
      <w:marLeft w:val="0"/>
      <w:marRight w:val="0"/>
      <w:marTop w:val="0"/>
      <w:marBottom w:val="0"/>
      <w:divBdr>
        <w:top w:val="none" w:sz="0" w:space="0" w:color="auto"/>
        <w:left w:val="none" w:sz="0" w:space="0" w:color="auto"/>
        <w:bottom w:val="none" w:sz="0" w:space="0" w:color="auto"/>
        <w:right w:val="none" w:sz="0" w:space="0" w:color="auto"/>
      </w:divBdr>
    </w:div>
    <w:div w:id="641231456">
      <w:bodyDiv w:val="1"/>
      <w:marLeft w:val="0"/>
      <w:marRight w:val="0"/>
      <w:marTop w:val="0"/>
      <w:marBottom w:val="0"/>
      <w:divBdr>
        <w:top w:val="none" w:sz="0" w:space="0" w:color="auto"/>
        <w:left w:val="none" w:sz="0" w:space="0" w:color="auto"/>
        <w:bottom w:val="none" w:sz="0" w:space="0" w:color="auto"/>
        <w:right w:val="none" w:sz="0" w:space="0" w:color="auto"/>
      </w:divBdr>
    </w:div>
    <w:div w:id="669065750">
      <w:bodyDiv w:val="1"/>
      <w:marLeft w:val="0"/>
      <w:marRight w:val="0"/>
      <w:marTop w:val="0"/>
      <w:marBottom w:val="0"/>
      <w:divBdr>
        <w:top w:val="none" w:sz="0" w:space="0" w:color="auto"/>
        <w:left w:val="none" w:sz="0" w:space="0" w:color="auto"/>
        <w:bottom w:val="none" w:sz="0" w:space="0" w:color="auto"/>
        <w:right w:val="none" w:sz="0" w:space="0" w:color="auto"/>
      </w:divBdr>
    </w:div>
    <w:div w:id="708997946">
      <w:bodyDiv w:val="1"/>
      <w:marLeft w:val="0"/>
      <w:marRight w:val="0"/>
      <w:marTop w:val="0"/>
      <w:marBottom w:val="0"/>
      <w:divBdr>
        <w:top w:val="none" w:sz="0" w:space="0" w:color="auto"/>
        <w:left w:val="none" w:sz="0" w:space="0" w:color="auto"/>
        <w:bottom w:val="none" w:sz="0" w:space="0" w:color="auto"/>
        <w:right w:val="none" w:sz="0" w:space="0" w:color="auto"/>
      </w:divBdr>
    </w:div>
    <w:div w:id="847644490">
      <w:bodyDiv w:val="1"/>
      <w:marLeft w:val="0"/>
      <w:marRight w:val="0"/>
      <w:marTop w:val="0"/>
      <w:marBottom w:val="0"/>
      <w:divBdr>
        <w:top w:val="none" w:sz="0" w:space="0" w:color="auto"/>
        <w:left w:val="none" w:sz="0" w:space="0" w:color="auto"/>
        <w:bottom w:val="none" w:sz="0" w:space="0" w:color="auto"/>
        <w:right w:val="none" w:sz="0" w:space="0" w:color="auto"/>
      </w:divBdr>
    </w:div>
    <w:div w:id="907808315">
      <w:bodyDiv w:val="1"/>
      <w:marLeft w:val="0"/>
      <w:marRight w:val="0"/>
      <w:marTop w:val="0"/>
      <w:marBottom w:val="0"/>
      <w:divBdr>
        <w:top w:val="none" w:sz="0" w:space="0" w:color="auto"/>
        <w:left w:val="none" w:sz="0" w:space="0" w:color="auto"/>
        <w:bottom w:val="none" w:sz="0" w:space="0" w:color="auto"/>
        <w:right w:val="none" w:sz="0" w:space="0" w:color="auto"/>
      </w:divBdr>
    </w:div>
    <w:div w:id="1035010867">
      <w:bodyDiv w:val="1"/>
      <w:marLeft w:val="0"/>
      <w:marRight w:val="0"/>
      <w:marTop w:val="0"/>
      <w:marBottom w:val="0"/>
      <w:divBdr>
        <w:top w:val="none" w:sz="0" w:space="0" w:color="auto"/>
        <w:left w:val="none" w:sz="0" w:space="0" w:color="auto"/>
        <w:bottom w:val="none" w:sz="0" w:space="0" w:color="auto"/>
        <w:right w:val="none" w:sz="0" w:space="0" w:color="auto"/>
      </w:divBdr>
    </w:div>
    <w:div w:id="1063411788">
      <w:bodyDiv w:val="1"/>
      <w:marLeft w:val="0"/>
      <w:marRight w:val="0"/>
      <w:marTop w:val="0"/>
      <w:marBottom w:val="0"/>
      <w:divBdr>
        <w:top w:val="none" w:sz="0" w:space="0" w:color="auto"/>
        <w:left w:val="none" w:sz="0" w:space="0" w:color="auto"/>
        <w:bottom w:val="none" w:sz="0" w:space="0" w:color="auto"/>
        <w:right w:val="none" w:sz="0" w:space="0" w:color="auto"/>
      </w:divBdr>
    </w:div>
    <w:div w:id="1117873721">
      <w:bodyDiv w:val="1"/>
      <w:marLeft w:val="0"/>
      <w:marRight w:val="0"/>
      <w:marTop w:val="0"/>
      <w:marBottom w:val="0"/>
      <w:divBdr>
        <w:top w:val="none" w:sz="0" w:space="0" w:color="auto"/>
        <w:left w:val="none" w:sz="0" w:space="0" w:color="auto"/>
        <w:bottom w:val="none" w:sz="0" w:space="0" w:color="auto"/>
        <w:right w:val="none" w:sz="0" w:space="0" w:color="auto"/>
      </w:divBdr>
    </w:div>
    <w:div w:id="1193617713">
      <w:bodyDiv w:val="1"/>
      <w:marLeft w:val="0"/>
      <w:marRight w:val="0"/>
      <w:marTop w:val="0"/>
      <w:marBottom w:val="0"/>
      <w:divBdr>
        <w:top w:val="none" w:sz="0" w:space="0" w:color="auto"/>
        <w:left w:val="none" w:sz="0" w:space="0" w:color="auto"/>
        <w:bottom w:val="none" w:sz="0" w:space="0" w:color="auto"/>
        <w:right w:val="none" w:sz="0" w:space="0" w:color="auto"/>
      </w:divBdr>
    </w:div>
    <w:div w:id="1223562204">
      <w:bodyDiv w:val="1"/>
      <w:marLeft w:val="0"/>
      <w:marRight w:val="0"/>
      <w:marTop w:val="0"/>
      <w:marBottom w:val="0"/>
      <w:divBdr>
        <w:top w:val="none" w:sz="0" w:space="0" w:color="auto"/>
        <w:left w:val="none" w:sz="0" w:space="0" w:color="auto"/>
        <w:bottom w:val="none" w:sz="0" w:space="0" w:color="auto"/>
        <w:right w:val="none" w:sz="0" w:space="0" w:color="auto"/>
      </w:divBdr>
    </w:div>
    <w:div w:id="1280339517">
      <w:bodyDiv w:val="1"/>
      <w:marLeft w:val="0"/>
      <w:marRight w:val="0"/>
      <w:marTop w:val="0"/>
      <w:marBottom w:val="0"/>
      <w:divBdr>
        <w:top w:val="none" w:sz="0" w:space="0" w:color="auto"/>
        <w:left w:val="none" w:sz="0" w:space="0" w:color="auto"/>
        <w:bottom w:val="none" w:sz="0" w:space="0" w:color="auto"/>
        <w:right w:val="none" w:sz="0" w:space="0" w:color="auto"/>
      </w:divBdr>
    </w:div>
    <w:div w:id="1368407259">
      <w:bodyDiv w:val="1"/>
      <w:marLeft w:val="0"/>
      <w:marRight w:val="0"/>
      <w:marTop w:val="0"/>
      <w:marBottom w:val="0"/>
      <w:divBdr>
        <w:top w:val="none" w:sz="0" w:space="0" w:color="auto"/>
        <w:left w:val="none" w:sz="0" w:space="0" w:color="auto"/>
        <w:bottom w:val="none" w:sz="0" w:space="0" w:color="auto"/>
        <w:right w:val="none" w:sz="0" w:space="0" w:color="auto"/>
      </w:divBdr>
    </w:div>
    <w:div w:id="1511799804">
      <w:bodyDiv w:val="1"/>
      <w:marLeft w:val="0"/>
      <w:marRight w:val="0"/>
      <w:marTop w:val="0"/>
      <w:marBottom w:val="0"/>
      <w:divBdr>
        <w:top w:val="none" w:sz="0" w:space="0" w:color="auto"/>
        <w:left w:val="none" w:sz="0" w:space="0" w:color="auto"/>
        <w:bottom w:val="none" w:sz="0" w:space="0" w:color="auto"/>
        <w:right w:val="none" w:sz="0" w:space="0" w:color="auto"/>
      </w:divBdr>
    </w:div>
    <w:div w:id="161004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32/en" TargetMode="External"/><Relationship Id="rId13" Type="http://schemas.openxmlformats.org/officeDocument/2006/relationships/hyperlink" Target="https://council.itu.int/2023/en/programme/hosting-itu-meeting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SG-CIR-004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3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cwg-fhr/Pages/default.aspx" TargetMode="External"/><Relationship Id="rId4" Type="http://schemas.openxmlformats.org/officeDocument/2006/relationships/settings" Target="settings.xml"/><Relationship Id="rId9" Type="http://schemas.openxmlformats.org/officeDocument/2006/relationships/hyperlink" Target="https://www.itu.int/md/S24-CWGFHR19-C-0010/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1387</Words>
  <Characters>7908</Characters>
  <Application>Microsoft Office Word</Application>
  <DocSecurity>0</DocSecurity>
  <Lines>155</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modalities for ITU meetings 2028-2029</dc:title>
  <dc:subject>ITU Council Working Group on financial and human resources</dc:subject>
  <cp:keywords>CWG-FHR</cp:keywords>
  <dc:description/>
  <dcterms:created xsi:type="dcterms:W3CDTF">2025-01-20T16:44:00Z</dcterms:created>
  <dcterms:modified xsi:type="dcterms:W3CDTF">2025-01-20T16:56:00Z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dc0daefdbcfd643ee1c5563fedd860636fb64d99ffdc88d671561b71cb09464c</vt:lpwstr>
  </property>
</Properties>
</file>