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page" w:tblpX="1821" w:tblpY="2317"/>
        <w:tblW w:w="9214" w:type="dxa"/>
        <w:tblLayout w:type="fixed"/>
        <w:tblLook w:val="0000" w:firstRow="0" w:lastRow="0" w:firstColumn="0" w:lastColumn="0" w:noHBand="0" w:noVBand="0"/>
      </w:tblPr>
      <w:tblGrid>
        <w:gridCol w:w="3969"/>
        <w:gridCol w:w="5245"/>
      </w:tblGrid>
      <w:tr w:rsidR="00AD3606" w:rsidRPr="00147C54" w14:paraId="10B86344" w14:textId="77777777" w:rsidTr="00AD3606">
        <w:trPr>
          <w:cantSplit/>
          <w:trHeight w:val="23"/>
        </w:trPr>
        <w:tc>
          <w:tcPr>
            <w:tcW w:w="3969" w:type="dxa"/>
            <w:vMerge w:val="restart"/>
            <w:tcMar>
              <w:left w:w="0" w:type="dxa"/>
            </w:tcMar>
          </w:tcPr>
          <w:p w14:paraId="4744521D" w14:textId="77777777" w:rsidR="00AD3606" w:rsidRPr="00147C54" w:rsidRDefault="00AD3606" w:rsidP="00472BAD">
            <w:pPr>
              <w:tabs>
                <w:tab w:val="left" w:pos="851"/>
              </w:tabs>
              <w:spacing w:before="0" w:line="240" w:lineRule="atLeast"/>
              <w:rPr>
                <w:b/>
              </w:rPr>
            </w:pPr>
            <w:bookmarkStart w:id="0" w:name="dmeeting" w:colFirst="0" w:colLast="0"/>
            <w:bookmarkStart w:id="1" w:name="dnum" w:colFirst="1" w:colLast="1"/>
            <w:bookmarkStart w:id="2" w:name="_Hlk133421839"/>
            <w:bookmarkStart w:id="3" w:name="_Hlk133421856"/>
            <w:bookmarkStart w:id="4" w:name="_Hlk133422370"/>
            <w:bookmarkStart w:id="5" w:name="_Hlk133586559"/>
          </w:p>
        </w:tc>
        <w:tc>
          <w:tcPr>
            <w:tcW w:w="5245" w:type="dxa"/>
          </w:tcPr>
          <w:p w14:paraId="230EFACE" w14:textId="43F8BC4C" w:rsidR="00AD3606" w:rsidRPr="00147C54" w:rsidRDefault="00AD3606" w:rsidP="00472BAD">
            <w:pPr>
              <w:tabs>
                <w:tab w:val="left" w:pos="851"/>
              </w:tabs>
              <w:spacing w:before="0" w:line="240" w:lineRule="atLeast"/>
              <w:jc w:val="right"/>
              <w:rPr>
                <w:b/>
              </w:rPr>
            </w:pPr>
            <w:r w:rsidRPr="00147C54">
              <w:rPr>
                <w:b/>
              </w:rPr>
              <w:t>Document C</w:t>
            </w:r>
            <w:r w:rsidR="00A52C84" w:rsidRPr="00147C54">
              <w:rPr>
                <w:b/>
              </w:rPr>
              <w:t>WG-</w:t>
            </w:r>
            <w:r w:rsidR="0025570E">
              <w:rPr>
                <w:b/>
              </w:rPr>
              <w:t>COP</w:t>
            </w:r>
            <w:r w:rsidR="00A52C84" w:rsidRPr="00147C54">
              <w:rPr>
                <w:b/>
              </w:rPr>
              <w:t>-</w:t>
            </w:r>
            <w:r w:rsidR="0025570E">
              <w:rPr>
                <w:b/>
              </w:rPr>
              <w:t>2</w:t>
            </w:r>
            <w:r w:rsidR="00D1096E">
              <w:rPr>
                <w:b/>
              </w:rPr>
              <w:t>3</w:t>
            </w:r>
            <w:r w:rsidRPr="00147C54">
              <w:rPr>
                <w:b/>
              </w:rPr>
              <w:t>/</w:t>
            </w:r>
            <w:r w:rsidR="00D1096E">
              <w:rPr>
                <w:b/>
              </w:rPr>
              <w:t>5</w:t>
            </w:r>
          </w:p>
        </w:tc>
      </w:tr>
      <w:tr w:rsidR="00AD3606" w:rsidRPr="00147C54" w14:paraId="77E94E52" w14:textId="77777777" w:rsidTr="00AD3606">
        <w:trPr>
          <w:cantSplit/>
        </w:trPr>
        <w:tc>
          <w:tcPr>
            <w:tcW w:w="3969" w:type="dxa"/>
            <w:vMerge/>
          </w:tcPr>
          <w:p w14:paraId="0CC4E48C" w14:textId="77777777" w:rsidR="00AD3606" w:rsidRPr="00147C54" w:rsidRDefault="00AD3606" w:rsidP="00AD3606">
            <w:pPr>
              <w:tabs>
                <w:tab w:val="left" w:pos="851"/>
              </w:tabs>
              <w:spacing w:line="240" w:lineRule="atLeast"/>
              <w:rPr>
                <w:b/>
              </w:rPr>
            </w:pPr>
            <w:bookmarkStart w:id="6" w:name="ddate" w:colFirst="1" w:colLast="1"/>
            <w:bookmarkEnd w:id="0"/>
            <w:bookmarkEnd w:id="1"/>
          </w:p>
        </w:tc>
        <w:tc>
          <w:tcPr>
            <w:tcW w:w="5245" w:type="dxa"/>
          </w:tcPr>
          <w:p w14:paraId="78809537" w14:textId="5BF5362A" w:rsidR="00AD3606" w:rsidRPr="00147C54" w:rsidRDefault="002875BA" w:rsidP="00AD3606">
            <w:pPr>
              <w:tabs>
                <w:tab w:val="left" w:pos="851"/>
              </w:tabs>
              <w:spacing w:before="0"/>
              <w:jc w:val="right"/>
              <w:rPr>
                <w:b/>
              </w:rPr>
            </w:pPr>
            <w:r>
              <w:rPr>
                <w:b/>
              </w:rPr>
              <w:t>8 October</w:t>
            </w:r>
            <w:r w:rsidR="00227BC0">
              <w:rPr>
                <w:b/>
              </w:rPr>
              <w:t xml:space="preserve"> 2025</w:t>
            </w:r>
          </w:p>
        </w:tc>
      </w:tr>
      <w:tr w:rsidR="00AD3606" w:rsidRPr="00147C54" w14:paraId="1E53058D" w14:textId="77777777" w:rsidTr="00AD3606">
        <w:trPr>
          <w:cantSplit/>
          <w:trHeight w:val="23"/>
        </w:trPr>
        <w:tc>
          <w:tcPr>
            <w:tcW w:w="3969" w:type="dxa"/>
            <w:vMerge/>
          </w:tcPr>
          <w:p w14:paraId="4C6E9CFE" w14:textId="77777777" w:rsidR="00AD3606" w:rsidRPr="00147C54" w:rsidRDefault="00AD3606" w:rsidP="00AD3606">
            <w:pPr>
              <w:tabs>
                <w:tab w:val="left" w:pos="851"/>
              </w:tabs>
              <w:spacing w:line="240" w:lineRule="atLeast"/>
              <w:rPr>
                <w:b/>
              </w:rPr>
            </w:pPr>
            <w:bookmarkStart w:id="7" w:name="dorlang" w:colFirst="1" w:colLast="1"/>
            <w:bookmarkEnd w:id="6"/>
          </w:p>
        </w:tc>
        <w:tc>
          <w:tcPr>
            <w:tcW w:w="5245" w:type="dxa"/>
          </w:tcPr>
          <w:p w14:paraId="4A89AA31" w14:textId="77777777" w:rsidR="00AD3606" w:rsidRPr="00147C54" w:rsidRDefault="00891503" w:rsidP="00AD3606">
            <w:pPr>
              <w:tabs>
                <w:tab w:val="left" w:pos="851"/>
              </w:tabs>
              <w:spacing w:before="0" w:line="240" w:lineRule="atLeast"/>
              <w:jc w:val="right"/>
              <w:rPr>
                <w:b/>
              </w:rPr>
            </w:pPr>
            <w:r w:rsidRPr="00147C54">
              <w:rPr>
                <w:b/>
              </w:rPr>
              <w:t>English only</w:t>
            </w:r>
          </w:p>
        </w:tc>
      </w:tr>
      <w:tr w:rsidR="00472BAD" w:rsidRPr="00147C54" w14:paraId="508EFE44" w14:textId="77777777" w:rsidTr="00AD3606">
        <w:trPr>
          <w:cantSplit/>
          <w:trHeight w:val="23"/>
        </w:trPr>
        <w:tc>
          <w:tcPr>
            <w:tcW w:w="3969" w:type="dxa"/>
          </w:tcPr>
          <w:p w14:paraId="7208AD57" w14:textId="77777777" w:rsidR="00472BAD" w:rsidRPr="00147C54" w:rsidRDefault="00472BAD" w:rsidP="00AD3606">
            <w:pPr>
              <w:tabs>
                <w:tab w:val="left" w:pos="851"/>
              </w:tabs>
              <w:spacing w:line="240" w:lineRule="atLeast"/>
              <w:rPr>
                <w:b/>
              </w:rPr>
            </w:pPr>
          </w:p>
        </w:tc>
        <w:tc>
          <w:tcPr>
            <w:tcW w:w="5245" w:type="dxa"/>
          </w:tcPr>
          <w:p w14:paraId="51EEC882" w14:textId="77777777" w:rsidR="00472BAD" w:rsidRPr="00147C54" w:rsidRDefault="00472BAD" w:rsidP="00AD3606">
            <w:pPr>
              <w:tabs>
                <w:tab w:val="left" w:pos="851"/>
              </w:tabs>
              <w:spacing w:before="0" w:line="240" w:lineRule="atLeast"/>
              <w:jc w:val="right"/>
              <w:rPr>
                <w:b/>
              </w:rPr>
            </w:pPr>
          </w:p>
        </w:tc>
      </w:tr>
      <w:tr w:rsidR="00AD3606" w:rsidRPr="00147C54" w14:paraId="30046A79" w14:textId="77777777" w:rsidTr="00AD3606">
        <w:trPr>
          <w:cantSplit/>
        </w:trPr>
        <w:tc>
          <w:tcPr>
            <w:tcW w:w="9214" w:type="dxa"/>
            <w:gridSpan w:val="2"/>
            <w:tcMar>
              <w:left w:w="0" w:type="dxa"/>
            </w:tcMar>
          </w:tcPr>
          <w:p w14:paraId="18BD44C8" w14:textId="6EF33B51" w:rsidR="00AD3606" w:rsidRPr="00147C54" w:rsidRDefault="00227BC0" w:rsidP="00227BC0">
            <w:pPr>
              <w:pStyle w:val="Source"/>
              <w:framePr w:hSpace="0" w:wrap="auto" w:vAnchor="margin" w:hAnchor="text" w:xAlign="left" w:yAlign="inline"/>
            </w:pPr>
            <w:bookmarkStart w:id="8" w:name="dsource" w:colFirst="0" w:colLast="0"/>
            <w:bookmarkEnd w:id="7"/>
            <w:r>
              <w:t xml:space="preserve">Report by the Chair of the </w:t>
            </w:r>
            <w:r>
              <w:br/>
              <w:t>Council Working Group on Child Online Protection</w:t>
            </w:r>
          </w:p>
        </w:tc>
      </w:tr>
      <w:tr w:rsidR="00AD3606" w:rsidRPr="00147C54" w14:paraId="1990367C" w14:textId="77777777" w:rsidTr="00AD3606">
        <w:trPr>
          <w:cantSplit/>
        </w:trPr>
        <w:tc>
          <w:tcPr>
            <w:tcW w:w="9214" w:type="dxa"/>
            <w:gridSpan w:val="2"/>
            <w:tcMar>
              <w:left w:w="0" w:type="dxa"/>
            </w:tcMar>
          </w:tcPr>
          <w:p w14:paraId="3475782D" w14:textId="033E9744" w:rsidR="00AD3606" w:rsidRPr="00147C54" w:rsidRDefault="00227BC0" w:rsidP="00227BC0">
            <w:pPr>
              <w:pStyle w:val="Subtitle"/>
              <w:framePr w:hSpace="0" w:wrap="auto" w:xAlign="left" w:yAlign="inline"/>
            </w:pPr>
            <w:bookmarkStart w:id="9" w:name="_Hlk195023125"/>
            <w:bookmarkStart w:id="10" w:name="dtitle1" w:colFirst="0" w:colLast="0"/>
            <w:bookmarkEnd w:id="8"/>
            <w:r w:rsidRPr="00227BC0">
              <w:t>OUTCOME OF THE TWENTY</w:t>
            </w:r>
            <w:r w:rsidR="00997408">
              <w:t>-</w:t>
            </w:r>
            <w:r w:rsidR="00D1096E">
              <w:t>THIRD</w:t>
            </w:r>
            <w:r w:rsidRPr="00227BC0">
              <w:t xml:space="preserve"> MEETING OF THE COUNCIL WORKING GROUP ON CHILD ONLINE PROTECTION</w:t>
            </w:r>
            <w:bookmarkEnd w:id="9"/>
          </w:p>
        </w:tc>
      </w:tr>
      <w:tr w:rsidR="00AD3606" w:rsidRPr="00147C54" w14:paraId="398CF9A1" w14:textId="77777777" w:rsidTr="00AD3606">
        <w:trPr>
          <w:cantSplit/>
        </w:trPr>
        <w:tc>
          <w:tcPr>
            <w:tcW w:w="9214" w:type="dxa"/>
            <w:gridSpan w:val="2"/>
            <w:tcBorders>
              <w:top w:val="single" w:sz="4" w:space="0" w:color="auto"/>
              <w:bottom w:val="single" w:sz="4" w:space="0" w:color="auto"/>
            </w:tcBorders>
            <w:tcMar>
              <w:left w:w="0" w:type="dxa"/>
            </w:tcMar>
          </w:tcPr>
          <w:p w14:paraId="4C86E83F" w14:textId="77777777" w:rsidR="00AD3606" w:rsidRPr="00147C54" w:rsidRDefault="00F16BAB" w:rsidP="00F16BAB">
            <w:pPr>
              <w:spacing w:before="160"/>
              <w:rPr>
                <w:b/>
                <w:bCs/>
                <w:sz w:val="26"/>
                <w:szCs w:val="26"/>
              </w:rPr>
            </w:pPr>
            <w:r w:rsidRPr="00147C54">
              <w:rPr>
                <w:b/>
                <w:bCs/>
                <w:sz w:val="26"/>
                <w:szCs w:val="26"/>
              </w:rPr>
              <w:t>Purpose</w:t>
            </w:r>
          </w:p>
          <w:p w14:paraId="6E889160" w14:textId="52A04AD3" w:rsidR="00AD3606" w:rsidRPr="00147C54" w:rsidRDefault="00227BC0" w:rsidP="007504A2">
            <w:pPr>
              <w:jc w:val="both"/>
            </w:pPr>
            <w:r w:rsidRPr="00227BC0">
              <w:t xml:space="preserve">This </w:t>
            </w:r>
            <w:r w:rsidR="002875BA" w:rsidRPr="00227BC0">
              <w:t xml:space="preserve">Report </w:t>
            </w:r>
            <w:r w:rsidRPr="00227BC0">
              <w:t>summarizes the main results of the twenty-</w:t>
            </w:r>
            <w:r w:rsidR="00D1096E">
              <w:t>third</w:t>
            </w:r>
            <w:r w:rsidRPr="00227BC0">
              <w:t xml:space="preserve"> meeting of the Council Working</w:t>
            </w:r>
            <w:r w:rsidR="007504A2">
              <w:t> </w:t>
            </w:r>
            <w:r w:rsidRPr="00227BC0">
              <w:t xml:space="preserve">Group on </w:t>
            </w:r>
            <w:r w:rsidR="002875BA" w:rsidRPr="00227BC0">
              <w:t xml:space="preserve">child online protection </w:t>
            </w:r>
            <w:r w:rsidRPr="00227BC0">
              <w:t xml:space="preserve">(CWG-COP), held on </w:t>
            </w:r>
            <w:bookmarkStart w:id="11" w:name="_Hlk179446320"/>
            <w:r w:rsidRPr="00227BC0">
              <w:t>1</w:t>
            </w:r>
            <w:r w:rsidR="00D1096E">
              <w:t xml:space="preserve">6 September </w:t>
            </w:r>
            <w:r w:rsidRPr="00227BC0">
              <w:t>2025</w:t>
            </w:r>
            <w:bookmarkEnd w:id="11"/>
            <w:r w:rsidRPr="00227BC0">
              <w:t>, in accordance with ITU 2010 Council Resolution 1306 and ITU Plenipotentiary Resolution</w:t>
            </w:r>
            <w:r w:rsidR="007504A2">
              <w:t> </w:t>
            </w:r>
            <w:r w:rsidRPr="00227BC0">
              <w:t>179</w:t>
            </w:r>
            <w:r w:rsidR="007504A2">
              <w:t> </w:t>
            </w:r>
            <w:r w:rsidRPr="00227BC0">
              <w:t>(Rev.</w:t>
            </w:r>
            <w:r w:rsidR="00885408">
              <w:t> </w:t>
            </w:r>
            <w:r w:rsidRPr="00227BC0">
              <w:t>Bucharest, 2022).</w:t>
            </w:r>
          </w:p>
          <w:p w14:paraId="083DFD93" w14:textId="77777777" w:rsidR="00AD3606" w:rsidRPr="00147C54" w:rsidRDefault="00AD3606" w:rsidP="00F16BAB">
            <w:pPr>
              <w:spacing w:before="160"/>
              <w:rPr>
                <w:b/>
                <w:bCs/>
                <w:sz w:val="26"/>
                <w:szCs w:val="26"/>
              </w:rPr>
            </w:pPr>
            <w:r w:rsidRPr="00147C54">
              <w:rPr>
                <w:b/>
                <w:bCs/>
                <w:sz w:val="26"/>
                <w:szCs w:val="26"/>
              </w:rPr>
              <w:t>Action required</w:t>
            </w:r>
          </w:p>
          <w:p w14:paraId="4D35A0E1" w14:textId="065BDFDC" w:rsidR="0025570E" w:rsidRPr="000E65E8" w:rsidRDefault="0025570E" w:rsidP="0025570E">
            <w:pPr>
              <w:spacing w:before="160"/>
            </w:pPr>
            <w:r w:rsidRPr="004405AB">
              <w:t xml:space="preserve">The Council Working Group on </w:t>
            </w:r>
            <w:r>
              <w:t>child online protection</w:t>
            </w:r>
            <w:r w:rsidRPr="004405AB">
              <w:t xml:space="preserve"> is invited to</w:t>
            </w:r>
            <w:r>
              <w:t xml:space="preserve"> </w:t>
            </w:r>
            <w:r w:rsidR="00227BC0">
              <w:rPr>
                <w:b/>
                <w:bCs/>
              </w:rPr>
              <w:t xml:space="preserve">note </w:t>
            </w:r>
            <w:r w:rsidR="00227BC0" w:rsidRPr="00227BC0">
              <w:t>the report</w:t>
            </w:r>
            <w:r w:rsidR="000E65E8">
              <w:t>.</w:t>
            </w:r>
          </w:p>
          <w:p w14:paraId="1D69C596" w14:textId="77777777" w:rsidR="00AD3606" w:rsidRPr="00CD3C91" w:rsidRDefault="00CD3C91" w:rsidP="00CD3C91">
            <w:r>
              <w:t>_______________</w:t>
            </w:r>
          </w:p>
          <w:p w14:paraId="7DCDC9E7" w14:textId="77777777" w:rsidR="00AD3606" w:rsidRPr="00147C54" w:rsidRDefault="00AD3606" w:rsidP="00F16BAB">
            <w:pPr>
              <w:spacing w:before="160"/>
              <w:rPr>
                <w:b/>
                <w:bCs/>
                <w:sz w:val="26"/>
                <w:szCs w:val="26"/>
              </w:rPr>
            </w:pPr>
            <w:r w:rsidRPr="00147C54">
              <w:rPr>
                <w:b/>
                <w:bCs/>
                <w:sz w:val="26"/>
                <w:szCs w:val="26"/>
              </w:rPr>
              <w:t>References</w:t>
            </w:r>
          </w:p>
          <w:p w14:paraId="5AC7AEE2" w14:textId="133DAF4D" w:rsidR="00AD3606" w:rsidRPr="00CD3C91" w:rsidRDefault="0025570E" w:rsidP="00F16BAB">
            <w:pPr>
              <w:spacing w:after="160"/>
              <w:rPr>
                <w:i/>
                <w:iCs/>
                <w:sz w:val="22"/>
                <w:szCs w:val="22"/>
              </w:rPr>
            </w:pPr>
            <w:hyperlink r:id="rId11" w:history="1">
              <w:r w:rsidRPr="00AB31DE">
                <w:rPr>
                  <w:rStyle w:val="Hyperlink"/>
                  <w:i/>
                  <w:iCs/>
                  <w:sz w:val="22"/>
                  <w:szCs w:val="22"/>
                </w:rPr>
                <w:t>CWG-COP website</w:t>
              </w:r>
            </w:hyperlink>
          </w:p>
        </w:tc>
      </w:tr>
    </w:tbl>
    <w:p w14:paraId="7051740C" w14:textId="77777777" w:rsidR="00E227F3" w:rsidRPr="00147C54" w:rsidRDefault="00E227F3">
      <w:pPr>
        <w:tabs>
          <w:tab w:val="clear" w:pos="567"/>
          <w:tab w:val="clear" w:pos="1134"/>
          <w:tab w:val="clear" w:pos="1701"/>
          <w:tab w:val="clear" w:pos="2268"/>
          <w:tab w:val="clear" w:pos="2835"/>
        </w:tabs>
        <w:overflowPunct/>
        <w:autoSpaceDE/>
        <w:autoSpaceDN/>
        <w:adjustRightInd/>
        <w:spacing w:before="0"/>
        <w:textAlignment w:val="auto"/>
      </w:pPr>
      <w:bookmarkStart w:id="12" w:name="_Hlk133421428"/>
      <w:bookmarkEnd w:id="2"/>
      <w:bookmarkEnd w:id="10"/>
    </w:p>
    <w:bookmarkEnd w:id="3"/>
    <w:bookmarkEnd w:id="4"/>
    <w:p w14:paraId="7FDDD309" w14:textId="77777777" w:rsidR="0090147A" w:rsidRPr="00147C54" w:rsidRDefault="0090147A">
      <w:pPr>
        <w:tabs>
          <w:tab w:val="clear" w:pos="567"/>
          <w:tab w:val="clear" w:pos="1134"/>
          <w:tab w:val="clear" w:pos="1701"/>
          <w:tab w:val="clear" w:pos="2268"/>
          <w:tab w:val="clear" w:pos="2835"/>
        </w:tabs>
        <w:overflowPunct/>
        <w:autoSpaceDE/>
        <w:autoSpaceDN/>
        <w:adjustRightInd/>
        <w:spacing w:before="0"/>
        <w:textAlignment w:val="auto"/>
        <w:rPr>
          <w:b/>
        </w:rPr>
      </w:pPr>
      <w:r w:rsidRPr="00147C54">
        <w:br w:type="page"/>
      </w:r>
    </w:p>
    <w:bookmarkEnd w:id="5"/>
    <w:bookmarkEnd w:id="12"/>
    <w:p w14:paraId="6A9AA8DA" w14:textId="4D659CF6" w:rsidR="00227BC0" w:rsidRPr="00F921C6" w:rsidRDefault="00227BC0" w:rsidP="008C2077">
      <w:pPr>
        <w:pStyle w:val="Heading1"/>
      </w:pPr>
      <w:r w:rsidRPr="2585157E">
        <w:lastRenderedPageBreak/>
        <w:t>1</w:t>
      </w:r>
      <w:r>
        <w:tab/>
      </w:r>
      <w:r w:rsidRPr="2585157E">
        <w:t>Introduction</w:t>
      </w:r>
    </w:p>
    <w:p w14:paraId="4A4CB366" w14:textId="60459A71" w:rsidR="00227BC0" w:rsidRPr="00F921C6" w:rsidRDefault="00227BC0" w:rsidP="008C2077">
      <w:pPr>
        <w:jc w:val="both"/>
      </w:pPr>
      <w:r w:rsidRPr="0F720DFE">
        <w:t>1.1</w:t>
      </w:r>
      <w:r>
        <w:tab/>
      </w:r>
      <w:r w:rsidR="000642EB" w:rsidRPr="000642EB">
        <w:t xml:space="preserve">The twenty-third meeting of CWG-COP convened stakeholders from Member States, Sector Members, academia, civil society, and international organizations. The meeting was chaired by </w:t>
      </w:r>
      <w:r w:rsidR="000642EB">
        <w:t xml:space="preserve">the Vice Chair </w:t>
      </w:r>
      <w:r w:rsidR="000642EB" w:rsidRPr="0F720DFE">
        <w:t xml:space="preserve">Ms </w:t>
      </w:r>
      <w:r w:rsidR="000642EB" w:rsidRPr="6A636481">
        <w:rPr>
          <w:rFonts w:eastAsia="Calibri"/>
        </w:rPr>
        <w:t>Stella C. Erebor (Nigeria)</w:t>
      </w:r>
      <w:r w:rsidR="000642EB" w:rsidRPr="000642EB">
        <w:t>.</w:t>
      </w:r>
    </w:p>
    <w:p w14:paraId="7B8B21B9" w14:textId="7E085FAD" w:rsidR="00227BC0" w:rsidRDefault="00227BC0" w:rsidP="008C2077">
      <w:pPr>
        <w:pStyle w:val="Heading1"/>
      </w:pPr>
      <w:r w:rsidRPr="69F1B965">
        <w:t>2</w:t>
      </w:r>
      <w:r w:rsidR="00687887">
        <w:tab/>
      </w:r>
      <w:r w:rsidRPr="69F1B965">
        <w:t>Opening remarks</w:t>
      </w:r>
    </w:p>
    <w:p w14:paraId="34747D14" w14:textId="37D61742" w:rsidR="00727EC1" w:rsidRPr="00727EC1" w:rsidRDefault="00227BC0" w:rsidP="008C2077">
      <w:pPr>
        <w:jc w:val="both"/>
        <w:rPr>
          <w:rFonts w:asciiTheme="minorHAnsi" w:hAnsiTheme="minorHAnsi" w:cstheme="minorBidi"/>
        </w:rPr>
      </w:pPr>
      <w:r>
        <w:rPr>
          <w:rFonts w:asciiTheme="minorHAnsi" w:hAnsiTheme="minorHAnsi" w:cstheme="minorBidi"/>
        </w:rPr>
        <w:t>2.1</w:t>
      </w:r>
      <w:r w:rsidR="00687887">
        <w:rPr>
          <w:rFonts w:asciiTheme="minorHAnsi" w:hAnsiTheme="minorHAnsi" w:cstheme="minorBidi"/>
        </w:rPr>
        <w:tab/>
      </w:r>
      <w:r w:rsidR="00B37375" w:rsidRPr="00B37375">
        <w:rPr>
          <w:rFonts w:asciiTheme="minorHAnsi" w:hAnsiTheme="minorHAnsi" w:cstheme="minorBidi"/>
        </w:rPr>
        <w:t>Dr</w:t>
      </w:r>
      <w:r w:rsidR="00326D3F">
        <w:rPr>
          <w:rFonts w:asciiTheme="minorHAnsi" w:hAnsiTheme="minorHAnsi" w:cstheme="minorBidi"/>
        </w:rPr>
        <w:t> </w:t>
      </w:r>
      <w:r w:rsidR="00B37375" w:rsidRPr="00B37375">
        <w:rPr>
          <w:rFonts w:asciiTheme="minorHAnsi" w:hAnsiTheme="minorHAnsi" w:cstheme="minorBidi"/>
        </w:rPr>
        <w:t xml:space="preserve">Cosmas Luckyson Zavazava, Director of the ITU Development Bureau, </w:t>
      </w:r>
      <w:r w:rsidR="00727EC1" w:rsidRPr="00727EC1">
        <w:rPr>
          <w:rFonts w:asciiTheme="minorHAnsi" w:hAnsiTheme="minorHAnsi" w:cstheme="minorBidi"/>
        </w:rPr>
        <w:t xml:space="preserve">Director of the ITU Development Bureau, welcomed participants to the 23rd CWG-COP meeting, emphasizing its </w:t>
      </w:r>
      <w:r w:rsidR="00727EC1" w:rsidRPr="008C2077">
        <w:t>importance</w:t>
      </w:r>
      <w:r w:rsidR="00727EC1" w:rsidRPr="00727EC1">
        <w:rPr>
          <w:rFonts w:asciiTheme="minorHAnsi" w:hAnsiTheme="minorHAnsi" w:cstheme="minorBidi"/>
        </w:rPr>
        <w:t xml:space="preserve"> ahead of the upcoming WTDC in Baku. He highlighted the urgency of child online protection in the face of accelerating digital transformation and AI-driven risks.</w:t>
      </w:r>
    </w:p>
    <w:p w14:paraId="73EF4360" w14:textId="61E280F2" w:rsidR="00727EC1" w:rsidRPr="00727EC1" w:rsidRDefault="00727EC1" w:rsidP="008C2077">
      <w:pPr>
        <w:jc w:val="both"/>
        <w:rPr>
          <w:rFonts w:asciiTheme="minorHAnsi" w:hAnsiTheme="minorHAnsi" w:cstheme="minorBidi"/>
        </w:rPr>
      </w:pPr>
      <w:r w:rsidRPr="00727EC1">
        <w:rPr>
          <w:rFonts w:asciiTheme="minorHAnsi" w:hAnsiTheme="minorHAnsi" w:cstheme="minorBidi"/>
        </w:rPr>
        <w:t>He noted that since the last WTDC, the COP initiative has empowered over 17</w:t>
      </w:r>
      <w:r w:rsidR="00326D3F">
        <w:rPr>
          <w:rFonts w:asciiTheme="minorHAnsi" w:hAnsiTheme="minorHAnsi" w:cstheme="minorBidi"/>
        </w:rPr>
        <w:t> </w:t>
      </w:r>
      <w:r w:rsidRPr="00727EC1">
        <w:rPr>
          <w:rFonts w:asciiTheme="minorHAnsi" w:hAnsiTheme="minorHAnsi" w:cstheme="minorBidi"/>
        </w:rPr>
        <w:t>700 children and trained 3</w:t>
      </w:r>
      <w:r w:rsidR="00326D3F">
        <w:t> </w:t>
      </w:r>
      <w:r w:rsidRPr="00727EC1">
        <w:rPr>
          <w:rFonts w:asciiTheme="minorHAnsi" w:hAnsiTheme="minorHAnsi" w:cstheme="minorBidi"/>
        </w:rPr>
        <w:t xml:space="preserve">000 adult stakeholders across </w:t>
      </w:r>
      <w:r w:rsidR="00326D3F">
        <w:rPr>
          <w:rFonts w:asciiTheme="minorHAnsi" w:hAnsiTheme="minorHAnsi" w:cstheme="minorBidi"/>
        </w:rPr>
        <w:t>+</w:t>
      </w:r>
      <w:r w:rsidRPr="00727EC1">
        <w:rPr>
          <w:rFonts w:asciiTheme="minorHAnsi" w:hAnsiTheme="minorHAnsi" w:cstheme="minorBidi"/>
        </w:rPr>
        <w:t xml:space="preserve">30 countries, supported national COP </w:t>
      </w:r>
      <w:r w:rsidRPr="008C2077">
        <w:t>frameworks</w:t>
      </w:r>
      <w:r w:rsidRPr="00727EC1">
        <w:rPr>
          <w:rFonts w:asciiTheme="minorHAnsi" w:hAnsiTheme="minorHAnsi" w:cstheme="minorBidi"/>
        </w:rPr>
        <w:t xml:space="preserve"> in 16 countries, and maintained visibility in global forums such as WSIS+20 and the AI for Good Summit.</w:t>
      </w:r>
    </w:p>
    <w:p w14:paraId="599C82F6" w14:textId="45B96523" w:rsidR="00B37375" w:rsidRPr="00B37375" w:rsidRDefault="00A507A2" w:rsidP="008C2077">
      <w:pPr>
        <w:jc w:val="both"/>
        <w:rPr>
          <w:rFonts w:asciiTheme="minorHAnsi" w:hAnsiTheme="minorHAnsi" w:cstheme="minorBidi"/>
        </w:rPr>
      </w:pPr>
      <w:r w:rsidRPr="00A507A2">
        <w:rPr>
          <w:rFonts w:asciiTheme="minorHAnsi" w:hAnsiTheme="minorHAnsi" w:cstheme="minorBidi"/>
        </w:rPr>
        <w:t>Dr</w:t>
      </w:r>
      <w:r w:rsidR="00326D3F">
        <w:rPr>
          <w:rFonts w:asciiTheme="minorHAnsi" w:hAnsiTheme="minorHAnsi" w:cstheme="minorBidi"/>
        </w:rPr>
        <w:t> </w:t>
      </w:r>
      <w:r w:rsidRPr="00A507A2">
        <w:rPr>
          <w:rFonts w:asciiTheme="minorHAnsi" w:hAnsiTheme="minorHAnsi" w:cstheme="minorBidi"/>
        </w:rPr>
        <w:t xml:space="preserve">Zavazava called on Member States and partners to ensure that child online protection </w:t>
      </w:r>
      <w:r w:rsidRPr="008C2077">
        <w:t>is</w:t>
      </w:r>
      <w:r w:rsidRPr="00A507A2">
        <w:rPr>
          <w:rFonts w:asciiTheme="minorHAnsi" w:hAnsiTheme="minorHAnsi" w:cstheme="minorBidi"/>
        </w:rPr>
        <w:t xml:space="preserve"> not treated as a peripheral issue, but as a strategic priority—one that is backed by sustained investment, integrated into national frameworks, and shaped by the voices of children </w:t>
      </w:r>
      <w:r w:rsidR="00B37375" w:rsidRPr="00B37375">
        <w:rPr>
          <w:rFonts w:asciiTheme="minorHAnsi" w:hAnsiTheme="minorHAnsi" w:cstheme="minorBidi"/>
        </w:rPr>
        <w:t>themselves.</w:t>
      </w:r>
    </w:p>
    <w:p w14:paraId="5AE66CAA" w14:textId="6458EC69" w:rsidR="00227BC0" w:rsidRPr="00F921C6" w:rsidRDefault="00227BC0" w:rsidP="00326D3F">
      <w:pPr>
        <w:pStyle w:val="Heading1"/>
      </w:pPr>
      <w:r w:rsidRPr="69F1B965">
        <w:t>3</w:t>
      </w:r>
      <w:r>
        <w:rPr>
          <w:bCs/>
        </w:rPr>
        <w:tab/>
      </w:r>
      <w:r w:rsidRPr="69F1B965">
        <w:t>Adoption of the agenda</w:t>
      </w:r>
    </w:p>
    <w:p w14:paraId="5F54B787" w14:textId="7371EACC" w:rsidR="00597237" w:rsidRPr="00597237" w:rsidRDefault="00227BC0" w:rsidP="008C2077">
      <w:pPr>
        <w:jc w:val="both"/>
        <w:rPr>
          <w:rFonts w:asciiTheme="minorHAnsi" w:hAnsiTheme="minorHAnsi" w:cstheme="minorBidi"/>
        </w:rPr>
      </w:pPr>
      <w:r w:rsidRPr="6A636481">
        <w:rPr>
          <w:rFonts w:asciiTheme="minorHAnsi" w:hAnsiTheme="minorHAnsi" w:cstheme="minorBidi"/>
        </w:rPr>
        <w:t>3.1</w:t>
      </w:r>
      <w:r w:rsidR="00326D3F">
        <w:rPr>
          <w:rFonts w:asciiTheme="minorHAnsi" w:hAnsiTheme="minorHAnsi" w:cstheme="minorBidi"/>
        </w:rPr>
        <w:tab/>
      </w:r>
      <w:r w:rsidRPr="6A636481">
        <w:rPr>
          <w:rFonts w:asciiTheme="minorHAnsi" w:hAnsiTheme="minorHAnsi" w:cstheme="minorBidi"/>
        </w:rPr>
        <w:t xml:space="preserve">The </w:t>
      </w:r>
      <w:hyperlink r:id="rId12">
        <w:r w:rsidRPr="6A636481">
          <w:rPr>
            <w:rStyle w:val="Hyperlink"/>
            <w:rFonts w:asciiTheme="minorHAnsi" w:hAnsiTheme="minorHAnsi" w:cstheme="minorBidi"/>
          </w:rPr>
          <w:t>Agenda</w:t>
        </w:r>
      </w:hyperlink>
      <w:r w:rsidRPr="6A636481">
        <w:rPr>
          <w:rFonts w:asciiTheme="minorHAnsi" w:hAnsiTheme="minorHAnsi" w:cstheme="minorBidi"/>
        </w:rPr>
        <w:t xml:space="preserve"> </w:t>
      </w:r>
      <w:r w:rsidR="00597237" w:rsidRPr="00597237">
        <w:rPr>
          <w:rFonts w:asciiTheme="minorHAnsi" w:hAnsiTheme="minorHAnsi" w:cstheme="minorBidi"/>
        </w:rPr>
        <w:t xml:space="preserve">was adopted with modifications proposed by the Chair. To optimize thematic flow and time </w:t>
      </w:r>
      <w:r w:rsidR="00597237" w:rsidRPr="008C2077">
        <w:t>management</w:t>
      </w:r>
      <w:r w:rsidR="00597237" w:rsidRPr="00597237">
        <w:rPr>
          <w:rFonts w:asciiTheme="minorHAnsi" w:hAnsiTheme="minorHAnsi" w:cstheme="minorBidi"/>
        </w:rPr>
        <w:t>, the meeting agreed to:</w:t>
      </w:r>
    </w:p>
    <w:p w14:paraId="50118D8F" w14:textId="5F2838AC" w:rsidR="00597237" w:rsidRPr="00597237" w:rsidRDefault="00326D3F" w:rsidP="00326D3F">
      <w:pPr>
        <w:pStyle w:val="enumlev1"/>
        <w:jc w:val="both"/>
        <w:rPr>
          <w:rFonts w:asciiTheme="minorHAnsi" w:hAnsiTheme="minorHAnsi" w:cstheme="minorBidi"/>
        </w:rPr>
      </w:pPr>
      <w:r>
        <w:rPr>
          <w:rFonts w:asciiTheme="minorHAnsi" w:hAnsiTheme="minorHAnsi" w:cstheme="minorBidi"/>
        </w:rPr>
        <w:t>–</w:t>
      </w:r>
      <w:r>
        <w:rPr>
          <w:rFonts w:asciiTheme="minorHAnsi" w:hAnsiTheme="minorHAnsi" w:cstheme="minorBidi"/>
        </w:rPr>
        <w:tab/>
      </w:r>
      <w:r w:rsidR="00597237" w:rsidRPr="00597237">
        <w:rPr>
          <w:rFonts w:asciiTheme="minorHAnsi" w:hAnsiTheme="minorHAnsi" w:cstheme="minorBidi"/>
        </w:rPr>
        <w:t xml:space="preserve">Advance the discussion of three partner collaboration information documents — </w:t>
      </w:r>
      <w:r w:rsidR="00D028BD" w:rsidRPr="69F1B965">
        <w:rPr>
          <w:rFonts w:eastAsia="Calibri" w:cs="Calibri"/>
        </w:rPr>
        <w:t>SouthWest Grid for Learning (SWGfL)</w:t>
      </w:r>
      <w:r w:rsidR="00D028BD" w:rsidRPr="69F1B965">
        <w:rPr>
          <w:rFonts w:eastAsia="Calibri" w:cs="Calibri"/>
          <w:i/>
        </w:rPr>
        <w:t>:</w:t>
      </w:r>
      <w:r w:rsidR="00597237" w:rsidRPr="00597237">
        <w:rPr>
          <w:rFonts w:asciiTheme="minorHAnsi" w:hAnsiTheme="minorHAnsi" w:cstheme="minorBidi"/>
        </w:rPr>
        <w:t xml:space="preserve"> (</w:t>
      </w:r>
      <w:hyperlink r:id="rId13" w:history="1">
        <w:r w:rsidR="00597237" w:rsidRPr="00597237">
          <w:rPr>
            <w:rStyle w:val="Hyperlink"/>
            <w:rFonts w:asciiTheme="minorHAnsi" w:hAnsiTheme="minorHAnsi" w:cstheme="minorBidi"/>
          </w:rPr>
          <w:t>INF/2</w:t>
        </w:r>
      </w:hyperlink>
      <w:r w:rsidR="00597237" w:rsidRPr="00597237">
        <w:rPr>
          <w:rFonts w:asciiTheme="minorHAnsi" w:hAnsiTheme="minorHAnsi" w:cstheme="minorBidi"/>
        </w:rPr>
        <w:t>), Roblox (</w:t>
      </w:r>
      <w:hyperlink r:id="rId14" w:history="1">
        <w:r w:rsidR="00597237" w:rsidRPr="00597237">
          <w:rPr>
            <w:rStyle w:val="Hyperlink"/>
            <w:rFonts w:asciiTheme="minorHAnsi" w:hAnsiTheme="minorHAnsi" w:cstheme="minorBidi"/>
          </w:rPr>
          <w:t>INF/5</w:t>
        </w:r>
      </w:hyperlink>
      <w:r w:rsidR="00597237" w:rsidRPr="00597237">
        <w:rPr>
          <w:rFonts w:asciiTheme="minorHAnsi" w:hAnsiTheme="minorHAnsi" w:cstheme="minorBidi"/>
        </w:rPr>
        <w:t>), and WHO (</w:t>
      </w:r>
      <w:hyperlink r:id="rId15" w:history="1">
        <w:r w:rsidR="00597237" w:rsidRPr="00597237">
          <w:rPr>
            <w:rStyle w:val="Hyperlink"/>
            <w:rFonts w:asciiTheme="minorHAnsi" w:hAnsiTheme="minorHAnsi" w:cstheme="minorBidi"/>
          </w:rPr>
          <w:t>INF/9</w:t>
        </w:r>
      </w:hyperlink>
      <w:r w:rsidR="00597237" w:rsidRPr="00597237">
        <w:rPr>
          <w:rFonts w:asciiTheme="minorHAnsi" w:hAnsiTheme="minorHAnsi" w:cstheme="minorBidi"/>
        </w:rPr>
        <w:t>) — to the morning session.</w:t>
      </w:r>
    </w:p>
    <w:p w14:paraId="4C70923F" w14:textId="3FE83322" w:rsidR="00597237" w:rsidRPr="00597237" w:rsidRDefault="00326D3F" w:rsidP="00326D3F">
      <w:pPr>
        <w:pStyle w:val="enumlev1"/>
        <w:jc w:val="both"/>
        <w:rPr>
          <w:rFonts w:asciiTheme="minorHAnsi" w:hAnsiTheme="minorHAnsi" w:cstheme="minorBidi"/>
        </w:rPr>
      </w:pPr>
      <w:r>
        <w:rPr>
          <w:rFonts w:asciiTheme="minorHAnsi" w:hAnsiTheme="minorHAnsi" w:cstheme="minorBidi"/>
        </w:rPr>
        <w:t>–</w:t>
      </w:r>
      <w:r w:rsidR="008C2077" w:rsidRPr="00597237">
        <w:rPr>
          <w:rFonts w:ascii="Symbol" w:hAnsi="Symbol" w:cstheme="minorBidi"/>
          <w:sz w:val="20"/>
        </w:rPr>
        <w:tab/>
      </w:r>
      <w:r w:rsidR="00597237" w:rsidRPr="00597237">
        <w:rPr>
          <w:rFonts w:asciiTheme="minorHAnsi" w:hAnsiTheme="minorHAnsi" w:cstheme="minorBidi"/>
        </w:rPr>
        <w:t xml:space="preserve">Prioritize the </w:t>
      </w:r>
      <w:r w:rsidRPr="00597237">
        <w:rPr>
          <w:rFonts w:asciiTheme="minorHAnsi" w:hAnsiTheme="minorHAnsi" w:cstheme="minorBidi"/>
        </w:rPr>
        <w:t xml:space="preserve">liaison statement </w:t>
      </w:r>
      <w:r w:rsidR="00597237" w:rsidRPr="00597237">
        <w:rPr>
          <w:rFonts w:asciiTheme="minorHAnsi" w:hAnsiTheme="minorHAnsi" w:cstheme="minorBidi"/>
        </w:rPr>
        <w:t>from ITU-T SG17 (</w:t>
      </w:r>
      <w:hyperlink r:id="rId16" w:history="1">
        <w:r w:rsidR="00597237" w:rsidRPr="00597237">
          <w:rPr>
            <w:rStyle w:val="Hyperlink"/>
            <w:rFonts w:asciiTheme="minorHAnsi" w:hAnsiTheme="minorHAnsi" w:cstheme="minorBidi"/>
          </w:rPr>
          <w:t>Contribution 4</w:t>
        </w:r>
      </w:hyperlink>
      <w:r w:rsidR="00597237" w:rsidRPr="00597237">
        <w:rPr>
          <w:rFonts w:asciiTheme="minorHAnsi" w:hAnsiTheme="minorHAnsi" w:cstheme="minorBidi"/>
        </w:rPr>
        <w:t>), including the gap analysis report on standards supporting child online protection, ahead of the SWGfL proposal on parental control interoperability (</w:t>
      </w:r>
      <w:hyperlink r:id="rId17" w:history="1">
        <w:r w:rsidR="00597237" w:rsidRPr="00597237">
          <w:rPr>
            <w:rStyle w:val="Hyperlink"/>
            <w:rFonts w:asciiTheme="minorHAnsi" w:hAnsiTheme="minorHAnsi" w:cstheme="minorBidi"/>
          </w:rPr>
          <w:t>Contribution 3</w:t>
        </w:r>
      </w:hyperlink>
      <w:r w:rsidR="00597237" w:rsidRPr="00597237">
        <w:rPr>
          <w:rFonts w:asciiTheme="minorHAnsi" w:hAnsiTheme="minorHAnsi" w:cstheme="minorBidi"/>
        </w:rPr>
        <w:t>), given its foundational relevance.</w:t>
      </w:r>
    </w:p>
    <w:p w14:paraId="54E3AED7" w14:textId="0296BDB3" w:rsidR="00227BC0" w:rsidRPr="00F921C6" w:rsidRDefault="00597237" w:rsidP="005B12D7">
      <w:r w:rsidRPr="00597237">
        <w:t xml:space="preserve">These </w:t>
      </w:r>
      <w:r w:rsidRPr="008C2077">
        <w:t>adjustments</w:t>
      </w:r>
      <w:r w:rsidRPr="00597237">
        <w:t xml:space="preserve"> were adopted by the meeting.</w:t>
      </w:r>
    </w:p>
    <w:p w14:paraId="3DB75C53" w14:textId="03CDD5AE" w:rsidR="00227BC0" w:rsidRPr="00F921C6" w:rsidRDefault="00227BC0" w:rsidP="005B12D7">
      <w:pPr>
        <w:pStyle w:val="Heading1"/>
      </w:pPr>
      <w:r w:rsidRPr="69F1B965">
        <w:t>4</w:t>
      </w:r>
      <w:r>
        <w:tab/>
      </w:r>
      <w:r w:rsidRPr="69F1B965">
        <w:rPr>
          <w:bCs/>
        </w:rPr>
        <w:t>Contribution</w:t>
      </w:r>
      <w:r w:rsidRPr="69F1B965">
        <w:t xml:space="preserve"> and information documents</w:t>
      </w:r>
    </w:p>
    <w:p w14:paraId="3E5DBD69" w14:textId="42F98710" w:rsidR="00227BC0" w:rsidRDefault="00227BC0" w:rsidP="005B12D7">
      <w:pPr>
        <w:jc w:val="both"/>
      </w:pPr>
      <w:r w:rsidRPr="6A636481">
        <w:t>4.1</w:t>
      </w:r>
      <w:r w:rsidR="005B12D7">
        <w:tab/>
      </w:r>
      <w:r w:rsidRPr="6A636481">
        <w:t>The following documents were presented by membership and partners</w:t>
      </w:r>
      <w:r w:rsidR="00884A6E">
        <w:t xml:space="preserve"> (in order of </w:t>
      </w:r>
      <w:r w:rsidR="00884A6E" w:rsidRPr="008C2077">
        <w:t>appearance</w:t>
      </w:r>
      <w:r w:rsidR="00884A6E">
        <w:t>)</w:t>
      </w:r>
      <w:r w:rsidRPr="6A636481">
        <w:t>:</w:t>
      </w:r>
    </w:p>
    <w:p w14:paraId="6081EA7A" w14:textId="558F741B" w:rsidR="00227BC0" w:rsidRDefault="005B12D7" w:rsidP="005B12D7">
      <w:pPr>
        <w:pStyle w:val="enumlev1"/>
        <w:jc w:val="both"/>
        <w:rPr>
          <w:rFonts w:eastAsia="Calibri" w:cs="Calibri"/>
        </w:rPr>
      </w:pPr>
      <w:r>
        <w:rPr>
          <w:rFonts w:asciiTheme="minorHAnsi" w:hAnsiTheme="minorHAnsi" w:cstheme="minorBidi"/>
        </w:rPr>
        <w:t>–</w:t>
      </w:r>
      <w:r>
        <w:rPr>
          <w:rFonts w:asciiTheme="minorHAnsi" w:hAnsiTheme="minorHAnsi" w:cstheme="minorBidi"/>
        </w:rPr>
        <w:tab/>
      </w:r>
      <w:r w:rsidR="00227BC0" w:rsidRPr="69F1B965">
        <w:rPr>
          <w:rFonts w:eastAsia="Calibri" w:cs="Calibri"/>
        </w:rPr>
        <w:t xml:space="preserve">Contribution and Information document by the Secretariat: </w:t>
      </w:r>
    </w:p>
    <w:p w14:paraId="730D3DA2" w14:textId="5F022FD8" w:rsidR="00227BC0" w:rsidRPr="00707EFA" w:rsidRDefault="005B12D7" w:rsidP="005B12D7">
      <w:pPr>
        <w:pStyle w:val="enumlev2"/>
        <w:jc w:val="both"/>
        <w:rPr>
          <w:bdr w:val="none" w:sz="0" w:space="0" w:color="auto" w:frame="1"/>
          <w:shd w:val="clear" w:color="auto" w:fill="FFFFFF"/>
        </w:rPr>
      </w:pPr>
      <w:bookmarkStart w:id="13" w:name="_Hlk210725570"/>
      <w:r>
        <w:t>•</w:t>
      </w:r>
      <w:r>
        <w:tab/>
      </w:r>
      <w:hyperlink r:id="rId18">
        <w:r w:rsidR="00227BC0" w:rsidRPr="69F1B965">
          <w:rPr>
            <w:rStyle w:val="Hyperlink"/>
          </w:rPr>
          <w:t>Contribution</w:t>
        </w:r>
      </w:hyperlink>
      <w:r w:rsidR="00227BC0">
        <w:t xml:space="preserve"> by the </w:t>
      </w:r>
      <w:r w:rsidR="00381D47">
        <w:t>Secretariat:</w:t>
      </w:r>
      <w:r w:rsidR="00227BC0">
        <w:t xml:space="preserve"> </w:t>
      </w:r>
      <w:r w:rsidR="00381D47">
        <w:t xml:space="preserve">Update on the ITU Child Online Protection initiative and the COP global program </w:t>
      </w:r>
      <w:r w:rsidR="00381D47" w:rsidRPr="103BF935">
        <w:rPr>
          <w:i/>
          <w:iCs/>
        </w:rPr>
        <w:t>(including updates from ITU Regional Offices)</w:t>
      </w:r>
    </w:p>
    <w:bookmarkEnd w:id="13"/>
    <w:p w14:paraId="1BF3D90B" w14:textId="510A52BE" w:rsidR="00227BC0" w:rsidRDefault="005B12D7" w:rsidP="005B12D7">
      <w:pPr>
        <w:pStyle w:val="enumlev1"/>
        <w:keepNext/>
        <w:jc w:val="both"/>
        <w:rPr>
          <w:rFonts w:eastAsia="Calibri" w:cs="Calibri"/>
        </w:rPr>
      </w:pPr>
      <w:r>
        <w:rPr>
          <w:rFonts w:asciiTheme="minorHAnsi" w:hAnsiTheme="minorHAnsi" w:cstheme="minorBidi"/>
        </w:rPr>
        <w:lastRenderedPageBreak/>
        <w:t>–</w:t>
      </w:r>
      <w:r>
        <w:rPr>
          <w:rFonts w:asciiTheme="minorHAnsi" w:hAnsiTheme="minorHAnsi" w:cstheme="minorBidi"/>
        </w:rPr>
        <w:tab/>
      </w:r>
      <w:r w:rsidR="00227BC0" w:rsidRPr="69F1B965">
        <w:rPr>
          <w:rFonts w:eastAsia="Calibri" w:cs="Calibri"/>
        </w:rPr>
        <w:t xml:space="preserve">Information documents by ITU Member States: </w:t>
      </w:r>
    </w:p>
    <w:p w14:paraId="6B5AD400" w14:textId="5A6C07CC" w:rsidR="00D95854" w:rsidRPr="00D95854" w:rsidRDefault="005B12D7" w:rsidP="005B12D7">
      <w:pPr>
        <w:pStyle w:val="enumlev2"/>
        <w:jc w:val="both"/>
        <w:rPr>
          <w:rFonts w:asciiTheme="minorHAnsi" w:hAnsiTheme="minorHAnsi" w:cstheme="minorBidi"/>
          <w:color w:val="000000"/>
          <w:bdr w:val="none" w:sz="0" w:space="0" w:color="auto" w:frame="1"/>
          <w:shd w:val="clear" w:color="auto" w:fill="FFFFFF"/>
        </w:rPr>
      </w:pPr>
      <w:r>
        <w:t>•</w:t>
      </w:r>
      <w:r>
        <w:tab/>
      </w:r>
      <w:hyperlink r:id="rId19">
        <w:r w:rsidR="00227BC0" w:rsidRPr="00D95854">
          <w:rPr>
            <w:rStyle w:val="Hyperlink"/>
            <w:rFonts w:eastAsia="Calibri" w:cs="Calibri"/>
          </w:rPr>
          <w:t>Information document</w:t>
        </w:r>
      </w:hyperlink>
      <w:r w:rsidR="00227BC0" w:rsidRPr="00D95854">
        <w:rPr>
          <w:rFonts w:eastAsia="Calibri" w:cs="Calibri"/>
        </w:rPr>
        <w:t xml:space="preserve"> </w:t>
      </w:r>
      <w:r w:rsidR="00D95854" w:rsidRPr="00D95854">
        <w:rPr>
          <w:rFonts w:eastAsia="Calibri" w:cs="Calibri"/>
        </w:rPr>
        <w:t>by</w:t>
      </w:r>
      <w:r w:rsidR="00227BC0" w:rsidRPr="00D95854">
        <w:rPr>
          <w:rFonts w:eastAsia="Calibri" w:cs="Calibri"/>
        </w:rPr>
        <w:t xml:space="preserve"> </w:t>
      </w:r>
      <w:r w:rsidR="00A72858" w:rsidRPr="005B12D7">
        <w:t>Chad</w:t>
      </w:r>
      <w:r w:rsidR="00D95854">
        <w:rPr>
          <w:rFonts w:eastAsia="Calibri" w:cs="Calibri"/>
        </w:rPr>
        <w:t xml:space="preserve"> </w:t>
      </w:r>
      <w:r w:rsidR="00D95854" w:rsidRPr="00D95854">
        <w:rPr>
          <w:rFonts w:eastAsia="Calibri" w:cs="Calibri"/>
        </w:rPr>
        <w:t>(National Agency for Computer Security and Digital Certification (ANSICE)</w:t>
      </w:r>
      <w:r w:rsidR="00D95854">
        <w:rPr>
          <w:rFonts w:eastAsia="Calibri" w:cs="Calibri"/>
          <w:i/>
        </w:rPr>
        <w:t>:</w:t>
      </w:r>
      <w:r w:rsidR="00D95854" w:rsidRPr="00D95854">
        <w:rPr>
          <w:rFonts w:eastAsia="Calibri" w:cs="Calibri"/>
          <w:i/>
        </w:rPr>
        <w:t xml:space="preserve"> Initiative of the Chadian government for the implementation of national awareness campaigns on child online protection</w:t>
      </w:r>
    </w:p>
    <w:p w14:paraId="73663068" w14:textId="1C313DE6" w:rsidR="00227BC0" w:rsidRPr="00D95854" w:rsidRDefault="005B12D7" w:rsidP="005B12D7">
      <w:pPr>
        <w:pStyle w:val="enumlev2"/>
        <w:jc w:val="both"/>
        <w:rPr>
          <w:rFonts w:asciiTheme="minorHAnsi" w:hAnsiTheme="minorHAnsi" w:cstheme="minorBidi"/>
          <w:color w:val="000000"/>
          <w:bdr w:val="none" w:sz="0" w:space="0" w:color="auto" w:frame="1"/>
          <w:shd w:val="clear" w:color="auto" w:fill="FFFFFF"/>
        </w:rPr>
      </w:pPr>
      <w:r>
        <w:t>•</w:t>
      </w:r>
      <w:r>
        <w:tab/>
      </w:r>
      <w:hyperlink r:id="rId20">
        <w:r w:rsidR="00227BC0" w:rsidRPr="00D95854">
          <w:rPr>
            <w:rStyle w:val="Hyperlink"/>
            <w:rFonts w:eastAsia="Calibri" w:cs="Calibri"/>
          </w:rPr>
          <w:t>Information document</w:t>
        </w:r>
      </w:hyperlink>
      <w:r w:rsidR="00227BC0" w:rsidRPr="00D95854">
        <w:rPr>
          <w:rFonts w:eastAsia="Calibri" w:cs="Calibri"/>
        </w:rPr>
        <w:t xml:space="preserve"> </w:t>
      </w:r>
      <w:r w:rsidR="00E24C19">
        <w:rPr>
          <w:rFonts w:eastAsia="Calibri" w:cs="Calibri"/>
        </w:rPr>
        <w:t>by Malaysia</w:t>
      </w:r>
      <w:r w:rsidR="00227BC0" w:rsidRPr="00D95854">
        <w:rPr>
          <w:rFonts w:eastAsia="Calibri" w:cs="Calibri"/>
        </w:rPr>
        <w:t xml:space="preserve">: </w:t>
      </w:r>
      <w:r w:rsidR="00E24C19" w:rsidRPr="00E24C19">
        <w:rPr>
          <w:rFonts w:eastAsia="Calibri" w:cs="Calibri"/>
          <w:i/>
        </w:rPr>
        <w:t>Current and forthcoming measures to address child online exploitation through the national online safety framework</w:t>
      </w:r>
    </w:p>
    <w:p w14:paraId="3084C136" w14:textId="7C3E9D53" w:rsidR="00884A6E" w:rsidRDefault="005B12D7" w:rsidP="005B12D7">
      <w:pPr>
        <w:pStyle w:val="enumlev2"/>
        <w:jc w:val="both"/>
        <w:rPr>
          <w:rFonts w:asciiTheme="minorHAnsi" w:hAnsiTheme="minorHAnsi" w:cstheme="minorBidi"/>
          <w:color w:val="000000"/>
          <w:bdr w:val="none" w:sz="0" w:space="0" w:color="auto" w:frame="1"/>
          <w:shd w:val="clear" w:color="auto" w:fill="FFFFFF"/>
        </w:rPr>
      </w:pPr>
      <w:r>
        <w:t>•</w:t>
      </w:r>
      <w:r>
        <w:tab/>
      </w:r>
      <w:hyperlink r:id="rId21">
        <w:r w:rsidR="00227BC0" w:rsidRPr="69F1B965">
          <w:rPr>
            <w:rStyle w:val="Hyperlink"/>
            <w:rFonts w:eastAsia="Calibri" w:cs="Calibri"/>
          </w:rPr>
          <w:t>Information document</w:t>
        </w:r>
      </w:hyperlink>
      <w:r w:rsidR="00227BC0" w:rsidRPr="69F1B965">
        <w:rPr>
          <w:rFonts w:eastAsia="Calibri" w:cs="Calibri"/>
        </w:rPr>
        <w:t xml:space="preserve"> </w:t>
      </w:r>
      <w:r w:rsidR="0076711E">
        <w:rPr>
          <w:rFonts w:eastAsia="Calibri" w:cs="Calibri"/>
        </w:rPr>
        <w:t xml:space="preserve">by </w:t>
      </w:r>
      <w:r w:rsidR="0076711E" w:rsidRPr="005B12D7">
        <w:t>Andorra</w:t>
      </w:r>
      <w:r w:rsidR="0076711E">
        <w:rPr>
          <w:rFonts w:eastAsia="Calibri" w:cs="Calibri"/>
        </w:rPr>
        <w:t xml:space="preserve"> (A</w:t>
      </w:r>
      <w:r w:rsidR="0076711E" w:rsidRPr="0076711E">
        <w:rPr>
          <w:rFonts w:eastAsia="Calibri" w:cs="Calibri"/>
        </w:rPr>
        <w:t>ndorra Digital</w:t>
      </w:r>
      <w:r w:rsidR="0076711E">
        <w:rPr>
          <w:rFonts w:eastAsia="Calibri" w:cs="Calibri"/>
        </w:rPr>
        <w:t>)</w:t>
      </w:r>
      <w:r w:rsidR="0076711E" w:rsidRPr="0076711E">
        <w:rPr>
          <w:rFonts w:eastAsia="Calibri" w:cs="Calibri"/>
        </w:rPr>
        <w:t xml:space="preserve"> </w:t>
      </w:r>
      <w:r>
        <w:rPr>
          <w:rFonts w:eastAsia="Calibri" w:cs="Calibri"/>
        </w:rPr>
        <w:t>–</w:t>
      </w:r>
      <w:r w:rsidR="0076711E" w:rsidRPr="0076711E">
        <w:rPr>
          <w:rFonts w:eastAsia="Calibri" w:cs="Calibri"/>
        </w:rPr>
        <w:t xml:space="preserve"> </w:t>
      </w:r>
      <w:r w:rsidR="0076711E" w:rsidRPr="0076711E">
        <w:rPr>
          <w:rFonts w:eastAsia="Calibri" w:cs="Calibri"/>
          <w:i/>
          <w:iCs/>
        </w:rPr>
        <w:t>Andorra's commitment to the online protection of children: initiatives</w:t>
      </w:r>
      <w:r w:rsidR="00227BC0" w:rsidRPr="62B5DA45">
        <w:rPr>
          <w:i/>
          <w:iCs/>
        </w:rPr>
        <w:t xml:space="preserve"> </w:t>
      </w:r>
    </w:p>
    <w:p w14:paraId="03E333E8" w14:textId="21FC6166" w:rsidR="00884A6E" w:rsidRPr="00996D00" w:rsidRDefault="005B12D7" w:rsidP="005B12D7">
      <w:pPr>
        <w:pStyle w:val="enumlev2"/>
        <w:jc w:val="both"/>
        <w:rPr>
          <w:rFonts w:asciiTheme="minorHAnsi" w:hAnsiTheme="minorHAnsi" w:cstheme="minorBidi"/>
          <w:color w:val="000000"/>
          <w:bdr w:val="none" w:sz="0" w:space="0" w:color="auto" w:frame="1"/>
          <w:shd w:val="clear" w:color="auto" w:fill="FFFFFF"/>
        </w:rPr>
      </w:pPr>
      <w:r>
        <w:t>•</w:t>
      </w:r>
      <w:r>
        <w:tab/>
      </w:r>
      <w:hyperlink r:id="rId22">
        <w:r w:rsidR="00884A6E" w:rsidRPr="69F1B965">
          <w:rPr>
            <w:rStyle w:val="Hyperlink"/>
          </w:rPr>
          <w:t>Contribution</w:t>
        </w:r>
      </w:hyperlink>
      <w:r w:rsidR="00884A6E">
        <w:t xml:space="preserve"> by the Russian Federation, Belarus (Republic of), and the Kyrgyz Republic: Proposals for the overall Review of the implementation of WSIS </w:t>
      </w:r>
      <w:r w:rsidR="00884A6E" w:rsidRPr="00996D00">
        <w:t xml:space="preserve">outcomes and </w:t>
      </w:r>
      <w:r>
        <w:t>follow-up</w:t>
      </w:r>
    </w:p>
    <w:p w14:paraId="23C72429" w14:textId="66D8F1BA" w:rsidR="00227BC0" w:rsidRPr="00996D00" w:rsidRDefault="005B12D7" w:rsidP="005B12D7">
      <w:pPr>
        <w:pStyle w:val="enumlev1"/>
        <w:jc w:val="both"/>
        <w:rPr>
          <w:rFonts w:asciiTheme="minorHAnsi" w:hAnsiTheme="minorHAnsi" w:cstheme="minorBidi"/>
          <w:color w:val="000000" w:themeColor="text1"/>
        </w:rPr>
      </w:pPr>
      <w:r>
        <w:rPr>
          <w:rFonts w:asciiTheme="minorHAnsi" w:hAnsiTheme="minorHAnsi" w:cstheme="minorBidi"/>
        </w:rPr>
        <w:t>–</w:t>
      </w:r>
      <w:r>
        <w:rPr>
          <w:rFonts w:asciiTheme="minorHAnsi" w:hAnsiTheme="minorHAnsi" w:cstheme="minorBidi"/>
        </w:rPr>
        <w:tab/>
      </w:r>
      <w:r w:rsidR="00227BC0" w:rsidRPr="00996D00">
        <w:rPr>
          <w:rFonts w:eastAsia="Calibri" w:cs="Calibri"/>
        </w:rPr>
        <w:t>Information documents</w:t>
      </w:r>
      <w:r w:rsidR="00227BC0" w:rsidRPr="00996D00">
        <w:rPr>
          <w:rFonts w:asciiTheme="minorHAnsi" w:hAnsiTheme="minorHAnsi" w:cstheme="minorBidi"/>
          <w:color w:val="000000" w:themeColor="text1"/>
        </w:rPr>
        <w:t xml:space="preserve"> from ITU Sector Members:</w:t>
      </w:r>
    </w:p>
    <w:p w14:paraId="29C30B8B" w14:textId="3DF35811" w:rsidR="00227BC0" w:rsidRPr="008C2077" w:rsidRDefault="005B12D7" w:rsidP="005B12D7">
      <w:pPr>
        <w:pStyle w:val="enumlev2"/>
        <w:jc w:val="both"/>
        <w:rPr>
          <w:rFonts w:eastAsia="Calibri" w:cs="Calibri"/>
        </w:rPr>
      </w:pPr>
      <w:r>
        <w:t>•</w:t>
      </w:r>
      <w:r>
        <w:tab/>
      </w:r>
      <w:hyperlink r:id="rId23">
        <w:r w:rsidR="00227BC0" w:rsidRPr="008C2077">
          <w:rPr>
            <w:rStyle w:val="Hyperlink"/>
            <w:rFonts w:eastAsia="Calibri" w:cs="Calibri"/>
          </w:rPr>
          <w:t>Information document</w:t>
        </w:r>
      </w:hyperlink>
      <w:r w:rsidR="00227BC0" w:rsidRPr="008C2077">
        <w:rPr>
          <w:rFonts w:eastAsia="Calibri" w:cs="Calibri"/>
        </w:rPr>
        <w:t xml:space="preserve"> </w:t>
      </w:r>
      <w:r w:rsidR="00FD3E06" w:rsidRPr="008C2077">
        <w:rPr>
          <w:rFonts w:eastAsia="Calibri" w:cs="Calibri"/>
        </w:rPr>
        <w:t xml:space="preserve">by </w:t>
      </w:r>
      <w:r w:rsidR="00FD3E06" w:rsidRPr="005B12D7">
        <w:t>Kaspersky</w:t>
      </w:r>
      <w:r w:rsidR="00FD3E06" w:rsidRPr="008C2077">
        <w:rPr>
          <w:rFonts w:eastAsia="Calibri" w:cs="Calibri"/>
        </w:rPr>
        <w:t xml:space="preserve">: </w:t>
      </w:r>
      <w:r w:rsidR="00FD3E06" w:rsidRPr="008C2077">
        <w:rPr>
          <w:rFonts w:eastAsia="Calibri" w:cs="Calibri"/>
          <w:i/>
          <w:iCs/>
        </w:rPr>
        <w:t>Speaking the Same Language: A Pathway to Enhancing Children's Digital Literacy</w:t>
      </w:r>
    </w:p>
    <w:p w14:paraId="70AF58FA" w14:textId="257B8B37" w:rsidR="00227BC0" w:rsidRPr="00996D00" w:rsidRDefault="005B12D7" w:rsidP="005B12D7">
      <w:pPr>
        <w:pStyle w:val="enumlev1"/>
        <w:jc w:val="both"/>
        <w:rPr>
          <w:rFonts w:asciiTheme="minorHAnsi" w:hAnsiTheme="minorHAnsi" w:cstheme="minorBidi"/>
          <w:color w:val="000000" w:themeColor="text1"/>
        </w:rPr>
      </w:pPr>
      <w:r>
        <w:rPr>
          <w:rFonts w:asciiTheme="minorHAnsi" w:hAnsiTheme="minorHAnsi" w:cstheme="minorBidi"/>
        </w:rPr>
        <w:t>–</w:t>
      </w:r>
      <w:r>
        <w:rPr>
          <w:rFonts w:asciiTheme="minorHAnsi" w:hAnsiTheme="minorHAnsi" w:cstheme="minorBidi"/>
        </w:rPr>
        <w:tab/>
      </w:r>
      <w:r w:rsidR="00227BC0" w:rsidRPr="00996D00">
        <w:rPr>
          <w:rFonts w:eastAsia="Calibri" w:cs="Calibri"/>
        </w:rPr>
        <w:t xml:space="preserve">Information documents </w:t>
      </w:r>
      <w:r w:rsidR="00227BC0" w:rsidRPr="00996D00">
        <w:rPr>
          <w:rFonts w:asciiTheme="minorHAnsi" w:hAnsiTheme="minorHAnsi" w:cstheme="minorBidi"/>
          <w:color w:val="000000" w:themeColor="text1"/>
        </w:rPr>
        <w:t>from ITU partners and other relevant stakeholders</w:t>
      </w:r>
      <w:r w:rsidR="00227BC0" w:rsidRPr="00996D00">
        <w:rPr>
          <w:rFonts w:eastAsia="Calibri" w:cs="Calibri"/>
        </w:rPr>
        <w:t>:</w:t>
      </w:r>
    </w:p>
    <w:p w14:paraId="11F565CF" w14:textId="3B865925" w:rsidR="00227BC0" w:rsidRPr="00996D00" w:rsidRDefault="005B12D7" w:rsidP="005B12D7">
      <w:pPr>
        <w:pStyle w:val="enumlev2"/>
        <w:jc w:val="both"/>
        <w:rPr>
          <w:rFonts w:asciiTheme="minorHAnsi" w:hAnsiTheme="minorHAnsi" w:cstheme="minorBidi"/>
          <w:color w:val="000000"/>
          <w:bdr w:val="none" w:sz="0" w:space="0" w:color="auto" w:frame="1"/>
          <w:shd w:val="clear" w:color="auto" w:fill="FFFFFF"/>
        </w:rPr>
      </w:pPr>
      <w:r>
        <w:t>•</w:t>
      </w:r>
      <w:r>
        <w:tab/>
      </w:r>
      <w:hyperlink r:id="rId24">
        <w:r w:rsidR="00227BC0" w:rsidRPr="00996D00">
          <w:rPr>
            <w:rStyle w:val="Hyperlink"/>
            <w:rFonts w:eastAsia="Calibri" w:cs="Calibri"/>
          </w:rPr>
          <w:t>Information document</w:t>
        </w:r>
      </w:hyperlink>
      <w:r w:rsidR="00227BC0" w:rsidRPr="00996D00">
        <w:rPr>
          <w:rFonts w:eastAsia="Calibri" w:cs="Calibri"/>
        </w:rPr>
        <w:t xml:space="preserve"> </w:t>
      </w:r>
      <w:r w:rsidR="00E8430B" w:rsidRPr="00996D00">
        <w:rPr>
          <w:rFonts w:eastAsia="Calibri" w:cs="Calibri"/>
        </w:rPr>
        <w:t xml:space="preserve">by </w:t>
      </w:r>
      <w:r w:rsidR="00D028BD" w:rsidRPr="00996D00">
        <w:rPr>
          <w:rFonts w:eastAsia="Calibri" w:cs="Calibri"/>
        </w:rPr>
        <w:t>SouthWest Grid for Learning (SWGfL)</w:t>
      </w:r>
      <w:r w:rsidR="00E8430B" w:rsidRPr="00996D00">
        <w:rPr>
          <w:rFonts w:eastAsia="Calibri" w:cs="Calibri"/>
        </w:rPr>
        <w:t xml:space="preserve">: </w:t>
      </w:r>
      <w:r w:rsidR="00E8430B" w:rsidRPr="00996D00">
        <w:rPr>
          <w:rFonts w:eastAsia="Calibri" w:cs="Calibri"/>
          <w:i/>
          <w:iCs/>
        </w:rPr>
        <w:t xml:space="preserve">Family Smart Start </w:t>
      </w:r>
      <w:r>
        <w:rPr>
          <w:rFonts w:eastAsia="Calibri" w:cs="Calibri"/>
          <w:i/>
          <w:iCs/>
        </w:rPr>
        <w:t>–</w:t>
      </w:r>
      <w:r w:rsidR="00E8430B" w:rsidRPr="00996D00">
        <w:rPr>
          <w:rFonts w:eastAsia="Calibri" w:cs="Calibri"/>
          <w:i/>
          <w:iCs/>
        </w:rPr>
        <w:t xml:space="preserve"> Empowering Safe and Effective Smartphone Use</w:t>
      </w:r>
    </w:p>
    <w:p w14:paraId="0E4F7AC3" w14:textId="6D91EF2E" w:rsidR="00227BC0" w:rsidRPr="00996D00" w:rsidRDefault="005B12D7" w:rsidP="005B12D7">
      <w:pPr>
        <w:pStyle w:val="enumlev2"/>
        <w:jc w:val="both"/>
        <w:rPr>
          <w:rFonts w:asciiTheme="minorHAnsi" w:hAnsiTheme="minorHAnsi" w:cstheme="minorBidi"/>
          <w:color w:val="000000"/>
          <w:bdr w:val="none" w:sz="0" w:space="0" w:color="auto" w:frame="1"/>
          <w:shd w:val="clear" w:color="auto" w:fill="FFFFFF"/>
        </w:rPr>
      </w:pPr>
      <w:r>
        <w:t>•</w:t>
      </w:r>
      <w:r>
        <w:tab/>
      </w:r>
      <w:hyperlink r:id="rId25">
        <w:r w:rsidR="00227BC0" w:rsidRPr="00996D00">
          <w:rPr>
            <w:rStyle w:val="Hyperlink"/>
            <w:rFonts w:eastAsia="Calibri" w:cs="Calibri"/>
          </w:rPr>
          <w:t>Information document</w:t>
        </w:r>
      </w:hyperlink>
      <w:r w:rsidR="00227BC0" w:rsidRPr="00996D00">
        <w:rPr>
          <w:rFonts w:eastAsia="Calibri" w:cs="Calibri"/>
        </w:rPr>
        <w:t xml:space="preserve"> by </w:t>
      </w:r>
      <w:r w:rsidR="00C90E1F" w:rsidRPr="005B12D7">
        <w:t>ROBLOX</w:t>
      </w:r>
      <w:r w:rsidR="00227BC0" w:rsidRPr="00996D00">
        <w:rPr>
          <w:rFonts w:eastAsia="Calibri" w:cs="Calibri"/>
        </w:rPr>
        <w:t xml:space="preserve">: </w:t>
      </w:r>
      <w:r w:rsidR="00C90E1F" w:rsidRPr="00996D00">
        <w:rPr>
          <w:rFonts w:eastAsia="Calibri" w:cs="Calibri"/>
          <w:i/>
        </w:rPr>
        <w:t>Safety 2025</w:t>
      </w:r>
    </w:p>
    <w:p w14:paraId="1A254609" w14:textId="72E3C5A6" w:rsidR="00227BC0" w:rsidRPr="00996D00" w:rsidRDefault="005B12D7" w:rsidP="005B12D7">
      <w:pPr>
        <w:pStyle w:val="enumlev2"/>
        <w:jc w:val="both"/>
        <w:rPr>
          <w:rFonts w:eastAsia="Calibri" w:cs="Calibri"/>
          <w:bdr w:val="none" w:sz="0" w:space="0" w:color="auto" w:frame="1"/>
          <w:shd w:val="clear" w:color="auto" w:fill="FFFFFF"/>
        </w:rPr>
      </w:pPr>
      <w:r>
        <w:t>•</w:t>
      </w:r>
      <w:r>
        <w:tab/>
      </w:r>
      <w:hyperlink r:id="rId26">
        <w:r w:rsidR="00227BC0" w:rsidRPr="00996D00">
          <w:rPr>
            <w:rStyle w:val="Hyperlink"/>
            <w:rFonts w:eastAsia="Calibri" w:cs="Calibri"/>
          </w:rPr>
          <w:t>Information document</w:t>
        </w:r>
      </w:hyperlink>
      <w:r w:rsidR="00227BC0" w:rsidRPr="00996D00">
        <w:rPr>
          <w:rFonts w:eastAsia="Calibri" w:cs="Calibri"/>
        </w:rPr>
        <w:t xml:space="preserve"> by </w:t>
      </w:r>
      <w:r w:rsidR="00C90E1F" w:rsidRPr="005B12D7">
        <w:t>WHO</w:t>
      </w:r>
      <w:r w:rsidR="00C90E1F" w:rsidRPr="00996D00">
        <w:rPr>
          <w:rFonts w:eastAsia="Calibri" w:cs="Calibri"/>
        </w:rPr>
        <w:t>, UNH</w:t>
      </w:r>
      <w:r w:rsidR="00D028BD" w:rsidRPr="00996D00">
        <w:rPr>
          <w:rFonts w:eastAsia="Calibri" w:cs="Calibri"/>
        </w:rPr>
        <w:t>:</w:t>
      </w:r>
      <w:r w:rsidR="00C90E1F" w:rsidRPr="00996D00">
        <w:rPr>
          <w:rFonts w:eastAsia="Calibri" w:cs="Calibri"/>
        </w:rPr>
        <w:t xml:space="preserve"> </w:t>
      </w:r>
      <w:r w:rsidR="00C90E1F" w:rsidRPr="00996D00">
        <w:rPr>
          <w:rFonts w:eastAsia="Calibri" w:cs="Calibri"/>
          <w:i/>
          <w:iCs/>
        </w:rPr>
        <w:t>GO-SAFER: Global Online Safety Alliance for Educational Resources</w:t>
      </w:r>
    </w:p>
    <w:p w14:paraId="2E81C56E" w14:textId="5E6B167C" w:rsidR="001D18CE" w:rsidRPr="00996D00" w:rsidRDefault="005B12D7" w:rsidP="005B12D7">
      <w:pPr>
        <w:pStyle w:val="enumlev1"/>
        <w:jc w:val="both"/>
        <w:rPr>
          <w:rFonts w:asciiTheme="minorHAnsi" w:hAnsiTheme="minorHAnsi" w:cstheme="minorBidi"/>
          <w:color w:val="000000" w:themeColor="text1"/>
        </w:rPr>
      </w:pPr>
      <w:r>
        <w:rPr>
          <w:rFonts w:asciiTheme="minorHAnsi" w:hAnsiTheme="minorHAnsi" w:cstheme="minorBidi"/>
        </w:rPr>
        <w:t>–</w:t>
      </w:r>
      <w:r>
        <w:rPr>
          <w:rFonts w:asciiTheme="minorHAnsi" w:hAnsiTheme="minorHAnsi" w:cstheme="minorBidi"/>
        </w:rPr>
        <w:tab/>
      </w:r>
      <w:r w:rsidR="002637F6" w:rsidRPr="00996D00">
        <w:rPr>
          <w:rFonts w:eastAsia="Calibri" w:cs="Calibri"/>
        </w:rPr>
        <w:t xml:space="preserve">Documents presented under </w:t>
      </w:r>
      <w:r w:rsidRPr="00996D00">
        <w:rPr>
          <w:rFonts w:eastAsia="Calibri" w:cs="Calibri"/>
        </w:rPr>
        <w:t>any other business</w:t>
      </w:r>
      <w:r>
        <w:rPr>
          <w:rFonts w:eastAsia="Calibri" w:cs="Calibri"/>
        </w:rPr>
        <w:t>:</w:t>
      </w:r>
    </w:p>
    <w:p w14:paraId="21BDE876" w14:textId="63F01C42" w:rsidR="00282679" w:rsidRPr="00996D00" w:rsidRDefault="005B12D7" w:rsidP="005B12D7">
      <w:pPr>
        <w:pStyle w:val="enumlev2"/>
        <w:jc w:val="both"/>
        <w:rPr>
          <w:rFonts w:asciiTheme="minorHAnsi" w:hAnsiTheme="minorHAnsi" w:cstheme="minorBidi"/>
          <w:color w:val="000000" w:themeColor="text1"/>
        </w:rPr>
      </w:pPr>
      <w:r>
        <w:t>•</w:t>
      </w:r>
      <w:r>
        <w:tab/>
      </w:r>
      <w:hyperlink r:id="rId27" w:history="1">
        <w:r w:rsidR="00454575" w:rsidRPr="00996D00">
          <w:rPr>
            <w:rStyle w:val="Hyperlink"/>
          </w:rPr>
          <w:t>Liaison statement</w:t>
        </w:r>
      </w:hyperlink>
      <w:r w:rsidR="00454575" w:rsidRPr="00996D00">
        <w:t xml:space="preserve"> </w:t>
      </w:r>
      <w:r w:rsidR="008D32CE" w:rsidRPr="00996D00">
        <w:t>by</w:t>
      </w:r>
      <w:r w:rsidR="00454575" w:rsidRPr="00996D00">
        <w:t xml:space="preserve"> ITU-T SG17</w:t>
      </w:r>
      <w:r w:rsidR="00096C1C" w:rsidRPr="00996D00">
        <w:t>: U</w:t>
      </w:r>
      <w:r w:rsidR="008D32CE" w:rsidRPr="00996D00">
        <w:t xml:space="preserve">pdate on the work of the </w:t>
      </w:r>
      <w:r w:rsidR="00096C1C" w:rsidRPr="00996D00">
        <w:t>C</w:t>
      </w:r>
      <w:r w:rsidR="008D32CE" w:rsidRPr="00996D00">
        <w:t xml:space="preserve">orrespondence </w:t>
      </w:r>
      <w:r w:rsidR="00096C1C" w:rsidRPr="00996D00">
        <w:t>G</w:t>
      </w:r>
      <w:r w:rsidR="008D32CE" w:rsidRPr="00996D00">
        <w:t xml:space="preserve">roup on </w:t>
      </w:r>
      <w:r w:rsidR="009F3372" w:rsidRPr="00996D00">
        <w:t xml:space="preserve">child online protection </w:t>
      </w:r>
      <w:r w:rsidR="008D32CE" w:rsidRPr="00996D00">
        <w:t>(</w:t>
      </w:r>
      <w:r w:rsidR="00096C1C" w:rsidRPr="00996D00">
        <w:t>CG</w:t>
      </w:r>
      <w:r w:rsidR="008D32CE" w:rsidRPr="00996D00">
        <w:t>-</w:t>
      </w:r>
      <w:r w:rsidR="00096C1C" w:rsidRPr="00996D00">
        <w:t>COP</w:t>
      </w:r>
      <w:r w:rsidR="008D32CE" w:rsidRPr="00996D00">
        <w:t>)</w:t>
      </w:r>
    </w:p>
    <w:p w14:paraId="6D884633" w14:textId="0163A2AE" w:rsidR="00282679" w:rsidRDefault="005B12D7" w:rsidP="005B12D7">
      <w:pPr>
        <w:pStyle w:val="enumlev2"/>
        <w:jc w:val="both"/>
      </w:pPr>
      <w:r>
        <w:t>•</w:t>
      </w:r>
      <w:r>
        <w:tab/>
      </w:r>
      <w:hyperlink r:id="rId28">
        <w:r w:rsidR="00282679" w:rsidRPr="00282679">
          <w:rPr>
            <w:rStyle w:val="Hyperlink"/>
            <w:rFonts w:asciiTheme="minorHAnsi" w:hAnsiTheme="minorHAnsi" w:cstheme="minorBidi"/>
          </w:rPr>
          <w:t>Contribution</w:t>
        </w:r>
      </w:hyperlink>
      <w:r w:rsidR="00282679" w:rsidRPr="00282679">
        <w:rPr>
          <w:rFonts w:asciiTheme="minorHAnsi" w:hAnsiTheme="minorHAnsi" w:cstheme="minorBidi"/>
        </w:rPr>
        <w:t xml:space="preserve"> </w:t>
      </w:r>
      <w:r w:rsidR="00282679" w:rsidRPr="00282679">
        <w:rPr>
          <w:rFonts w:eastAsia="Calibri" w:cs="Calibri"/>
        </w:rPr>
        <w:t xml:space="preserve">by </w:t>
      </w:r>
      <w:r w:rsidR="00282679" w:rsidRPr="005B12D7">
        <w:t>SouthWest</w:t>
      </w:r>
      <w:r w:rsidR="00282679" w:rsidRPr="00282679">
        <w:rPr>
          <w:rFonts w:eastAsia="Calibri" w:cs="Calibri"/>
        </w:rPr>
        <w:t xml:space="preserve"> Grid for Learning (SWGfL): </w:t>
      </w:r>
      <w:r w:rsidR="00282679" w:rsidRPr="00282679">
        <w:rPr>
          <w:rFonts w:eastAsia="Calibri" w:cs="Calibri"/>
          <w:i/>
          <w:iCs/>
        </w:rPr>
        <w:t xml:space="preserve">Advancing </w:t>
      </w:r>
      <w:r w:rsidR="009F3372" w:rsidRPr="00282679">
        <w:rPr>
          <w:rFonts w:eastAsia="Calibri" w:cs="Calibri"/>
          <w:i/>
          <w:iCs/>
        </w:rPr>
        <w:t xml:space="preserve">technical standards for parental control interoperability </w:t>
      </w:r>
      <w:r w:rsidR="00282679" w:rsidRPr="00282679">
        <w:rPr>
          <w:rFonts w:eastAsia="Calibri" w:cs="Calibri"/>
          <w:i/>
          <w:iCs/>
        </w:rPr>
        <w:t>(Parcep)</w:t>
      </w:r>
    </w:p>
    <w:p w14:paraId="7E20D23A" w14:textId="1D53E53B" w:rsidR="002637F6" w:rsidRPr="00454575" w:rsidRDefault="005B12D7" w:rsidP="005B12D7">
      <w:pPr>
        <w:pStyle w:val="enumlev2"/>
        <w:jc w:val="both"/>
        <w:rPr>
          <w:rFonts w:eastAsia="Calibri" w:cs="Calibri"/>
          <w:bdr w:val="none" w:sz="0" w:space="0" w:color="auto" w:frame="1"/>
          <w:shd w:val="clear" w:color="auto" w:fill="FFFFFF"/>
        </w:rPr>
      </w:pPr>
      <w:r>
        <w:t>•</w:t>
      </w:r>
      <w:r>
        <w:tab/>
      </w:r>
      <w:hyperlink r:id="rId29" w:history="1">
        <w:r w:rsidR="00454575" w:rsidRPr="00D54B16">
          <w:rPr>
            <w:rStyle w:val="Hyperlink"/>
          </w:rPr>
          <w:t>Liaison statement</w:t>
        </w:r>
      </w:hyperlink>
      <w:r w:rsidR="00454575" w:rsidRPr="00D76491">
        <w:t xml:space="preserve"> </w:t>
      </w:r>
      <w:r w:rsidR="00454575">
        <w:t xml:space="preserve">by </w:t>
      </w:r>
      <w:r w:rsidR="00454575" w:rsidRPr="00125DEE">
        <w:t>CWG-COP</w:t>
      </w:r>
      <w:r w:rsidR="00454575">
        <w:t xml:space="preserve"> </w:t>
      </w:r>
      <w:r w:rsidR="00454575" w:rsidRPr="00125DEE">
        <w:t>to ITU-D Study Group 2, Question 3/2</w:t>
      </w:r>
      <w:r w:rsidR="00454575">
        <w:t>: O</w:t>
      </w:r>
      <w:r w:rsidR="00454575" w:rsidRPr="00125DEE">
        <w:t>utcomes of the 21</w:t>
      </w:r>
      <w:r w:rsidR="00454575" w:rsidRPr="005B12D7">
        <w:rPr>
          <w:vertAlign w:val="superscript"/>
        </w:rPr>
        <w:t>st</w:t>
      </w:r>
      <w:r w:rsidR="00454575" w:rsidRPr="00125DEE">
        <w:t xml:space="preserve"> and 22</w:t>
      </w:r>
      <w:r w:rsidR="00454575" w:rsidRPr="005B12D7">
        <w:rPr>
          <w:vertAlign w:val="superscript"/>
        </w:rPr>
        <w:t>nd</w:t>
      </w:r>
      <w:r w:rsidR="00454575" w:rsidRPr="00125DEE">
        <w:t xml:space="preserve"> meetings of the CWG-COP</w:t>
      </w:r>
      <w:r>
        <w:t>.</w:t>
      </w:r>
    </w:p>
    <w:p w14:paraId="63181F18" w14:textId="4776ABF8" w:rsidR="00227BC0" w:rsidRDefault="00227BC0" w:rsidP="009F3372">
      <w:pPr>
        <w:pStyle w:val="Heading1"/>
      </w:pPr>
      <w:r w:rsidRPr="6A636481">
        <w:rPr>
          <w:bCs/>
        </w:rPr>
        <w:t>5</w:t>
      </w:r>
      <w:r w:rsidR="009F3372">
        <w:rPr>
          <w:bCs/>
        </w:rPr>
        <w:tab/>
      </w:r>
      <w:r w:rsidRPr="6A636481">
        <w:t>Presentations</w:t>
      </w:r>
    </w:p>
    <w:p w14:paraId="2F6DC957" w14:textId="48A96101" w:rsidR="00227BC0" w:rsidRPr="000B653E" w:rsidRDefault="00227BC0" w:rsidP="009F3372">
      <w:pPr>
        <w:pStyle w:val="Headingb"/>
        <w:rPr>
          <w:color w:val="000000"/>
        </w:rPr>
      </w:pPr>
      <w:r w:rsidRPr="6A636481">
        <w:t>Contribution and Information document by the Secretariat</w:t>
      </w:r>
    </w:p>
    <w:p w14:paraId="76EF3056" w14:textId="63DF4058" w:rsidR="00D35540" w:rsidRPr="00D35540" w:rsidRDefault="008C2077" w:rsidP="008C2077">
      <w:pPr>
        <w:jc w:val="both"/>
        <w:rPr>
          <w:rFonts w:eastAsia="Calibri" w:cs="Calibri"/>
        </w:rPr>
      </w:pPr>
      <w:r w:rsidRPr="00D35540">
        <w:rPr>
          <w:rFonts w:eastAsia="Calibri" w:cs="Calibri"/>
          <w:color w:val="000000" w:themeColor="text1"/>
        </w:rPr>
        <w:t>5.1</w:t>
      </w:r>
      <w:r w:rsidRPr="00D35540">
        <w:rPr>
          <w:rFonts w:eastAsia="Calibri" w:cs="Calibri"/>
          <w:color w:val="000000" w:themeColor="text1"/>
        </w:rPr>
        <w:tab/>
      </w:r>
      <w:r w:rsidR="00227BC0" w:rsidRPr="69F1B965">
        <w:rPr>
          <w:rFonts w:eastAsia="Calibri" w:cs="Calibri"/>
          <w:lang w:val="en-US"/>
        </w:rPr>
        <w:t xml:space="preserve">The </w:t>
      </w:r>
      <w:hyperlink r:id="rId30">
        <w:r w:rsidR="00227BC0" w:rsidRPr="69F1B965">
          <w:rPr>
            <w:rStyle w:val="Hyperlink"/>
            <w:rFonts w:eastAsia="Calibri" w:cs="Calibri"/>
            <w:lang w:val="en-US"/>
          </w:rPr>
          <w:t>contribution</w:t>
        </w:r>
      </w:hyperlink>
      <w:r w:rsidR="00227BC0" w:rsidRPr="69F1B965">
        <w:rPr>
          <w:rFonts w:eastAsia="Calibri" w:cs="Calibri"/>
          <w:lang w:val="en-US"/>
        </w:rPr>
        <w:t xml:space="preserve"> </w:t>
      </w:r>
      <w:r w:rsidR="00227BC0">
        <w:rPr>
          <w:rFonts w:eastAsia="Calibri" w:cs="Calibri"/>
          <w:lang w:val="en-US"/>
        </w:rPr>
        <w:t xml:space="preserve">by </w:t>
      </w:r>
      <w:r w:rsidR="00227BC0" w:rsidRPr="69F1B965">
        <w:rPr>
          <w:rFonts w:eastAsia="Calibri" w:cs="Calibri"/>
          <w:lang w:val="en-US"/>
        </w:rPr>
        <w:t xml:space="preserve">ITU Secretariat provided an update on the Child Online Protection (COP) initiative, which continues to safeguard children from online risks while empowering them to harness digital opportunities. </w:t>
      </w:r>
      <w:r w:rsidR="00D35540" w:rsidRPr="00D35540">
        <w:rPr>
          <w:rFonts w:eastAsia="Calibri" w:cs="Calibri"/>
        </w:rPr>
        <w:t xml:space="preserve">Between January and September 2025, the Initiative expanded its global reach through a series of concrete actions. The </w:t>
      </w:r>
      <w:r w:rsidR="00D34385">
        <w:rPr>
          <w:rFonts w:eastAsia="Calibri" w:cs="Calibri"/>
        </w:rPr>
        <w:t xml:space="preserve">online trainings for </w:t>
      </w:r>
      <w:r w:rsidR="00F4700E">
        <w:rPr>
          <w:rFonts w:eastAsia="Calibri" w:cs="Calibri"/>
        </w:rPr>
        <w:t>children</w:t>
      </w:r>
      <w:r w:rsidR="00D35540" w:rsidRPr="00D35540">
        <w:rPr>
          <w:rFonts w:eastAsia="Calibri" w:cs="Calibri"/>
        </w:rPr>
        <w:t xml:space="preserve"> were translated into all six UN languages and localized </w:t>
      </w:r>
      <w:r w:rsidR="00F4700E">
        <w:rPr>
          <w:rFonts w:eastAsia="Calibri" w:cs="Calibri"/>
        </w:rPr>
        <w:t xml:space="preserve">through national awareness campaigns, </w:t>
      </w:r>
      <w:r w:rsidR="00D35540" w:rsidRPr="00D35540">
        <w:rPr>
          <w:rFonts w:eastAsia="Calibri" w:cs="Calibri"/>
        </w:rPr>
        <w:t>in countries such as Morocco and Armenia, where the </w:t>
      </w:r>
      <w:r w:rsidR="00D35540" w:rsidRPr="00D35540">
        <w:rPr>
          <w:rFonts w:eastAsia="Calibri" w:cs="Calibri"/>
          <w:i/>
          <w:iCs/>
        </w:rPr>
        <w:t>onlinesafety.am</w:t>
      </w:r>
      <w:r w:rsidR="00D35540" w:rsidRPr="00D35540">
        <w:rPr>
          <w:rFonts w:eastAsia="Calibri" w:cs="Calibri"/>
        </w:rPr>
        <w:t xml:space="preserve"> platform was migrated to national servers. Capacity-building activities were delivered in Brunei, Micronesia, Nepal, the Bahamas, Morocco, Armenia, and Switzerland, including Training of Trainers and multi-day sessions for children and educators. </w:t>
      </w:r>
      <w:r w:rsidR="00073D2C">
        <w:rPr>
          <w:rFonts w:eastAsia="Calibri" w:cs="Calibri"/>
        </w:rPr>
        <w:t xml:space="preserve">Since the last WTDC, </w:t>
      </w:r>
      <w:r w:rsidR="00D35540" w:rsidRPr="00D35540">
        <w:rPr>
          <w:rFonts w:eastAsia="Calibri" w:cs="Calibri"/>
        </w:rPr>
        <w:t xml:space="preserve">ITU supported national COP frameworks in </w:t>
      </w:r>
      <w:r w:rsidR="00F4700E">
        <w:rPr>
          <w:rFonts w:eastAsia="Calibri" w:cs="Calibri"/>
        </w:rPr>
        <w:t>a total of 1</w:t>
      </w:r>
      <w:r w:rsidR="00073D2C">
        <w:rPr>
          <w:rFonts w:eastAsia="Calibri" w:cs="Calibri"/>
        </w:rPr>
        <w:t>6</w:t>
      </w:r>
      <w:r w:rsidR="00D35540" w:rsidRPr="00D35540">
        <w:rPr>
          <w:rFonts w:eastAsia="Calibri" w:cs="Calibri"/>
        </w:rPr>
        <w:t xml:space="preserve"> countries—Albania, Armenia, Bahamas, </w:t>
      </w:r>
      <w:r w:rsidR="00D35540" w:rsidRPr="00D35540">
        <w:rPr>
          <w:rFonts w:eastAsia="Calibri" w:cs="Calibri"/>
        </w:rPr>
        <w:lastRenderedPageBreak/>
        <w:t>Bhutan, Cambodia, Chile, Ecuador, Kazakhstan, Malawi, Mongolia, Pakistan, Suriname, and Thailand—and provided ongoing technical assistance in Andorra, Eswatini, and Lebanon.</w:t>
      </w:r>
    </w:p>
    <w:p w14:paraId="511E5000" w14:textId="6AAA537E" w:rsidR="00D35540" w:rsidRPr="00D35540" w:rsidRDefault="00D35540" w:rsidP="009F3372">
      <w:pPr>
        <w:jc w:val="both"/>
        <w:rPr>
          <w:rFonts w:eastAsia="Calibri"/>
        </w:rPr>
      </w:pPr>
      <w:r w:rsidRPr="00D35540">
        <w:rPr>
          <w:rFonts w:eastAsia="Calibri"/>
        </w:rPr>
        <w:t>The initiative also strengthened cross-sector collaboration. ITU led the drafting of a Joint Statement on AI and Children’s Rights with UNICEF and the UN Committee on the Rights of the Child, involving over 40 organizations and youth from 15+ countries. The Industry Connect event series launched in 2025, facilitating dialogue between Member States</w:t>
      </w:r>
      <w:r w:rsidR="00A873C4">
        <w:rPr>
          <w:rFonts w:eastAsia="Calibri"/>
        </w:rPr>
        <w:t xml:space="preserve"> and</w:t>
      </w:r>
      <w:r w:rsidRPr="00D35540">
        <w:rPr>
          <w:rFonts w:eastAsia="Calibri"/>
        </w:rPr>
        <w:t xml:space="preserve"> industry</w:t>
      </w:r>
      <w:r w:rsidR="00A873C4">
        <w:rPr>
          <w:rFonts w:eastAsia="Calibri"/>
        </w:rPr>
        <w:t xml:space="preserve"> </w:t>
      </w:r>
      <w:r w:rsidRPr="00D35540">
        <w:rPr>
          <w:rFonts w:eastAsia="Calibri"/>
        </w:rPr>
        <w:t xml:space="preserve">on </w:t>
      </w:r>
      <w:r w:rsidR="00A873C4">
        <w:rPr>
          <w:rFonts w:eastAsia="Calibri"/>
        </w:rPr>
        <w:t xml:space="preserve">online safety in the context of </w:t>
      </w:r>
      <w:r w:rsidRPr="00D35540">
        <w:rPr>
          <w:rFonts w:eastAsia="Calibri"/>
        </w:rPr>
        <w:t>AI, social media, and gaming. COP was prominently featured at the AI for Good Summit and WSIS+20, where ITU co-hosted sessions on child protection and tech-facilitated gender-based violence. Additionally, ITU launched the GO-SAFER initiative with WHO and the University of New Hampshire to build a global hub for evidence-based online safety education, inviting stakeholders to contribute resources and expertise.</w:t>
      </w:r>
    </w:p>
    <w:p w14:paraId="66D5491C" w14:textId="7B5B22FB" w:rsidR="00227BC0" w:rsidRPr="00F36305" w:rsidRDefault="00227BC0" w:rsidP="009F3372">
      <w:pPr>
        <w:pStyle w:val="Headingb"/>
        <w:rPr>
          <w:color w:val="000000"/>
        </w:rPr>
      </w:pPr>
      <w:r w:rsidRPr="69F1B965">
        <w:t>Information documents by ITU Member States</w:t>
      </w:r>
    </w:p>
    <w:p w14:paraId="24B242A2" w14:textId="44552BC0" w:rsidR="00227BC0" w:rsidRDefault="008C2077" w:rsidP="008C2077">
      <w:pPr>
        <w:jc w:val="both"/>
        <w:rPr>
          <w:rFonts w:asciiTheme="minorHAnsi" w:hAnsiTheme="minorHAnsi" w:cstheme="minorBidi"/>
        </w:rPr>
      </w:pPr>
      <w:r>
        <w:rPr>
          <w:rFonts w:asciiTheme="minorHAnsi" w:hAnsiTheme="minorHAnsi" w:cstheme="minorBidi"/>
          <w:color w:val="000000" w:themeColor="text1"/>
        </w:rPr>
        <w:t>5.2</w:t>
      </w:r>
      <w:r>
        <w:rPr>
          <w:rFonts w:asciiTheme="minorHAnsi" w:hAnsiTheme="minorHAnsi" w:cstheme="minorBidi"/>
          <w:color w:val="000000" w:themeColor="text1"/>
        </w:rPr>
        <w:tab/>
      </w:r>
      <w:r w:rsidR="00227BC0" w:rsidRPr="77C7DEC2">
        <w:rPr>
          <w:rFonts w:eastAsia="Calibri" w:cs="Calibri"/>
        </w:rPr>
        <w:t xml:space="preserve">The </w:t>
      </w:r>
      <w:hyperlink r:id="rId31">
        <w:r w:rsidR="00227BC0" w:rsidRPr="77C7DEC2">
          <w:rPr>
            <w:rStyle w:val="Hyperlink"/>
            <w:rFonts w:eastAsia="Calibri" w:cs="Calibri"/>
          </w:rPr>
          <w:t>information document</w:t>
        </w:r>
      </w:hyperlink>
      <w:r w:rsidR="00227BC0" w:rsidRPr="77C7DEC2">
        <w:rPr>
          <w:rFonts w:eastAsia="Calibri" w:cs="Calibri"/>
        </w:rPr>
        <w:t xml:space="preserve"> by </w:t>
      </w:r>
      <w:r w:rsidR="00643681">
        <w:rPr>
          <w:rFonts w:eastAsia="Calibri" w:cs="Calibri"/>
        </w:rPr>
        <w:t>Chad</w:t>
      </w:r>
      <w:r w:rsidR="00A06A67">
        <w:rPr>
          <w:rFonts w:eastAsia="Calibri" w:cs="Calibri"/>
        </w:rPr>
        <w:t xml:space="preserve"> through its </w:t>
      </w:r>
      <w:r w:rsidR="00A06A67" w:rsidRPr="00DB1E27">
        <w:rPr>
          <w:rFonts w:eastAsia="Calibri" w:cs="Calibri"/>
          <w:i/>
          <w:iCs/>
        </w:rPr>
        <w:t>Agency for Computer Security and Digital Certification (ANSICE)</w:t>
      </w:r>
      <w:r w:rsidR="00A06A67">
        <w:rPr>
          <w:rFonts w:eastAsia="Calibri" w:cs="Calibri"/>
        </w:rPr>
        <w:t xml:space="preserve"> presented </w:t>
      </w:r>
      <w:r w:rsidR="00A06A67" w:rsidRPr="00A06A67">
        <w:rPr>
          <w:rFonts w:eastAsia="Calibri" w:cs="Calibri"/>
        </w:rPr>
        <w:t xml:space="preserve">the government’s initiative to implement national awareness campaigns on child online protection, led by ANSICE. The contribution outlined the growing digital penetration in Chad, with children’s increasing access to social media and digital platforms creating both opportunities and risks. In response, Chad has strengthened its legal framework through cybersecurity, data protection, and penal legislation, complemented by the </w:t>
      </w:r>
      <w:r w:rsidR="00A06A67" w:rsidRPr="008C2077">
        <w:t>establishment</w:t>
      </w:r>
      <w:r w:rsidR="00A06A67" w:rsidRPr="00A06A67">
        <w:rPr>
          <w:rFonts w:eastAsia="Calibri" w:cs="Calibri"/>
        </w:rPr>
        <w:t xml:space="preserve"> of ANSICE as the lead institution for data and online safety. The awareness initiative includes campaigns in schools and communities, multimedia outreach through radio, television and social media, and workshops for teachers, parents, and students. Notable activities include training sessions for girls on privacy protection, cybersecurity education for hundreds of youth at the National Library of Chad, and awareness workshops for high school students on safe social media use. Planned next steps involve expanding outreach to rural areas, introducing cybersecurity education from primary school, and establishing reporting helplines and a national monitoring platform. Chad reaffirmed its commitment to international cooperation with ITU and partners to strengthen child protection frameworks, promote digital literacy, and ensure a safer online environment for children</w:t>
      </w:r>
      <w:r w:rsidR="00227BC0" w:rsidRPr="77C7DEC2">
        <w:rPr>
          <w:rFonts w:eastAsia="Calibri" w:cs="Calibri"/>
        </w:rPr>
        <w:t>.</w:t>
      </w:r>
    </w:p>
    <w:p w14:paraId="1FBE1062" w14:textId="29232D94" w:rsidR="00227BC0" w:rsidRDefault="008C2077" w:rsidP="008C2077">
      <w:pPr>
        <w:jc w:val="both"/>
        <w:rPr>
          <w:rFonts w:eastAsia="Calibri" w:cs="Calibri"/>
        </w:rPr>
      </w:pPr>
      <w:r>
        <w:rPr>
          <w:rFonts w:eastAsia="Calibri" w:cs="Calibri"/>
          <w:color w:val="000000" w:themeColor="text1"/>
        </w:rPr>
        <w:t>5.3</w:t>
      </w:r>
      <w:r>
        <w:rPr>
          <w:rFonts w:eastAsia="Calibri" w:cs="Calibri"/>
          <w:color w:val="000000" w:themeColor="text1"/>
        </w:rPr>
        <w:tab/>
      </w:r>
      <w:r w:rsidR="00227BC0" w:rsidRPr="00B2300A">
        <w:rPr>
          <w:rFonts w:asciiTheme="minorHAnsi" w:hAnsiTheme="minorHAnsi" w:cstheme="minorBidi"/>
        </w:rPr>
        <w:t xml:space="preserve">The </w:t>
      </w:r>
      <w:hyperlink r:id="rId32">
        <w:r w:rsidR="00227BC0" w:rsidRPr="00B2300A">
          <w:rPr>
            <w:rStyle w:val="Hyperlink"/>
            <w:rFonts w:asciiTheme="minorHAnsi" w:hAnsiTheme="minorHAnsi" w:cstheme="minorBidi"/>
          </w:rPr>
          <w:t>information document</w:t>
        </w:r>
      </w:hyperlink>
      <w:r w:rsidR="00227BC0" w:rsidRPr="00B2300A">
        <w:rPr>
          <w:rFonts w:asciiTheme="minorHAnsi" w:hAnsiTheme="minorHAnsi" w:cstheme="minorBidi"/>
        </w:rPr>
        <w:t xml:space="preserve"> by </w:t>
      </w:r>
      <w:r w:rsidR="00B2300A" w:rsidRPr="00B2300A">
        <w:rPr>
          <w:rFonts w:asciiTheme="minorHAnsi" w:hAnsiTheme="minorHAnsi" w:cstheme="minorBidi"/>
        </w:rPr>
        <w:t>Malaysia</w:t>
      </w:r>
      <w:r w:rsidR="00227BC0" w:rsidRPr="74FDB32D">
        <w:rPr>
          <w:rFonts w:asciiTheme="minorHAnsi" w:hAnsiTheme="minorHAnsi" w:cstheme="minorBidi"/>
        </w:rPr>
        <w:t xml:space="preserve"> </w:t>
      </w:r>
      <w:r w:rsidR="00B2300A" w:rsidRPr="00B2300A">
        <w:rPr>
          <w:rFonts w:asciiTheme="minorHAnsi" w:hAnsiTheme="minorHAnsi" w:cstheme="minorBidi"/>
        </w:rPr>
        <w:t xml:space="preserve">introduced its current and forthcoming measures to address child online exploitation through the National Online Safety Framework (NOSF), a comprehensive blueprint structured around three pillars: Regulatory, Awareness, and Collaboration. The framework, led by the Malaysian Communications and Multimedia Commission (MCMC), consolidates legislative and institutional reforms, targeted awareness initiatives, and strategic partnerships across government, industry, and civil society. On the regulatory side, Malaysia has enacted the Online Safety Act 2025, introduced amendments to the Communications and Multimedia Act, and developed a Code of Conduct for Internet messaging and social media service providers, ensuring accountability and enhanced protection against harmful content. The awareness pillar is anchored in large-scale national campaigns, such as the </w:t>
      </w:r>
      <w:r w:rsidR="00B2300A" w:rsidRPr="00B2300A">
        <w:rPr>
          <w:rFonts w:asciiTheme="minorHAnsi" w:hAnsiTheme="minorHAnsi" w:cstheme="minorBidi"/>
          <w:i/>
          <w:iCs/>
        </w:rPr>
        <w:t>Kempen Internet Selamat</w:t>
      </w:r>
      <w:r w:rsidR="00B2300A" w:rsidRPr="00B2300A">
        <w:rPr>
          <w:rFonts w:asciiTheme="minorHAnsi" w:hAnsiTheme="minorHAnsi" w:cstheme="minorBidi"/>
        </w:rPr>
        <w:t>, which has already reached over 200</w:t>
      </w:r>
      <w:r w:rsidR="00EC429C">
        <w:rPr>
          <w:rFonts w:asciiTheme="minorHAnsi" w:hAnsiTheme="minorHAnsi" w:cstheme="minorBidi"/>
        </w:rPr>
        <w:t> </w:t>
      </w:r>
      <w:r w:rsidR="00B2300A" w:rsidRPr="00B2300A">
        <w:rPr>
          <w:rFonts w:asciiTheme="minorHAnsi" w:hAnsiTheme="minorHAnsi" w:cstheme="minorBidi"/>
        </w:rPr>
        <w:t xml:space="preserve">000 participants, the fact-checking platform </w:t>
      </w:r>
      <w:r w:rsidR="00B2300A" w:rsidRPr="00B2300A">
        <w:rPr>
          <w:rFonts w:asciiTheme="minorHAnsi" w:hAnsiTheme="minorHAnsi" w:cstheme="minorBidi"/>
          <w:i/>
          <w:iCs/>
        </w:rPr>
        <w:t>Sebenarnya.</w:t>
      </w:r>
      <w:r w:rsidR="00EC429C" w:rsidRPr="00B2300A">
        <w:rPr>
          <w:rFonts w:asciiTheme="minorHAnsi" w:hAnsiTheme="minorHAnsi" w:cstheme="minorBidi"/>
          <w:i/>
          <w:iCs/>
        </w:rPr>
        <w:t>my</w:t>
      </w:r>
      <w:r w:rsidR="00B2300A" w:rsidRPr="00B2300A">
        <w:rPr>
          <w:rFonts w:asciiTheme="minorHAnsi" w:hAnsiTheme="minorHAnsi" w:cstheme="minorBidi"/>
        </w:rPr>
        <w:t xml:space="preserve"> with its new AI-powered assistant, and the NADI community centres, which have trained more than 1.7 million users nationwide. Complementary industry guidelines on network and information security further strengthen child online protection across providers. The collaboration pillar highlights multi-sector partnerships, including cross-ministerial cooperation, enforcement actions with the Royal Malaysia Police, extensive cooperation with social media companies to remove harmful content, and volunteer-based digital literacy programmes engaging over 11</w:t>
      </w:r>
      <w:r w:rsidR="00EC429C">
        <w:rPr>
          <w:rFonts w:asciiTheme="minorHAnsi" w:hAnsiTheme="minorHAnsi" w:cstheme="minorBidi"/>
        </w:rPr>
        <w:t> </w:t>
      </w:r>
      <w:r w:rsidR="00B2300A" w:rsidRPr="00B2300A">
        <w:rPr>
          <w:rFonts w:asciiTheme="minorHAnsi" w:hAnsiTheme="minorHAnsi" w:cstheme="minorBidi"/>
        </w:rPr>
        <w:t xml:space="preserve">000 participants. </w:t>
      </w:r>
      <w:r w:rsidR="00B2300A" w:rsidRPr="00B2300A">
        <w:rPr>
          <w:rFonts w:asciiTheme="minorHAnsi" w:hAnsiTheme="minorHAnsi" w:cstheme="minorBidi"/>
        </w:rPr>
        <w:lastRenderedPageBreak/>
        <w:t>Malaysia also emphasized its regional and international role, including contributions to the ASEAN Declaration and Regional Plan of Action, its Vice-Chairmanship of CWG-COP, and engagement in the UNICEF-led Disrupting Harm study. The NOSF reflects Malaysia’s holistic and forward-looking approach to safeguarding children online and its commitment to aligning national efforts with ITU Resolution 179 (Rev. Bucharest, 2022)</w:t>
      </w:r>
      <w:r w:rsidR="00227BC0" w:rsidRPr="74FDB32D">
        <w:rPr>
          <w:rFonts w:asciiTheme="minorHAnsi" w:hAnsiTheme="minorHAnsi" w:cstheme="minorBidi"/>
        </w:rPr>
        <w:t>.</w:t>
      </w:r>
    </w:p>
    <w:p w14:paraId="4C5B2B6F" w14:textId="0918A03F" w:rsidR="00227BC0" w:rsidRPr="00B64AFB" w:rsidRDefault="008C2077" w:rsidP="008C2077">
      <w:pPr>
        <w:jc w:val="both"/>
        <w:rPr>
          <w:rFonts w:asciiTheme="minorHAnsi" w:hAnsiTheme="minorHAnsi" w:cstheme="minorBidi"/>
        </w:rPr>
      </w:pPr>
      <w:r w:rsidRPr="00B64AFB">
        <w:rPr>
          <w:rFonts w:asciiTheme="minorHAnsi" w:hAnsiTheme="minorHAnsi" w:cstheme="minorBidi"/>
          <w:color w:val="000000" w:themeColor="text1"/>
        </w:rPr>
        <w:t>5.4</w:t>
      </w:r>
      <w:r w:rsidRPr="00B64AFB">
        <w:rPr>
          <w:rFonts w:asciiTheme="minorHAnsi" w:hAnsiTheme="minorHAnsi" w:cstheme="minorBidi"/>
          <w:color w:val="000000" w:themeColor="text1"/>
        </w:rPr>
        <w:tab/>
      </w:r>
      <w:r w:rsidR="00227BC0" w:rsidRPr="74FDB32D">
        <w:rPr>
          <w:rFonts w:eastAsia="Calibri" w:cs="Calibri"/>
        </w:rPr>
        <w:t xml:space="preserve">The </w:t>
      </w:r>
      <w:hyperlink r:id="rId33">
        <w:r w:rsidR="00227BC0" w:rsidRPr="74FDB32D">
          <w:rPr>
            <w:rStyle w:val="Hyperlink"/>
            <w:rFonts w:eastAsia="Calibri" w:cs="Calibri"/>
          </w:rPr>
          <w:t>information document</w:t>
        </w:r>
      </w:hyperlink>
      <w:r w:rsidR="00227BC0" w:rsidRPr="74FDB32D">
        <w:rPr>
          <w:rFonts w:eastAsia="Calibri" w:cs="Calibri"/>
        </w:rPr>
        <w:t xml:space="preserve"> by </w:t>
      </w:r>
      <w:r w:rsidR="00B2300A">
        <w:rPr>
          <w:rFonts w:eastAsia="Calibri" w:cs="Calibri"/>
        </w:rPr>
        <w:t>Andorra</w:t>
      </w:r>
      <w:r w:rsidR="00227BC0" w:rsidRPr="74FDB32D">
        <w:rPr>
          <w:rFonts w:eastAsia="Calibri" w:cs="Calibri"/>
        </w:rPr>
        <w:t xml:space="preserve"> </w:t>
      </w:r>
      <w:r w:rsidR="00DB1E27">
        <w:rPr>
          <w:rFonts w:eastAsia="Calibri" w:cs="Calibri"/>
        </w:rPr>
        <w:t xml:space="preserve">through </w:t>
      </w:r>
      <w:r w:rsidR="00DB1E27" w:rsidRPr="00DB1E27">
        <w:rPr>
          <w:rFonts w:eastAsia="Calibri" w:cs="Calibri"/>
          <w:i/>
          <w:iCs/>
        </w:rPr>
        <w:t>Andorra Digital</w:t>
      </w:r>
      <w:r w:rsidR="00DB1E27" w:rsidRPr="00656895">
        <w:rPr>
          <w:rFonts w:eastAsia="Calibri" w:cs="Calibri"/>
        </w:rPr>
        <w:t xml:space="preserve"> </w:t>
      </w:r>
      <w:r w:rsidR="00656895" w:rsidRPr="00656895">
        <w:rPr>
          <w:rFonts w:eastAsia="Calibri" w:cs="Calibri"/>
        </w:rPr>
        <w:t>outlined the country’s ongoing commitment to child online protection, supported by a cooperation agreement with ITU. The contribution highlighted progress on the national COP strategy, including the translation and dissemination of the ITU COP Guidelines, the organization of capacity-building activities for policymakers, and preparations for the upcoming National Event on Child Online Protection during the II Andorra Forum on Public-Private Partnerships for the Digital Transition (28</w:t>
      </w:r>
      <w:r w:rsidR="00EC429C">
        <w:rPr>
          <w:rFonts w:eastAsia="Calibri" w:cs="Calibri"/>
        </w:rPr>
        <w:t>-</w:t>
      </w:r>
      <w:r w:rsidR="00656895" w:rsidRPr="00656895">
        <w:rPr>
          <w:rFonts w:eastAsia="Calibri" w:cs="Calibri"/>
        </w:rPr>
        <w:t>30 October 2025). A key recommendation from the National COP Assessment conducted by ITU earlier in 2025 was the establishment of the Centre for Digital Well-being and Digital Skills and Competences (CBCD). The Centre aims to become a national and international hub for training, digital protection, and inclusive access to technology, with a strong focus on children, young people, and digital inclusion. Its phased rollout includes governance and coordination, the operational launch of services to enhance skills and digital well-being, and the implementation of a monitoring and evaluation framework to measure impact and adapt to emerging challenges. Parallel work is underway on a comprehensive regulatory framework for child online protection, aligned with European standards and informed by multi-ministerial inputs and ITU guidance. Andorra stressed that the combined institutional, regulatory, and capacity-building measures will strengthen digital well-being, reduce digital divides, and reinforce children’s rights in the online environment</w:t>
      </w:r>
      <w:r w:rsidR="00227BC0" w:rsidRPr="74FDB32D">
        <w:rPr>
          <w:rFonts w:eastAsia="Calibri" w:cs="Calibri"/>
        </w:rPr>
        <w:t>.</w:t>
      </w:r>
    </w:p>
    <w:p w14:paraId="160F8801" w14:textId="2F50D025" w:rsidR="00B64AFB" w:rsidRPr="00B64AFB" w:rsidRDefault="008C2077" w:rsidP="008C2077">
      <w:pPr>
        <w:jc w:val="both"/>
        <w:rPr>
          <w:rFonts w:asciiTheme="minorHAnsi" w:hAnsiTheme="minorHAnsi" w:cstheme="minorBidi"/>
        </w:rPr>
      </w:pPr>
      <w:r w:rsidRPr="00B64AFB">
        <w:rPr>
          <w:rFonts w:asciiTheme="minorHAnsi" w:hAnsiTheme="minorHAnsi" w:cstheme="minorBidi"/>
          <w:color w:val="000000" w:themeColor="text1"/>
        </w:rPr>
        <w:t>5.5</w:t>
      </w:r>
      <w:r w:rsidRPr="00B64AFB">
        <w:rPr>
          <w:rFonts w:asciiTheme="minorHAnsi" w:hAnsiTheme="minorHAnsi" w:cstheme="minorBidi"/>
          <w:color w:val="000000" w:themeColor="text1"/>
        </w:rPr>
        <w:tab/>
      </w:r>
      <w:r w:rsidR="00B64AFB" w:rsidRPr="00DC51A5">
        <w:t xml:space="preserve">The oral </w:t>
      </w:r>
      <w:hyperlink r:id="rId34" w:history="1">
        <w:r w:rsidR="00B64AFB" w:rsidRPr="00DC51A5">
          <w:rPr>
            <w:rStyle w:val="Hyperlink"/>
          </w:rPr>
          <w:t>contribution</w:t>
        </w:r>
      </w:hyperlink>
      <w:r w:rsidR="00B64AFB" w:rsidRPr="00DC51A5">
        <w:t xml:space="preserve"> </w:t>
      </w:r>
      <w:r w:rsidR="00433204">
        <w:t xml:space="preserve">by the </w:t>
      </w:r>
      <w:r w:rsidR="00433204" w:rsidRPr="00DC51A5">
        <w:t xml:space="preserve">Russian Federation </w:t>
      </w:r>
      <w:r w:rsidR="00B64AFB" w:rsidRPr="00B64AFB">
        <w:t>— previously submitted jointly with Belarus and the Kyrgyz Republic to the 43</w:t>
      </w:r>
      <w:r w:rsidR="00B64AFB" w:rsidRPr="00EC429C">
        <w:rPr>
          <w:vertAlign w:val="superscript"/>
        </w:rPr>
        <w:t>rd</w:t>
      </w:r>
      <w:r w:rsidR="00B64AFB" w:rsidRPr="00B64AFB">
        <w:t xml:space="preserve"> meeting of the Council Working Group on WSIS and the SDGs</w:t>
      </w:r>
      <w:r w:rsidR="00433204">
        <w:t xml:space="preserve"> presents a</w:t>
      </w:r>
      <w:r w:rsidR="00B64AFB" w:rsidRPr="00B64AFB">
        <w:t xml:space="preserve"> proposal </w:t>
      </w:r>
      <w:r w:rsidR="00433204">
        <w:t>calling</w:t>
      </w:r>
      <w:r w:rsidR="00B64AFB" w:rsidRPr="00B64AFB">
        <w:t xml:space="preserve"> for expanding the scope of CWG-COP activities beyond children to also include youth, emphasizing the importance of developing resilience and promoting critical thinking in the use of emerging technologies, particularly artificial intelligence. The contribution underscores the need to prevent youth from becoming passive consumers of technology or overly reliant on AI for decision-making, and instead to foster analytical and independent problem-solving skills.</w:t>
      </w:r>
    </w:p>
    <w:p w14:paraId="35924C32" w14:textId="4223B934" w:rsidR="00227BC0" w:rsidRDefault="00227BC0" w:rsidP="00EC429C">
      <w:pPr>
        <w:pStyle w:val="Headingb"/>
        <w:rPr>
          <w:rFonts w:eastAsia="Calibri" w:cs="Calibri"/>
        </w:rPr>
      </w:pPr>
      <w:r w:rsidRPr="00E040CA">
        <w:t>Information documents by ITU Sector Members</w:t>
      </w:r>
    </w:p>
    <w:p w14:paraId="3C1320B1" w14:textId="4F70A402" w:rsidR="00227BC0" w:rsidRDefault="008C2077" w:rsidP="008C2077">
      <w:pPr>
        <w:jc w:val="both"/>
        <w:rPr>
          <w:rFonts w:eastAsia="Calibri" w:cs="Calibri"/>
        </w:rPr>
      </w:pPr>
      <w:r>
        <w:rPr>
          <w:rFonts w:eastAsia="Calibri" w:cs="Calibri"/>
          <w:color w:val="000000" w:themeColor="text1"/>
        </w:rPr>
        <w:t>5.6</w:t>
      </w:r>
      <w:r>
        <w:rPr>
          <w:rFonts w:eastAsia="Calibri" w:cs="Calibri"/>
          <w:color w:val="000000" w:themeColor="text1"/>
        </w:rPr>
        <w:tab/>
      </w:r>
      <w:r w:rsidR="00227BC0" w:rsidRPr="6A636481">
        <w:rPr>
          <w:rFonts w:eastAsia="Calibri" w:cs="Calibri"/>
        </w:rPr>
        <w:t xml:space="preserve">The </w:t>
      </w:r>
      <w:hyperlink r:id="rId35">
        <w:r w:rsidR="00227BC0" w:rsidRPr="6A636481">
          <w:rPr>
            <w:rStyle w:val="Hyperlink"/>
            <w:rFonts w:eastAsia="Calibri" w:cs="Calibri"/>
          </w:rPr>
          <w:t>information document</w:t>
        </w:r>
      </w:hyperlink>
      <w:r w:rsidR="00227BC0" w:rsidRPr="6A636481">
        <w:rPr>
          <w:rFonts w:eastAsia="Calibri" w:cs="Calibri"/>
        </w:rPr>
        <w:t xml:space="preserve"> by </w:t>
      </w:r>
      <w:r w:rsidR="00384628">
        <w:rPr>
          <w:rFonts w:eastAsia="Calibri" w:cs="Calibri"/>
        </w:rPr>
        <w:t>Kaspersky</w:t>
      </w:r>
      <w:r w:rsidR="00227BC0" w:rsidRPr="6A636481">
        <w:rPr>
          <w:rFonts w:eastAsia="Calibri" w:cs="Calibri"/>
        </w:rPr>
        <w:t xml:space="preserve"> </w:t>
      </w:r>
      <w:r w:rsidR="00CD03AD" w:rsidRPr="00CD03AD">
        <w:t xml:space="preserve">presented the company’s global initiatives to enhance children’s digital literacy, emphasizing the importance of “speaking the same language” between children and adults to bridge generational and cultural divides. Kaspersky underlined that digital literacy extends beyond technical knowledge to include critical thinking, ethical engagement, and responsible participation in the digital space. The contribution highlighted several educational tools and awareness initiatives, including the interactive game </w:t>
      </w:r>
      <w:r w:rsidR="00CD03AD" w:rsidRPr="00CD03AD">
        <w:rPr>
          <w:i/>
          <w:iCs/>
        </w:rPr>
        <w:t>Case 404</w:t>
      </w:r>
      <w:r w:rsidR="00CD03AD" w:rsidRPr="00CD03AD">
        <w:t xml:space="preserve">, which teaches cybersecurity principles through gamified investigations of cyber incidents, and the children’s book </w:t>
      </w:r>
      <w:r w:rsidR="00CD03AD" w:rsidRPr="00CD03AD">
        <w:rPr>
          <w:i/>
          <w:iCs/>
        </w:rPr>
        <w:t>Midori Kuma and a Very Special Race</w:t>
      </w:r>
      <w:r w:rsidR="00CD03AD" w:rsidRPr="00CD03AD">
        <w:t xml:space="preserve">, launched in Bahasa Melayu in collaboration with Malaysia’s National Cyber Security Agency and now available in nine languages. Additionally, Kaspersky developed </w:t>
      </w:r>
      <w:r w:rsidR="00CD03AD" w:rsidRPr="00CD03AD">
        <w:rPr>
          <w:i/>
          <w:iCs/>
        </w:rPr>
        <w:t>Digital Schoolbag: A Parent’s Guide for the School Year</w:t>
      </w:r>
      <w:r w:rsidR="00CD03AD" w:rsidRPr="00CD03AD">
        <w:t xml:space="preserve">, providing parents with practical advice on digital hygiene and online safety for children. These initiatives aim to foster trust and open communication between children, parents, and educators, empowering young users to safely explore digital environments. Kaspersky emphasized the need for collective action among </w:t>
      </w:r>
      <w:r w:rsidR="00CD03AD" w:rsidRPr="00CD03AD">
        <w:lastRenderedPageBreak/>
        <w:t>families, educators, policymakers, industry, and civil society to strengthen children’s resilience and digital skills globally</w:t>
      </w:r>
      <w:r w:rsidR="00227BC0" w:rsidRPr="6A636481">
        <w:rPr>
          <w:rFonts w:eastAsia="Calibri" w:cs="Calibri"/>
        </w:rPr>
        <w:t>.</w:t>
      </w:r>
    </w:p>
    <w:p w14:paraId="4989AFB2" w14:textId="14935A57" w:rsidR="00550431" w:rsidRPr="006741D3" w:rsidRDefault="00227BC0" w:rsidP="00EC429C">
      <w:pPr>
        <w:pStyle w:val="Headingb"/>
      </w:pPr>
      <w:r w:rsidRPr="74FDB32D">
        <w:t>Information documents</w:t>
      </w:r>
      <w:r w:rsidRPr="62B5DA45">
        <w:t xml:space="preserve"> by ITU </w:t>
      </w:r>
      <w:r>
        <w:t>P</w:t>
      </w:r>
      <w:r w:rsidRPr="62B5DA45">
        <w:t xml:space="preserve">artners and </w:t>
      </w:r>
      <w:r>
        <w:t>o</w:t>
      </w:r>
      <w:r w:rsidRPr="62B5DA45">
        <w:t xml:space="preserve">ther </w:t>
      </w:r>
      <w:r>
        <w:t>R</w:t>
      </w:r>
      <w:r w:rsidRPr="62B5DA45">
        <w:t xml:space="preserve">elevant </w:t>
      </w:r>
      <w:r>
        <w:t>S</w:t>
      </w:r>
      <w:r w:rsidRPr="62B5DA45">
        <w:t>takeholders</w:t>
      </w:r>
    </w:p>
    <w:p w14:paraId="0C22FA3C" w14:textId="71DD3CC1" w:rsidR="00B926EA" w:rsidRPr="00B926EA" w:rsidRDefault="008C2077" w:rsidP="008C2077">
      <w:pPr>
        <w:jc w:val="both"/>
        <w:rPr>
          <w:rFonts w:asciiTheme="minorHAnsi" w:hAnsiTheme="minorHAnsi" w:cstheme="minorBidi"/>
        </w:rPr>
      </w:pPr>
      <w:r w:rsidRPr="00B926EA">
        <w:rPr>
          <w:rFonts w:asciiTheme="minorHAnsi" w:hAnsiTheme="minorHAnsi" w:cstheme="minorBidi"/>
          <w:color w:val="000000" w:themeColor="text1"/>
        </w:rPr>
        <w:t>5.7</w:t>
      </w:r>
      <w:r w:rsidRPr="00B926EA">
        <w:rPr>
          <w:rFonts w:asciiTheme="minorHAnsi" w:hAnsiTheme="minorHAnsi" w:cstheme="minorBidi"/>
          <w:color w:val="000000" w:themeColor="text1"/>
        </w:rPr>
        <w:tab/>
      </w:r>
      <w:r w:rsidR="00227BC0" w:rsidRPr="6A636481">
        <w:rPr>
          <w:rFonts w:eastAsia="Calibri" w:cs="Calibri"/>
        </w:rPr>
        <w:t xml:space="preserve">The </w:t>
      </w:r>
      <w:hyperlink r:id="rId36">
        <w:r w:rsidR="00227BC0" w:rsidRPr="6A636481">
          <w:rPr>
            <w:rStyle w:val="Hyperlink"/>
            <w:rFonts w:eastAsia="Calibri" w:cs="Calibri"/>
          </w:rPr>
          <w:t>information document</w:t>
        </w:r>
      </w:hyperlink>
      <w:r w:rsidR="00227BC0" w:rsidRPr="6A636481">
        <w:rPr>
          <w:rFonts w:eastAsia="Calibri" w:cs="Calibri"/>
        </w:rPr>
        <w:t xml:space="preserve"> by </w:t>
      </w:r>
      <w:r w:rsidR="001B243D" w:rsidRPr="00962DDA">
        <w:t xml:space="preserve">SWGfL </w:t>
      </w:r>
      <w:r w:rsidR="00B926EA" w:rsidRPr="00B926EA">
        <w:t>The information document by SWGfL presented the Family Smart Start initiative, a pilot project designed to empower parents in supporting their children’s safe and responsible use of smartphones. The project focuses on the key transition moment when a child first receives a device, whether new or handed down, turning it into an opportunity for guided parental engagement. Through a self-assembly “Smart Start Box,” parents are guided step-by-step to securely reset old devices, configure safety features such as Apple Family Sharing and Google Family Link, apply content filters and screen time limits, and encourage open family dialogue about digital expectations. The initiative also promotes recycling and responsible device use. Early pilot results indicate strong parental appreciation for its clarity and practicality, providing reassurance and confidence at the start of a child’s digital journey. SWGfL noted that, pending successful evaluation, Family Smart Start could be scaled through partnerships with schools, local authorities, and industry actors, aligning with broader international efforts to enhance parental empowerment and promote safe digital practices for children.</w:t>
      </w:r>
    </w:p>
    <w:p w14:paraId="7ABD6B60" w14:textId="5BD412AC" w:rsidR="00227BC0" w:rsidRDefault="008C2077" w:rsidP="008C2077">
      <w:pPr>
        <w:jc w:val="both"/>
        <w:rPr>
          <w:rFonts w:eastAsia="Calibri" w:cs="Calibri"/>
        </w:rPr>
      </w:pPr>
      <w:r>
        <w:rPr>
          <w:rFonts w:eastAsia="Calibri" w:cs="Calibri"/>
          <w:color w:val="000000" w:themeColor="text1"/>
        </w:rPr>
        <w:t>5.8</w:t>
      </w:r>
      <w:r>
        <w:rPr>
          <w:rFonts w:eastAsia="Calibri" w:cs="Calibri"/>
          <w:color w:val="000000" w:themeColor="text1"/>
        </w:rPr>
        <w:tab/>
      </w:r>
      <w:r w:rsidR="00227BC0" w:rsidRPr="74FDB32D">
        <w:rPr>
          <w:rFonts w:eastAsia="Calibri" w:cs="Calibri"/>
        </w:rPr>
        <w:t xml:space="preserve">The </w:t>
      </w:r>
      <w:hyperlink r:id="rId37">
        <w:r w:rsidR="00227BC0" w:rsidRPr="74FDB32D">
          <w:rPr>
            <w:rStyle w:val="Hyperlink"/>
            <w:rFonts w:eastAsia="Calibri" w:cs="Calibri"/>
          </w:rPr>
          <w:t>information document</w:t>
        </w:r>
      </w:hyperlink>
      <w:r w:rsidR="00227BC0" w:rsidRPr="74FDB32D">
        <w:rPr>
          <w:rFonts w:eastAsia="Calibri" w:cs="Calibri"/>
        </w:rPr>
        <w:t xml:space="preserve"> by </w:t>
      </w:r>
      <w:r w:rsidR="00D33CCF">
        <w:rPr>
          <w:rFonts w:eastAsia="Calibri" w:cs="Calibri"/>
        </w:rPr>
        <w:t>Roblox</w:t>
      </w:r>
      <w:r w:rsidR="008F2930">
        <w:rPr>
          <w:rFonts w:eastAsia="Calibri" w:cs="Calibri"/>
        </w:rPr>
        <w:t xml:space="preserve"> </w:t>
      </w:r>
      <w:r w:rsidR="008F2930" w:rsidRPr="008F2930">
        <w:rPr>
          <w:rFonts w:eastAsia="Calibri" w:cs="Calibri"/>
        </w:rPr>
        <w:t xml:space="preserve">provided an overview of the company’s latest safety developments and ongoing initiatives under </w:t>
      </w:r>
      <w:r w:rsidR="008F2930" w:rsidRPr="008F2930">
        <w:rPr>
          <w:rFonts w:eastAsia="Calibri" w:cs="Calibri"/>
          <w:i/>
          <w:iCs/>
        </w:rPr>
        <w:t>Safety 2025</w:t>
      </w:r>
      <w:r w:rsidR="008F2930" w:rsidRPr="008F2930">
        <w:rPr>
          <w:rFonts w:eastAsia="Calibri" w:cs="Calibri"/>
        </w:rPr>
        <w:t>. The presentation</w:t>
      </w:r>
      <w:r w:rsidR="008F2930">
        <w:rPr>
          <w:rFonts w:eastAsia="Calibri" w:cs="Calibri"/>
        </w:rPr>
        <w:t xml:space="preserve"> </w:t>
      </w:r>
      <w:r w:rsidR="008F2930" w:rsidRPr="008F2930">
        <w:rPr>
          <w:rFonts w:eastAsia="Calibri" w:cs="Calibri"/>
        </w:rPr>
        <w:t xml:space="preserve">outlined over one hundred safety updates implemented since 2024, reflecting Roblox’s continuous efforts to strengthen user protection and promote digital civility across its global platform. Key innovations include enhanced parental control tools, integration of IARC content ratings, and the introduction of </w:t>
      </w:r>
      <w:r w:rsidR="008F2930" w:rsidRPr="008F2930">
        <w:rPr>
          <w:rFonts w:eastAsia="Calibri" w:cs="Calibri"/>
          <w:i/>
          <w:iCs/>
        </w:rPr>
        <w:t>Teen Wellbeing Controls</w:t>
      </w:r>
      <w:r w:rsidR="008F2930" w:rsidRPr="008F2930">
        <w:rPr>
          <w:rFonts w:eastAsia="Calibri" w:cs="Calibri"/>
        </w:rPr>
        <w:t xml:space="preserve"> to provide age-appropriate user experiences. Roblox also presented its </w:t>
      </w:r>
      <w:r w:rsidR="008F2930" w:rsidRPr="008F2930">
        <w:rPr>
          <w:rFonts w:eastAsia="Calibri" w:cs="Calibri"/>
          <w:i/>
          <w:iCs/>
        </w:rPr>
        <w:t>Trusted Connections</w:t>
      </w:r>
      <w:r w:rsidR="008F2930" w:rsidRPr="008F2930">
        <w:rPr>
          <w:rFonts w:eastAsia="Calibri" w:cs="Calibri"/>
        </w:rPr>
        <w:t xml:space="preserve"> and </w:t>
      </w:r>
      <w:r w:rsidR="008F2930" w:rsidRPr="008F2930">
        <w:rPr>
          <w:rFonts w:eastAsia="Calibri" w:cs="Calibri"/>
          <w:i/>
          <w:iCs/>
        </w:rPr>
        <w:t>Family Account Experience (FAE)</w:t>
      </w:r>
      <w:r w:rsidR="008F2930" w:rsidRPr="008F2930">
        <w:rPr>
          <w:rFonts w:eastAsia="Calibri" w:cs="Calibri"/>
        </w:rPr>
        <w:t xml:space="preserve"> features, which allow </w:t>
      </w:r>
      <w:r w:rsidR="008F2930" w:rsidRPr="008C2077">
        <w:t>parents</w:t>
      </w:r>
      <w:r w:rsidR="008F2930" w:rsidRPr="008F2930">
        <w:rPr>
          <w:rFonts w:eastAsia="Calibri" w:cs="Calibri"/>
        </w:rPr>
        <w:t xml:space="preserve"> to monitor interactions and customize privacy settings to support safe engagement for young users. Technical developments such as </w:t>
      </w:r>
      <w:r w:rsidR="008F2930" w:rsidRPr="008F2930">
        <w:rPr>
          <w:rFonts w:eastAsia="Calibri" w:cs="Calibri"/>
          <w:i/>
          <w:iCs/>
        </w:rPr>
        <w:t>Roblox Sentinel</w:t>
      </w:r>
      <w:r w:rsidR="008F2930" w:rsidRPr="008F2930">
        <w:rPr>
          <w:rFonts w:eastAsia="Calibri" w:cs="Calibri"/>
        </w:rPr>
        <w:t xml:space="preserve">—a 3D foundational model—and the </w:t>
      </w:r>
      <w:r w:rsidR="008F2930" w:rsidRPr="008F2930">
        <w:rPr>
          <w:rFonts w:eastAsia="Calibri" w:cs="Calibri"/>
          <w:i/>
          <w:iCs/>
        </w:rPr>
        <w:t>Voice Safety Classifier</w:t>
      </w:r>
      <w:r w:rsidR="008F2930" w:rsidRPr="008F2930">
        <w:rPr>
          <w:rFonts w:eastAsia="Calibri" w:cs="Calibri"/>
        </w:rPr>
        <w:t xml:space="preserve"> were introduced as part of the company’s proactive measures to identify and mitigate emerging online risks. Additionally, Roblox highlighted </w:t>
      </w:r>
      <w:r w:rsidR="008F2930" w:rsidRPr="008F2930">
        <w:rPr>
          <w:rFonts w:eastAsia="Calibri" w:cs="Calibri"/>
          <w:i/>
          <w:iCs/>
        </w:rPr>
        <w:t>ROOST</w:t>
      </w:r>
      <w:r w:rsidR="008F2930" w:rsidRPr="008F2930">
        <w:rPr>
          <w:rFonts w:eastAsia="Calibri" w:cs="Calibri"/>
        </w:rPr>
        <w:t xml:space="preserve"> (Robust Open Online Safety Tools) as a collaborative framework to advance transparency, share best practices, and promote safer online ecosystems in partnership with regulators and child protection organizations.</w:t>
      </w:r>
      <w:r w:rsidR="00227BC0" w:rsidRPr="74FDB32D">
        <w:rPr>
          <w:rFonts w:asciiTheme="minorHAnsi" w:hAnsiTheme="minorHAnsi" w:cstheme="minorBidi"/>
        </w:rPr>
        <w:t xml:space="preserve"> </w:t>
      </w:r>
    </w:p>
    <w:p w14:paraId="744136B9" w14:textId="4017603E" w:rsidR="006741D3" w:rsidRPr="00996D00" w:rsidRDefault="008C2077" w:rsidP="008C2077">
      <w:pPr>
        <w:jc w:val="both"/>
        <w:rPr>
          <w:rFonts w:eastAsia="Calibri" w:cs="Calibri"/>
        </w:rPr>
      </w:pPr>
      <w:r w:rsidRPr="00996D00">
        <w:rPr>
          <w:rFonts w:eastAsia="Calibri" w:cs="Calibri"/>
          <w:color w:val="000000" w:themeColor="text1"/>
        </w:rPr>
        <w:t>5.9</w:t>
      </w:r>
      <w:r w:rsidRPr="00996D00">
        <w:rPr>
          <w:rFonts w:eastAsia="Calibri" w:cs="Calibri"/>
          <w:color w:val="000000" w:themeColor="text1"/>
        </w:rPr>
        <w:tab/>
      </w:r>
      <w:r w:rsidR="00227BC0" w:rsidRPr="74FDB32D">
        <w:rPr>
          <w:rFonts w:eastAsia="Calibri" w:cs="Calibri"/>
        </w:rPr>
        <w:t xml:space="preserve">The </w:t>
      </w:r>
      <w:hyperlink r:id="rId38">
        <w:r w:rsidR="00227BC0" w:rsidRPr="74FDB32D">
          <w:rPr>
            <w:rStyle w:val="Hyperlink"/>
            <w:rFonts w:eastAsia="Calibri" w:cs="Calibri"/>
          </w:rPr>
          <w:t>information document</w:t>
        </w:r>
      </w:hyperlink>
      <w:r w:rsidR="00227BC0" w:rsidRPr="74FDB32D">
        <w:rPr>
          <w:rFonts w:eastAsia="Calibri" w:cs="Calibri"/>
        </w:rPr>
        <w:t xml:space="preserve"> b</w:t>
      </w:r>
      <w:r w:rsidR="000C6375" w:rsidRPr="000C6375">
        <w:rPr>
          <w:rFonts w:eastAsia="Calibri" w:cs="Calibri"/>
        </w:rPr>
        <w:t>y the World Health Organization (WHO), presented in collaboration with the University of New Hampshire (UNH), introduced GO-SAFER – the Global Online Safety Alliance for Educational Resources, a new initiative aimed at improving global access to quality educational materials on online safety. The initiative seeks to make evidence-based resources readily available to educators, policymakers, parents, and child-serving organizations. Building upon WHO and ITU’s leadership in child protection and supported by Safe Online, GO-SAFER applies proven prevention education principles—used effectively to address bullying, sexual violence, and other health-related behaviours—to the prevention of online child sexual exploitation and abuse (OCSEA). The alliance’s objectives include creating a centralized repository of high-quality, evidence-informed educational materials, curating and sharing best practices, and tracking evaluation research on online safety programmes. Success will be measured by improved dissemination and adaptation of resources, enhanced quality and consistency of messaging, and expansion of programmes to underserved regions. The contribution emphasized GO-SAFER’s role in fostering global collaboration and integrating online safety within broader child protection and well-being agendas</w:t>
      </w:r>
      <w:r w:rsidR="00227BC0" w:rsidRPr="74FDB32D">
        <w:rPr>
          <w:rFonts w:eastAsia="Calibri" w:cs="Calibri"/>
        </w:rPr>
        <w:t>.</w:t>
      </w:r>
    </w:p>
    <w:p w14:paraId="3452134D" w14:textId="7A897E75" w:rsidR="00227BC0" w:rsidRDefault="00227BC0" w:rsidP="00CC3316">
      <w:pPr>
        <w:pStyle w:val="Heading1"/>
      </w:pPr>
      <w:r w:rsidRPr="6A636481">
        <w:lastRenderedPageBreak/>
        <w:t>6</w:t>
      </w:r>
      <w:r>
        <w:tab/>
      </w:r>
      <w:r w:rsidRPr="6A636481">
        <w:t>Any other business</w:t>
      </w:r>
    </w:p>
    <w:p w14:paraId="6CB3C626" w14:textId="23FC9CE4" w:rsidR="00710C69" w:rsidRDefault="00954FC7" w:rsidP="008C2077">
      <w:pPr>
        <w:jc w:val="both"/>
      </w:pPr>
      <w:r>
        <w:rPr>
          <w:rFonts w:eastAsia="Calibri" w:cs="Calibri"/>
        </w:rPr>
        <w:t>6</w:t>
      </w:r>
      <w:r w:rsidR="00227BC0" w:rsidRPr="6A636481">
        <w:rPr>
          <w:rFonts w:eastAsia="Calibri" w:cs="Calibri"/>
        </w:rPr>
        <w:t>.1</w:t>
      </w:r>
      <w:r w:rsidR="00227BC0">
        <w:rPr>
          <w:rFonts w:eastAsia="Calibri" w:cs="Calibri"/>
        </w:rPr>
        <w:tab/>
      </w:r>
      <w:r w:rsidR="001E3D26">
        <w:rPr>
          <w:rFonts w:eastAsia="Calibri" w:cs="Calibri"/>
        </w:rPr>
        <w:t xml:space="preserve">The </w:t>
      </w:r>
      <w:hyperlink r:id="rId39" w:history="1">
        <w:r w:rsidR="001E3D26" w:rsidRPr="00D54B16">
          <w:rPr>
            <w:rStyle w:val="Hyperlink"/>
          </w:rPr>
          <w:t>Liaison statement</w:t>
        </w:r>
      </w:hyperlink>
      <w:r w:rsidR="001E3D26" w:rsidRPr="00D76491">
        <w:t xml:space="preserve"> from ITU-T SG17 </w:t>
      </w:r>
      <w:r w:rsidR="00710C69" w:rsidRPr="00710C69">
        <w:t xml:space="preserve">provided an update on the progress of the Correspondence Group on Child Online Protection (CG-COP) and transmitted the group’s </w:t>
      </w:r>
      <w:r w:rsidR="00710C69" w:rsidRPr="00710C69">
        <w:rPr>
          <w:i/>
          <w:iCs/>
        </w:rPr>
        <w:t>Gap Analysis on Standards that Support Child Online Protection</w:t>
      </w:r>
      <w:r w:rsidR="00710C69" w:rsidRPr="00710C69">
        <w:t xml:space="preserve"> for the information of CWG-COP members. The report outlined the findings of an in-depth review of international standards relevant to child online protection, identifying key gaps and areas requiring further technical development. Two priority areas were highlighted</w:t>
      </w:r>
      <w:r w:rsidR="00710C69" w:rsidRPr="00A671CF">
        <w:t>: age assurance and automated content moderation. The analysis noted the absence of comp</w:t>
      </w:r>
      <w:r w:rsidR="00710C69" w:rsidRPr="00710C69">
        <w:t>rehensive global standards for age assurance systems and recommended that SG17, in coordination with ISO, ETSI, and IEEE, strengthen collaboration to ensure global applicability, avoid duplication, and integrate this work into its ongoing study programme under Question 10/17. On automated content moderation, the report emphasized the need for unified technical standards—particularly for perceptual hash matching technologies—to improve detection and removal of harmful and illegal content, while respecting privacy and encryption. It further suggested exploring solutions for content moderation within encrypted user-to-user services and potential calls for contributions on this topic. SG17 invited CWG-COP members to consider active participation in the Correspondence Group’s work through its open mailing list and to contribute to shaping future standardization priorities.</w:t>
      </w:r>
      <w:r w:rsidR="008A2DEA">
        <w:t>’</w:t>
      </w:r>
    </w:p>
    <w:p w14:paraId="675F7AA2" w14:textId="6A63504D" w:rsidR="00546319" w:rsidRPr="00C0116F" w:rsidRDefault="00954FC7" w:rsidP="008C2077">
      <w:pPr>
        <w:jc w:val="both"/>
        <w:rPr>
          <w:rFonts w:eastAsia="Calibri" w:cs="Calibri"/>
        </w:rPr>
      </w:pPr>
      <w:r>
        <w:rPr>
          <w:rFonts w:asciiTheme="minorHAnsi" w:hAnsiTheme="minorHAnsi" w:cstheme="minorBidi"/>
        </w:rPr>
        <w:t>6</w:t>
      </w:r>
      <w:r w:rsidR="00C0116F">
        <w:rPr>
          <w:rFonts w:asciiTheme="minorHAnsi" w:hAnsiTheme="minorHAnsi" w:cstheme="minorBidi"/>
        </w:rPr>
        <w:t>.2</w:t>
      </w:r>
      <w:r w:rsidR="00C0116F">
        <w:rPr>
          <w:rFonts w:asciiTheme="minorHAnsi" w:hAnsiTheme="minorHAnsi" w:cstheme="minorBidi"/>
        </w:rPr>
        <w:tab/>
      </w:r>
      <w:r w:rsidR="00546319" w:rsidRPr="6A636481">
        <w:rPr>
          <w:rFonts w:asciiTheme="minorHAnsi" w:hAnsiTheme="minorHAnsi" w:cstheme="minorBidi"/>
        </w:rPr>
        <w:t xml:space="preserve">The </w:t>
      </w:r>
      <w:hyperlink r:id="rId40">
        <w:r w:rsidR="00546319">
          <w:rPr>
            <w:rStyle w:val="Hyperlink"/>
            <w:rFonts w:asciiTheme="minorHAnsi" w:hAnsiTheme="minorHAnsi" w:cstheme="minorBidi"/>
          </w:rPr>
          <w:t>contribution</w:t>
        </w:r>
      </w:hyperlink>
      <w:r w:rsidR="00546319" w:rsidRPr="6A636481">
        <w:rPr>
          <w:rFonts w:asciiTheme="minorHAnsi" w:hAnsiTheme="minorHAnsi" w:cstheme="minorBidi"/>
        </w:rPr>
        <w:t xml:space="preserve"> </w:t>
      </w:r>
      <w:r w:rsidR="00546319" w:rsidRPr="009D3000">
        <w:rPr>
          <w:rFonts w:eastAsia="Calibri" w:cs="Calibri"/>
        </w:rPr>
        <w:t xml:space="preserve">by </w:t>
      </w:r>
      <w:r w:rsidR="00546319" w:rsidRPr="00205628">
        <w:rPr>
          <w:rFonts w:eastAsia="Calibri" w:cs="Calibri"/>
        </w:rPr>
        <w:t>SouthWest Grid for Learning (</w:t>
      </w:r>
      <w:r w:rsidR="00546319" w:rsidRPr="6A636481">
        <w:rPr>
          <w:rFonts w:eastAsia="Calibri" w:cs="Calibri"/>
        </w:rPr>
        <w:t>SWGfL)</w:t>
      </w:r>
      <w:r w:rsidR="00546319" w:rsidRPr="00736446">
        <w:rPr>
          <w:rFonts w:eastAsia="Calibri" w:cs="Calibri"/>
        </w:rPr>
        <w:t xml:space="preserve"> provided an update on progress toward the development of a global interoperability standard for parental controls, known as the </w:t>
      </w:r>
      <w:r w:rsidR="00546319" w:rsidRPr="00736446">
        <w:rPr>
          <w:rFonts w:eastAsia="Calibri" w:cs="Calibri"/>
          <w:i/>
          <w:iCs/>
        </w:rPr>
        <w:t>Parental Control Enforcement Protocol (PARCEP)</w:t>
      </w:r>
      <w:r w:rsidR="00546319" w:rsidRPr="00736446">
        <w:rPr>
          <w:rFonts w:eastAsia="Calibri" w:cs="Calibri"/>
        </w:rPr>
        <w:t xml:space="preserve">. Building on </w:t>
      </w:r>
      <w:r w:rsidR="00546319" w:rsidRPr="008C2077">
        <w:t>discussions</w:t>
      </w:r>
      <w:r w:rsidR="00546319" w:rsidRPr="00736446">
        <w:rPr>
          <w:rFonts w:eastAsia="Calibri" w:cs="Calibri"/>
        </w:rPr>
        <w:t xml:space="preserve"> held at the 2024 CWG-COP meeting and follow-up work under ITU-T Study Group 17’s Correspondence Group on </w:t>
      </w:r>
      <w:r w:rsidR="00CC3316" w:rsidRPr="00736446">
        <w:rPr>
          <w:rFonts w:eastAsia="Calibri" w:cs="Calibri"/>
        </w:rPr>
        <w:t xml:space="preserve">child online protection </w:t>
      </w:r>
      <w:r w:rsidR="00546319" w:rsidRPr="00736446">
        <w:rPr>
          <w:rFonts w:eastAsia="Calibri" w:cs="Calibri"/>
        </w:rPr>
        <w:t>(CG-COP), SWGfL outlined the rationale, technical design, and proposed next steps for the initiative. The document highlighted that while encryption enhances privacy, it also limits the functionality of traditional parental control tools and increases fragmentation across platforms, leaving parents to manage multiple, inconsistent systems. PARCEP offers a standards-based solution that enables coordination between different parental control tools and platforms without weakening encryption or compromising privacy.</w:t>
      </w:r>
      <w:r w:rsidR="00C0116F">
        <w:rPr>
          <w:rFonts w:eastAsia="Calibri" w:cs="Calibri"/>
        </w:rPr>
        <w:t xml:space="preserve"> </w:t>
      </w:r>
      <w:r w:rsidR="00546319" w:rsidRPr="00736446">
        <w:rPr>
          <w:rFonts w:eastAsia="Calibri" w:cs="Calibri"/>
        </w:rPr>
        <w:t>The proposal envisions a shared data model for parental settings, standardised policy synchronisation across devices, role delegation for multi-household families, and built-in safeguards for consent, transparency, and data minimisation. This interoperability would allow parents to apply consistent rules—such as screen-time limits or content restrictions—across all devices and services used by their children. For vendors, the protocol would reduce development burden, enhance user trust, and align with evolving regulatory and safety expectations.</w:t>
      </w:r>
      <w:r w:rsidR="00C0116F">
        <w:rPr>
          <w:rFonts w:eastAsia="Calibri" w:cs="Calibri"/>
        </w:rPr>
        <w:t xml:space="preserve"> </w:t>
      </w:r>
      <w:r w:rsidR="00546319" w:rsidRPr="00736446">
        <w:rPr>
          <w:rFonts w:eastAsia="Calibri" w:cs="Calibri"/>
        </w:rPr>
        <w:t>SWGfL informed the meeting that PARCEP will be presented at the upcoming IAB/W3C Workshop on Age-Based Content Restrictions (October 2025), with plans to engage the IETF standards community in late 2025 and 2026. The contribution invited CWG-COP and SG17’s CG-COP to continue supporting the initiative by maintaining an ITU COP requirements note on interoperable parental controls, liaising with IETF groups, and exploring a conformance framework to ensure vendor-neutral interoperability. SWGfL underlined that PARCEP represents a constructive step forward in reconciling encryption, privacy, and child safety by empowering parents to manage technology confidently across multi-vendor ecosystems</w:t>
      </w:r>
      <w:r w:rsidR="00546319" w:rsidRPr="009D3000">
        <w:rPr>
          <w:rFonts w:eastAsia="Calibri" w:cs="Calibri"/>
        </w:rPr>
        <w:t xml:space="preserve">. </w:t>
      </w:r>
    </w:p>
    <w:p w14:paraId="282908A2" w14:textId="3EB06B62" w:rsidR="006741D3" w:rsidRDefault="00954FC7" w:rsidP="008C2077">
      <w:pPr>
        <w:jc w:val="both"/>
      </w:pPr>
      <w:r>
        <w:rPr>
          <w:rFonts w:eastAsia="Calibri" w:cs="Calibri"/>
        </w:rPr>
        <w:t>6</w:t>
      </w:r>
      <w:r w:rsidR="008A2DEA" w:rsidRPr="6A636481">
        <w:rPr>
          <w:rFonts w:eastAsia="Calibri" w:cs="Calibri"/>
        </w:rPr>
        <w:t>.</w:t>
      </w:r>
      <w:r w:rsidR="00C0116F">
        <w:rPr>
          <w:rFonts w:eastAsia="Calibri" w:cs="Calibri"/>
        </w:rPr>
        <w:t>3</w:t>
      </w:r>
      <w:r w:rsidR="008A2DEA">
        <w:rPr>
          <w:rFonts w:eastAsia="Calibri" w:cs="Calibri"/>
        </w:rPr>
        <w:tab/>
        <w:t xml:space="preserve">The </w:t>
      </w:r>
      <w:hyperlink r:id="rId41" w:history="1">
        <w:r w:rsidR="008A2DEA" w:rsidRPr="00D54B16">
          <w:rPr>
            <w:rStyle w:val="Hyperlink"/>
          </w:rPr>
          <w:t>Liaison statement</w:t>
        </w:r>
      </w:hyperlink>
      <w:r w:rsidR="008A2DEA" w:rsidRPr="00D76491">
        <w:t xml:space="preserve"> </w:t>
      </w:r>
      <w:r w:rsidR="00125DEE">
        <w:t xml:space="preserve">by </w:t>
      </w:r>
      <w:r w:rsidR="00125DEE" w:rsidRPr="00125DEE">
        <w:t>CWG-COP</w:t>
      </w:r>
      <w:r w:rsidR="00FD2079">
        <w:t xml:space="preserve"> </w:t>
      </w:r>
      <w:r w:rsidR="00125DEE" w:rsidRPr="00125DEE">
        <w:t>to ITU-D Study Group 2, Question 3/2 conveyed the outcomes of the 21</w:t>
      </w:r>
      <w:r w:rsidR="00125DEE" w:rsidRPr="00CC3316">
        <w:rPr>
          <w:vertAlign w:val="superscript"/>
        </w:rPr>
        <w:t>st</w:t>
      </w:r>
      <w:r w:rsidR="00125DEE" w:rsidRPr="00125DEE">
        <w:t xml:space="preserve"> and 22</w:t>
      </w:r>
      <w:r w:rsidR="00125DEE" w:rsidRPr="00CC3316">
        <w:rPr>
          <w:vertAlign w:val="superscript"/>
        </w:rPr>
        <w:t>nd</w:t>
      </w:r>
      <w:r w:rsidR="00125DEE" w:rsidRPr="00125DEE">
        <w:t xml:space="preserve"> meetings of the Group and reaffirmed CWG-COP’s commitment to strengthening collaboration between the ITU’s development and standardization sectors </w:t>
      </w:r>
      <w:r w:rsidR="00125DEE" w:rsidRPr="00125DEE">
        <w:lastRenderedPageBreak/>
        <w:t>on child online protection. The statement summarized key decisions and initiatives from previous sessions, including the integration of youth perspectives in ITU’s COP work, the sharing of children’s feedback on helplines with parent organizations and the Global Cybersecurity Index (GCI) expert group, and the continuation of ICT industry dialogues in an intersectoral format under BDT leadership. It also highlighted the decision to maintain a public record of all COP meeting contributions and resources on the ITU COP website to enhance transparency and accessibility. The document further reported on the endorsement of the ITU Industry Connect: Quarterly Intersectoral Discussions on Child Online Protection initiative, which promotes multi-stakeholder engagement, including industry, youth, and persons with disabilities, in COP-related discussions. Finally, the statement recalled that the gap analysis on standards prepared by the ITU-T Correspondence Group on Child Online Protection would be reviewed by SG17 and presented to the CWG-COP’s next meeting. The Liaison reaffirmed CWG-COP’s intent to maintain close coordination with ITU-D Study Group 2 and to continue aligning technical and policy efforts to advance global child online protection.</w:t>
      </w:r>
    </w:p>
    <w:p w14:paraId="1CA314C7" w14:textId="52F21400" w:rsidR="00014610" w:rsidRPr="006741D3" w:rsidRDefault="00954FC7" w:rsidP="008C2077">
      <w:pPr>
        <w:jc w:val="both"/>
      </w:pPr>
      <w:r>
        <w:t>6</w:t>
      </w:r>
      <w:r w:rsidR="00014610" w:rsidRPr="00E3047F">
        <w:t>.</w:t>
      </w:r>
      <w:r w:rsidR="006174DF" w:rsidRPr="00E3047F">
        <w:t>4</w:t>
      </w:r>
      <w:r w:rsidR="00014610" w:rsidRPr="00E3047F">
        <w:tab/>
      </w:r>
      <w:r w:rsidR="00014610" w:rsidRPr="00DC51A5">
        <w:t>UNICEF delivered an oral intervention</w:t>
      </w:r>
      <w:r w:rsidR="00BE10CA" w:rsidRPr="00E3047F">
        <w:t xml:space="preserve"> providing updates on its global initiatives to advance children’s rights in the digital environment. The presentation highlighted the release of two new business and human rights tools launched in June 2025: the </w:t>
      </w:r>
      <w:r w:rsidR="00BE10CA" w:rsidRPr="00E3047F">
        <w:rPr>
          <w:i/>
          <w:iCs/>
        </w:rPr>
        <w:t>Digital Child Rights Impact Assessment (D-CRIA) Toolbox</w:t>
      </w:r>
      <w:r w:rsidR="00BE10CA" w:rsidRPr="00E3047F">
        <w:t xml:space="preserve"> and guidance on </w:t>
      </w:r>
      <w:r w:rsidR="00BE10CA" w:rsidRPr="00E3047F">
        <w:rPr>
          <w:i/>
          <w:iCs/>
        </w:rPr>
        <w:t>Corporate Transparency and Disclosure on Child Rights Impacts Online</w:t>
      </w:r>
      <w:r w:rsidR="00BE10CA" w:rsidRPr="00E3047F">
        <w:t xml:space="preserve">. These resources aim to strengthen corporate accountability and due diligence in relation to children’s online experiences and are available through UNICEF’s new “Child Rights and Responsible Technology” homepage. UNICEF also outlined ongoing work under its </w:t>
      </w:r>
      <w:r w:rsidR="00BE10CA" w:rsidRPr="00E3047F">
        <w:rPr>
          <w:i/>
          <w:iCs/>
        </w:rPr>
        <w:t>Child Protection Programme</w:t>
      </w:r>
      <w:r w:rsidR="00BE10CA" w:rsidRPr="00E3047F">
        <w:t xml:space="preserve">, developed in collaboration with the Global Cybersecurity Forum, to expand educational content for parents through UNICEF’s global Parenting Hub and to build the capacity of child helplines in 30 countries, in partnership with Child Helpline International. In collaboration with the University of Oxford, UNICEF is also synthesizing global evidence on parenting education and integrating online sexual violence prevention into hybrid parenting programmes. The meeting was further informed of new UNICEF research, </w:t>
      </w:r>
      <w:r w:rsidR="00BE10CA" w:rsidRPr="00E3047F">
        <w:rPr>
          <w:i/>
          <w:iCs/>
        </w:rPr>
        <w:t>Childhood in a Digital World</w:t>
      </w:r>
      <w:r w:rsidR="00BE10CA" w:rsidRPr="00E3047F">
        <w:t xml:space="preserve">, which examines global data on children’s digital access, skills, and mental health, providing evidence-based insights into the effects of screen time and the digital divide. Finally, UNICEF announced that its </w:t>
      </w:r>
      <w:r w:rsidR="00BE10CA" w:rsidRPr="00E3047F">
        <w:rPr>
          <w:i/>
          <w:iCs/>
        </w:rPr>
        <w:t>Policy Guidance on Children and AI</w:t>
      </w:r>
      <w:r w:rsidR="00BE10CA" w:rsidRPr="00E3047F">
        <w:t xml:space="preserve"> is being updated to reflect emerging developments and would be shared with CWG-COP at a future meeting.</w:t>
      </w:r>
    </w:p>
    <w:p w14:paraId="4455957E" w14:textId="1D7040EF" w:rsidR="00A95820" w:rsidRPr="002C38EA" w:rsidRDefault="00954FC7" w:rsidP="00CC3316">
      <w:pPr>
        <w:pStyle w:val="Heading1"/>
      </w:pPr>
      <w:r w:rsidRPr="002C38EA">
        <w:t>7</w:t>
      </w:r>
      <w:r w:rsidR="00A95820" w:rsidRPr="002C38EA">
        <w:tab/>
        <w:t>Discussion</w:t>
      </w:r>
    </w:p>
    <w:p w14:paraId="47E85491" w14:textId="1257646A" w:rsidR="00190630" w:rsidRPr="00190630" w:rsidRDefault="00190630" w:rsidP="008C2077">
      <w:pPr>
        <w:jc w:val="both"/>
      </w:pPr>
      <w:r w:rsidRPr="00190630">
        <w:t>7.1</w:t>
      </w:r>
      <w:r w:rsidR="0084618D">
        <w:tab/>
      </w:r>
      <w:r w:rsidRPr="00190630">
        <w:t xml:space="preserve">Following the presentation by the Secretariat, </w:t>
      </w:r>
      <w:r w:rsidR="0060700A" w:rsidRPr="002C38EA">
        <w:t>the meeting</w:t>
      </w:r>
      <w:r w:rsidRPr="00190630">
        <w:t xml:space="preserve"> exchanged views and sought clarifications. Germany requested details on the forthcoming </w:t>
      </w:r>
      <w:r w:rsidRPr="00190630">
        <w:rPr>
          <w:i/>
          <w:iCs/>
        </w:rPr>
        <w:t xml:space="preserve">Global </w:t>
      </w:r>
      <w:r w:rsidR="00AA7B43" w:rsidRPr="002C38EA">
        <w:rPr>
          <w:i/>
          <w:iCs/>
        </w:rPr>
        <w:t xml:space="preserve">PoP </w:t>
      </w:r>
      <w:r w:rsidRPr="00190630">
        <w:rPr>
          <w:i/>
          <w:iCs/>
        </w:rPr>
        <w:t xml:space="preserve">Principles </w:t>
      </w:r>
      <w:r w:rsidRPr="00190630">
        <w:t xml:space="preserve">to be released in November 2025, asking whether these guidelines would address specific aspects of online safety or broader digital protection frameworks. Germany also inquired whether the </w:t>
      </w:r>
      <w:r w:rsidRPr="00190630">
        <w:rPr>
          <w:i/>
          <w:iCs/>
        </w:rPr>
        <w:t>ITU Industry Connect</w:t>
      </w:r>
      <w:r w:rsidRPr="00190630">
        <w:t xml:space="preserve"> series would include manufacturers and network operators in addition to major online platforms. The Secretariat clarified that the </w:t>
      </w:r>
      <w:r w:rsidRPr="00190630">
        <w:rPr>
          <w:i/>
          <w:iCs/>
        </w:rPr>
        <w:t xml:space="preserve">Global </w:t>
      </w:r>
      <w:r w:rsidR="00AA7B43" w:rsidRPr="002C38EA">
        <w:rPr>
          <w:i/>
          <w:iCs/>
        </w:rPr>
        <w:t xml:space="preserve">PoP </w:t>
      </w:r>
      <w:r w:rsidRPr="00190630">
        <w:rPr>
          <w:i/>
          <w:iCs/>
        </w:rPr>
        <w:t>Principles</w:t>
      </w:r>
      <w:r w:rsidRPr="00190630">
        <w:t xml:space="preserve"> will focus on ensuring safety through digital means, complementing existing COP resources</w:t>
      </w:r>
      <w:r w:rsidR="00AA7B43" w:rsidRPr="002C38EA">
        <w:t xml:space="preserve"> and frameworks</w:t>
      </w:r>
      <w:r w:rsidR="00C1476A" w:rsidRPr="002C38EA">
        <w:t xml:space="preserve"> with an additional focus</w:t>
      </w:r>
      <w:r w:rsidRPr="00190630">
        <w:t xml:space="preserve">, and that implementation activities are planned for the future. Regarding </w:t>
      </w:r>
      <w:r w:rsidRPr="00190630">
        <w:rPr>
          <w:i/>
          <w:iCs/>
        </w:rPr>
        <w:t>Industry Connect</w:t>
      </w:r>
      <w:r w:rsidRPr="00190630">
        <w:t>, the Secretariat explained that the initial sessions prioritized online platforms based on earlier Member State requests but noted the suggestion to include manufacturers and operators in future sessions.</w:t>
      </w:r>
    </w:p>
    <w:p w14:paraId="37011B83" w14:textId="6E3B3D8E" w:rsidR="00190630" w:rsidRPr="00190630" w:rsidRDefault="00190630" w:rsidP="008C2077">
      <w:pPr>
        <w:jc w:val="both"/>
      </w:pPr>
      <w:r w:rsidRPr="00190630">
        <w:lastRenderedPageBreak/>
        <w:t xml:space="preserve">China commended ITU’s achievements in advancing child online protection and its vital role in policy, research, and capacity-building. China outlined national progress under a comprehensive framework including the </w:t>
      </w:r>
      <w:r w:rsidRPr="00190630">
        <w:rPr>
          <w:i/>
          <w:iCs/>
        </w:rPr>
        <w:t>Cybersecurity Law of the People’s Republic of China</w:t>
      </w:r>
      <w:r w:rsidRPr="00190630">
        <w:t xml:space="preserve">, the </w:t>
      </w:r>
      <w:r w:rsidRPr="00190630">
        <w:rPr>
          <w:i/>
          <w:iCs/>
        </w:rPr>
        <w:t>Personal Information Protection Law</w:t>
      </w:r>
      <w:r w:rsidRPr="00190630">
        <w:t xml:space="preserve"> (which classifies minors under 14 as a protected group), and the </w:t>
      </w:r>
      <w:r w:rsidRPr="00190630">
        <w:rPr>
          <w:i/>
          <w:iCs/>
        </w:rPr>
        <w:t>Regulation on the Protection of Minors Online</w:t>
      </w:r>
      <w:r w:rsidRPr="00190630">
        <w:t xml:space="preserve"> adopted in 2023. China also cited the </w:t>
      </w:r>
      <w:r w:rsidRPr="00190630">
        <w:rPr>
          <w:i/>
          <w:iCs/>
        </w:rPr>
        <w:t>Cyberspace Administration’s 2024 Guidelines on Mobile Internet</w:t>
      </w:r>
      <w:r w:rsidRPr="00190630">
        <w:t>, emphasizing the country’s holistic approach to children’s online safety. China noted that advances in artificial intelligence bring new challenges</w:t>
      </w:r>
      <w:r w:rsidR="004741FE" w:rsidRPr="002C38EA">
        <w:t xml:space="preserve">, expressed its continuing support to ITU’s child online protection initiative and </w:t>
      </w:r>
      <w:r w:rsidRPr="00190630">
        <w:t xml:space="preserve">encouraged ITU and its relevant groups, including CWG-COP, to intensify research and dialogue on </w:t>
      </w:r>
      <w:r w:rsidR="00642550" w:rsidRPr="002C38EA">
        <w:t xml:space="preserve">new and emerging technologies such as generative AI and expressed support to ITU’s contribution to ensuring </w:t>
      </w:r>
      <w:r w:rsidRPr="00190630">
        <w:t>safe and equitable access for children and youth.</w:t>
      </w:r>
    </w:p>
    <w:p w14:paraId="40894C74" w14:textId="77777777" w:rsidR="00190630" w:rsidRPr="00190630" w:rsidRDefault="00190630" w:rsidP="008C2077">
      <w:pPr>
        <w:jc w:val="both"/>
      </w:pPr>
      <w:r w:rsidRPr="00190630">
        <w:t>The Chair welcomed these interventions and encouraged participation of ITU regional offices in future meetings to bring regional perspectives. South Africa congratulated the Secretariat on its work and supported the proposal for greater involvement of regional offices in future sessions.</w:t>
      </w:r>
    </w:p>
    <w:p w14:paraId="6E46CC23" w14:textId="037D386E" w:rsidR="00190630" w:rsidRPr="00190630" w:rsidRDefault="00190630" w:rsidP="008C2077">
      <w:pPr>
        <w:jc w:val="both"/>
      </w:pPr>
      <w:r w:rsidRPr="00190630">
        <w:t>7.2</w:t>
      </w:r>
      <w:r w:rsidR="0084618D">
        <w:tab/>
      </w:r>
      <w:r w:rsidRPr="00190630">
        <w:t xml:space="preserve">Following the intervention by the Russian Federation, </w:t>
      </w:r>
      <w:r w:rsidR="0060700A" w:rsidRPr="002C38EA">
        <w:t>the meeting</w:t>
      </w:r>
      <w:r w:rsidRPr="00190630">
        <w:t xml:space="preserve"> discussed the proposal to broaden CWG-COP’s scope to include youth. Canada expressed concern over the effects of social-media algorithms keeping young users constantly engaged online, emphasizing the importance of balance, awareness, and mental well-being. Canada stressed that capacity-building and awareness-raising for parents, teachers, and caregivers should remain central to COP efforts. South Africa supported Russia’s proposal to extend CWG-COP’s focus to youth, highlighting the relevance of addressing online safety across age groups. The Secretariat </w:t>
      </w:r>
      <w:r w:rsidR="006A6881" w:rsidRPr="002C38EA">
        <w:t xml:space="preserve">responded that </w:t>
      </w:r>
      <w:r w:rsidR="00220196" w:rsidRPr="002C38EA">
        <w:t xml:space="preserve">the work of the </w:t>
      </w:r>
      <w:r w:rsidR="00CC3316" w:rsidRPr="002C38EA">
        <w:t xml:space="preserve">child </w:t>
      </w:r>
      <w:r w:rsidR="00220196" w:rsidRPr="002C38EA">
        <w:t>online protection initiative</w:t>
      </w:r>
      <w:r w:rsidR="00B50B24" w:rsidRPr="002C38EA">
        <w:t xml:space="preserve"> and global programming  in practice are</w:t>
      </w:r>
      <w:r w:rsidR="00220196" w:rsidRPr="002C38EA">
        <w:t xml:space="preserve"> already widened in scope and digital skills development, capacit</w:t>
      </w:r>
      <w:r w:rsidR="00B50B24" w:rsidRPr="002C38EA">
        <w:t>y building, and awareness raising are targeting children, youth, parents, carers, educators and teachers.</w:t>
      </w:r>
      <w:r w:rsidR="00220196" w:rsidRPr="002C38EA">
        <w:t xml:space="preserve"> </w:t>
      </w:r>
      <w:r w:rsidR="00F833E5" w:rsidRPr="002C38EA">
        <w:t xml:space="preserve">The Secretariat also noted that, under the </w:t>
      </w:r>
      <w:r w:rsidR="00F833E5" w:rsidRPr="002C38EA">
        <w:rPr>
          <w:i/>
          <w:iCs/>
        </w:rPr>
        <w:t>Convention on the Rights of the Child (UN-CRC)</w:t>
      </w:r>
      <w:r w:rsidR="00F833E5" w:rsidRPr="002C38EA">
        <w:t xml:space="preserve">, children are beneficiaries of </w:t>
      </w:r>
      <w:r w:rsidR="00F833E5" w:rsidRPr="002C38EA">
        <w:rPr>
          <w:i/>
          <w:iCs/>
        </w:rPr>
        <w:t>special protection rights</w:t>
      </w:r>
      <w:r w:rsidR="00F833E5" w:rsidRPr="002C38EA">
        <w:t xml:space="preserve">, which may make merging children and youth under a single policy framework legally and institutionally complex. </w:t>
      </w:r>
      <w:r w:rsidR="00314AF9" w:rsidRPr="002C38EA">
        <w:t xml:space="preserve">The Secretariat </w:t>
      </w:r>
      <w:r w:rsidRPr="00190630">
        <w:t>invited Russia to formalize it</w:t>
      </w:r>
      <w:r w:rsidR="006A6881" w:rsidRPr="002C38EA">
        <w:t>s proposal</w:t>
      </w:r>
      <w:r w:rsidRPr="00190630">
        <w:t xml:space="preserve"> through </w:t>
      </w:r>
      <w:r w:rsidR="006A6881" w:rsidRPr="002C38EA">
        <w:t xml:space="preserve">formal </w:t>
      </w:r>
      <w:r w:rsidRPr="00190630">
        <w:t>contribution</w:t>
      </w:r>
      <w:r w:rsidR="006A6881" w:rsidRPr="002C38EA">
        <w:t>s</w:t>
      </w:r>
      <w:r w:rsidRPr="00190630">
        <w:t xml:space="preserve"> to upcoming ITU conferences</w:t>
      </w:r>
      <w:r w:rsidR="00CC3316">
        <w:t xml:space="preserve"> </w:t>
      </w:r>
      <w:r w:rsidRPr="00190630">
        <w:t xml:space="preserve">—such as the </w:t>
      </w:r>
      <w:r w:rsidRPr="00190630">
        <w:rPr>
          <w:i/>
          <w:iCs/>
        </w:rPr>
        <w:t>World Telecommunication Development Conference (WTDC)</w:t>
      </w:r>
      <w:r w:rsidRPr="00190630">
        <w:t xml:space="preserve"> or </w:t>
      </w:r>
      <w:r w:rsidRPr="00190630">
        <w:rPr>
          <w:i/>
          <w:iCs/>
        </w:rPr>
        <w:t>Plenipotentiary Conference (PP)</w:t>
      </w:r>
      <w:r w:rsidRPr="00190630">
        <w:t>—</w:t>
      </w:r>
      <w:r w:rsidR="00CC3316">
        <w:t xml:space="preserve"> </w:t>
      </w:r>
      <w:r w:rsidRPr="00190630">
        <w:t>where the CWG-COP mandate could be reviewed. China supported the proposal, recognizing youth online safety and AI governance as key priorities for ITU and the UN system, while agreeing that formal discussions on expanding CWG-COP’s scope should take place at WTDC and PP to avoid duplication.</w:t>
      </w:r>
    </w:p>
    <w:p w14:paraId="2D125E4A" w14:textId="48CCFC2D" w:rsidR="00190630" w:rsidRPr="00190630" w:rsidRDefault="00190630" w:rsidP="00CC3316">
      <w:pPr>
        <w:jc w:val="both"/>
      </w:pPr>
      <w:r w:rsidRPr="00190630">
        <w:t>7.3</w:t>
      </w:r>
      <w:r w:rsidR="0084618D">
        <w:tab/>
      </w:r>
      <w:r w:rsidRPr="00190630">
        <w:t xml:space="preserve">The meeting discussed the </w:t>
      </w:r>
      <w:r w:rsidR="00CC3316" w:rsidRPr="00190630">
        <w:t xml:space="preserve">liaison statement </w:t>
      </w:r>
      <w:r w:rsidRPr="00190630">
        <w:t xml:space="preserve">from ITU-T Study Group 17 (SG17) and the accompanying </w:t>
      </w:r>
      <w:r w:rsidRPr="00190630">
        <w:rPr>
          <w:i/>
          <w:iCs/>
        </w:rPr>
        <w:t>Gap Analysis on Standards Supporting Child Online Protection</w:t>
      </w:r>
      <w:r w:rsidRPr="00190630">
        <w:t>. Delegations welcomed the continued collaboration between SG17 and CWG-COP. Brazil emphasized that the ITU standardization process enables inclusive participation, particularly from developing countries, ensuring diverse perspectives in future COP-related standards. Canada highlighted the need to maintain strong cooperation with international standardization bodies such as ISO and OECD to ensure complementarity. The Co-Convenor of CG-COP underlined efforts to align with ICC and ISU standards initiatives and to avoid duplication of work.</w:t>
      </w:r>
    </w:p>
    <w:p w14:paraId="34B81539" w14:textId="7AF32814" w:rsidR="00190630" w:rsidRPr="00190630" w:rsidRDefault="00190630" w:rsidP="008C2077">
      <w:pPr>
        <w:jc w:val="both"/>
      </w:pPr>
      <w:r w:rsidRPr="00190630">
        <w:t>7.4</w:t>
      </w:r>
      <w:r w:rsidR="0084618D">
        <w:tab/>
      </w:r>
      <w:r w:rsidRPr="00190630">
        <w:t xml:space="preserve">The meeting then considered the contribution by SWGfL on the </w:t>
      </w:r>
      <w:r w:rsidRPr="00190630">
        <w:rPr>
          <w:i/>
          <w:iCs/>
        </w:rPr>
        <w:t>Parental Control Enforcement Protocol (PARCEP)</w:t>
      </w:r>
      <w:r w:rsidRPr="00190630">
        <w:t xml:space="preserve">. South Africa expressed strong support for the initiative, noting its potential to enhance parental empowerment and interoperability across devices. </w:t>
      </w:r>
      <w:r w:rsidRPr="00190630">
        <w:lastRenderedPageBreak/>
        <w:t>Canada reflected on cultural differences in parenting styles and the need to balance parental controls with children’s autonomy, supporting SWGfL’s view that all devices should integrate interoperable parental control tools. Nigeria endorsed the proposal, emphasizing awareness-raising for parents and inclusive approaches to online safety. The Chair suggested that the proposal and recommendations be transmitted to ITU-T SG17 via a liaison statement for technical consideration. The Co-Convenor of CG-COP thanked SWGfL for its sustained collaboration and contributions.</w:t>
      </w:r>
    </w:p>
    <w:p w14:paraId="15130B78" w14:textId="5D559062" w:rsidR="00190630" w:rsidRPr="00190630" w:rsidRDefault="00190630" w:rsidP="008C2077">
      <w:pPr>
        <w:jc w:val="both"/>
      </w:pPr>
      <w:r w:rsidRPr="00190630">
        <w:t>7.5</w:t>
      </w:r>
      <w:r w:rsidR="0084618D">
        <w:tab/>
      </w:r>
      <w:r w:rsidRPr="00190630">
        <w:t>Canada proposed that future CWG-COP meetings explore direct participation of children and youth to enrich discussions with their perspectives, recognizing ITU’s broader efforts to engage youth in COP activities.</w:t>
      </w:r>
    </w:p>
    <w:p w14:paraId="16ABB351" w14:textId="3690E907" w:rsidR="00190630" w:rsidRPr="00190630" w:rsidRDefault="00190630" w:rsidP="008C2077">
      <w:pPr>
        <w:jc w:val="both"/>
      </w:pPr>
      <w:r w:rsidRPr="00190630">
        <w:t>7.6</w:t>
      </w:r>
      <w:r w:rsidR="0084618D">
        <w:tab/>
      </w:r>
      <w:r w:rsidRPr="00190630">
        <w:t>Canada and the Russian Federation noted that older persons are increasingly exposed to online risks and recommended that future discussions also address intergenerational online protection. The Chair welcomed these observations and encouraged further dialogue on digital safety for all age groups.</w:t>
      </w:r>
    </w:p>
    <w:p w14:paraId="3038C0E4" w14:textId="3E4744D3" w:rsidR="006741D3" w:rsidRPr="002C38EA" w:rsidRDefault="008F217B" w:rsidP="00CC3316">
      <w:pPr>
        <w:pStyle w:val="Heading1"/>
      </w:pPr>
      <w:r w:rsidRPr="002C38EA">
        <w:t>8</w:t>
      </w:r>
      <w:r w:rsidR="00227BC0" w:rsidRPr="002C38EA">
        <w:tab/>
        <w:t>Outcomes of the twenty-</w:t>
      </w:r>
      <w:r w:rsidR="00A671CF" w:rsidRPr="002C38EA">
        <w:t xml:space="preserve">third </w:t>
      </w:r>
      <w:r w:rsidR="00227BC0" w:rsidRPr="002C38EA">
        <w:t>meeting of the CWG-COP</w:t>
      </w:r>
    </w:p>
    <w:p w14:paraId="45F8F531" w14:textId="26F71B23" w:rsidR="00AA7B43" w:rsidRPr="00AA7B43" w:rsidRDefault="00AA7B43" w:rsidP="008C2077">
      <w:pPr>
        <w:jc w:val="both"/>
        <w:rPr>
          <w:rFonts w:asciiTheme="minorHAnsi" w:hAnsiTheme="minorHAnsi" w:cstheme="minorBidi"/>
        </w:rPr>
      </w:pPr>
      <w:r w:rsidRPr="00AA7B43">
        <w:rPr>
          <w:rFonts w:asciiTheme="minorHAnsi" w:hAnsiTheme="minorHAnsi" w:cstheme="minorBidi"/>
        </w:rPr>
        <w:t>8.1</w:t>
      </w:r>
      <w:r w:rsidR="0084618D">
        <w:rPr>
          <w:rFonts w:asciiTheme="minorHAnsi" w:hAnsiTheme="minorHAnsi" w:cstheme="minorBidi"/>
        </w:rPr>
        <w:tab/>
      </w:r>
      <w:r w:rsidRPr="00AA7B43">
        <w:rPr>
          <w:rFonts w:asciiTheme="minorHAnsi" w:hAnsiTheme="minorHAnsi" w:cstheme="minorBidi"/>
        </w:rPr>
        <w:t xml:space="preserve">The Secretariat took note of Germany’s suggestion to include manufacturers and operators in upcoming </w:t>
      </w:r>
      <w:r w:rsidRPr="00AA7B43">
        <w:rPr>
          <w:rFonts w:asciiTheme="minorHAnsi" w:hAnsiTheme="minorHAnsi" w:cstheme="minorBidi"/>
          <w:i/>
          <w:iCs/>
        </w:rPr>
        <w:t>Industry Connect</w:t>
      </w:r>
      <w:r w:rsidRPr="00AA7B43">
        <w:rPr>
          <w:rFonts w:asciiTheme="minorHAnsi" w:hAnsiTheme="minorHAnsi" w:cstheme="minorBidi"/>
        </w:rPr>
        <w:t xml:space="preserve"> sessions and will review this for the remaining 2025 series. The Secretariat also </w:t>
      </w:r>
      <w:r w:rsidRPr="008C2077">
        <w:t>took</w:t>
      </w:r>
      <w:r w:rsidRPr="00AA7B43">
        <w:rPr>
          <w:rFonts w:asciiTheme="minorHAnsi" w:hAnsiTheme="minorHAnsi" w:cstheme="minorBidi"/>
        </w:rPr>
        <w:t xml:space="preserve"> note of the Chair’s and South Africa’s request to involve ITU regional offices in future CWG-COP meetings.</w:t>
      </w:r>
    </w:p>
    <w:p w14:paraId="7AE3352F" w14:textId="70D8CB27" w:rsidR="00AA7B43" w:rsidRPr="00AA7B43" w:rsidRDefault="00AA7B43" w:rsidP="008C2077">
      <w:pPr>
        <w:jc w:val="both"/>
        <w:rPr>
          <w:rFonts w:asciiTheme="minorHAnsi" w:hAnsiTheme="minorHAnsi" w:cstheme="minorBidi"/>
        </w:rPr>
      </w:pPr>
      <w:r w:rsidRPr="00AA7B43">
        <w:rPr>
          <w:rFonts w:asciiTheme="minorHAnsi" w:hAnsiTheme="minorHAnsi" w:cstheme="minorBidi"/>
        </w:rPr>
        <w:t>8.2</w:t>
      </w:r>
      <w:r w:rsidR="0084618D">
        <w:rPr>
          <w:rFonts w:asciiTheme="minorHAnsi" w:hAnsiTheme="minorHAnsi" w:cstheme="minorBidi"/>
        </w:rPr>
        <w:tab/>
      </w:r>
      <w:r w:rsidRPr="00AA7B43">
        <w:rPr>
          <w:rFonts w:asciiTheme="minorHAnsi" w:hAnsiTheme="minorHAnsi" w:cstheme="minorBidi"/>
        </w:rPr>
        <w:t xml:space="preserve">The meeting acknowledged the oral contribution by the Russian Federation proposing to broaden CWG-COP’s scope to include youth. The Chair invited the Russian Federation to submit the proposal formally through WTDC or PP for consideration. The Secretariat will continue supporting youth-focused digital-skills and awareness-building initiatives under the BDT COP </w:t>
      </w:r>
      <w:r w:rsidR="009D4973" w:rsidRPr="002C38EA">
        <w:rPr>
          <w:rFonts w:asciiTheme="minorHAnsi" w:hAnsiTheme="minorHAnsi" w:cstheme="minorBidi"/>
        </w:rPr>
        <w:t xml:space="preserve">global </w:t>
      </w:r>
      <w:r w:rsidRPr="00AA7B43">
        <w:rPr>
          <w:rFonts w:asciiTheme="minorHAnsi" w:hAnsiTheme="minorHAnsi" w:cstheme="minorBidi"/>
        </w:rPr>
        <w:t>programme</w:t>
      </w:r>
      <w:r w:rsidR="009D4973" w:rsidRPr="002C38EA">
        <w:rPr>
          <w:rFonts w:asciiTheme="minorHAnsi" w:hAnsiTheme="minorHAnsi" w:cstheme="minorBidi"/>
        </w:rPr>
        <w:t xml:space="preserve"> and the ITU child online protection initiative</w:t>
      </w:r>
      <w:r w:rsidRPr="00AA7B43">
        <w:rPr>
          <w:rFonts w:asciiTheme="minorHAnsi" w:hAnsiTheme="minorHAnsi" w:cstheme="minorBidi"/>
        </w:rPr>
        <w:t>.</w:t>
      </w:r>
    </w:p>
    <w:p w14:paraId="797C4ADA" w14:textId="47F69546" w:rsidR="00AA7B43" w:rsidRPr="00AA7B43" w:rsidRDefault="00AA7B43" w:rsidP="008C2077">
      <w:pPr>
        <w:jc w:val="both"/>
        <w:rPr>
          <w:rFonts w:asciiTheme="minorHAnsi" w:hAnsiTheme="minorHAnsi" w:cstheme="minorBidi"/>
        </w:rPr>
      </w:pPr>
      <w:r w:rsidRPr="00AA7B43">
        <w:rPr>
          <w:rFonts w:asciiTheme="minorHAnsi" w:hAnsiTheme="minorHAnsi" w:cstheme="minorBidi"/>
        </w:rPr>
        <w:t>8.3</w:t>
      </w:r>
      <w:r w:rsidR="0084618D">
        <w:rPr>
          <w:rFonts w:asciiTheme="minorHAnsi" w:hAnsiTheme="minorHAnsi" w:cstheme="minorBidi"/>
        </w:rPr>
        <w:tab/>
      </w:r>
      <w:r w:rsidRPr="00AA7B43">
        <w:rPr>
          <w:rFonts w:asciiTheme="minorHAnsi" w:hAnsiTheme="minorHAnsi" w:cstheme="minorBidi"/>
        </w:rPr>
        <w:t xml:space="preserve">The meeting took note of the Liaison Statement from ITU-T SG17 and welcomed the continued collaboration with CWG-COP. The Group endorsed SG17’s ongoing work on </w:t>
      </w:r>
      <w:r w:rsidRPr="00AA7B43">
        <w:rPr>
          <w:rFonts w:asciiTheme="minorHAnsi" w:hAnsiTheme="minorHAnsi" w:cstheme="minorBidi"/>
          <w:i/>
          <w:iCs/>
        </w:rPr>
        <w:t>age assurance</w:t>
      </w:r>
      <w:r w:rsidRPr="00AA7B43">
        <w:rPr>
          <w:rFonts w:asciiTheme="minorHAnsi" w:hAnsiTheme="minorHAnsi" w:cstheme="minorBidi"/>
        </w:rPr>
        <w:t xml:space="preserve"> and </w:t>
      </w:r>
      <w:r w:rsidRPr="00AA7B43">
        <w:rPr>
          <w:rFonts w:asciiTheme="minorHAnsi" w:hAnsiTheme="minorHAnsi" w:cstheme="minorBidi"/>
          <w:i/>
          <w:iCs/>
        </w:rPr>
        <w:t>automated content moderation</w:t>
      </w:r>
      <w:r w:rsidRPr="00AA7B43">
        <w:rPr>
          <w:rFonts w:asciiTheme="minorHAnsi" w:hAnsiTheme="minorHAnsi" w:cstheme="minorBidi"/>
        </w:rPr>
        <w:t xml:space="preserve"> as priority standardization areas and encouraged Member States and stakeholders to participate in the Correspondence Group on Child Online Protection (CG-COP).</w:t>
      </w:r>
    </w:p>
    <w:p w14:paraId="305073EC" w14:textId="59C96CE1" w:rsidR="00AA7B43" w:rsidRPr="00AA7B43" w:rsidRDefault="00AA7B43" w:rsidP="008C2077">
      <w:pPr>
        <w:jc w:val="both"/>
        <w:rPr>
          <w:rFonts w:asciiTheme="minorHAnsi" w:hAnsiTheme="minorHAnsi" w:cstheme="minorBidi"/>
        </w:rPr>
      </w:pPr>
      <w:r w:rsidRPr="00AA7B43">
        <w:rPr>
          <w:rFonts w:asciiTheme="minorHAnsi" w:hAnsiTheme="minorHAnsi" w:cstheme="minorBidi"/>
        </w:rPr>
        <w:t>8.4</w:t>
      </w:r>
      <w:r w:rsidR="0084618D">
        <w:rPr>
          <w:rFonts w:asciiTheme="minorHAnsi" w:hAnsiTheme="minorHAnsi" w:cstheme="minorBidi"/>
        </w:rPr>
        <w:tab/>
      </w:r>
      <w:r w:rsidRPr="00AA7B43">
        <w:rPr>
          <w:rFonts w:asciiTheme="minorHAnsi" w:hAnsiTheme="minorHAnsi" w:cstheme="minorBidi"/>
        </w:rPr>
        <w:t xml:space="preserve">The </w:t>
      </w:r>
      <w:r w:rsidRPr="008C2077">
        <w:t>meeting</w:t>
      </w:r>
      <w:r w:rsidRPr="00AA7B43">
        <w:rPr>
          <w:rFonts w:asciiTheme="minorHAnsi" w:hAnsiTheme="minorHAnsi" w:cstheme="minorBidi"/>
        </w:rPr>
        <w:t xml:space="preserve"> took note of the contribution by SWGfL on the </w:t>
      </w:r>
      <w:r w:rsidRPr="00AA7B43">
        <w:rPr>
          <w:rFonts w:asciiTheme="minorHAnsi" w:hAnsiTheme="minorHAnsi" w:cstheme="minorBidi"/>
          <w:i/>
          <w:iCs/>
        </w:rPr>
        <w:t>Parental Control Enforcement Protocol (PARCEP)</w:t>
      </w:r>
      <w:r w:rsidRPr="00AA7B43">
        <w:rPr>
          <w:rFonts w:asciiTheme="minorHAnsi" w:hAnsiTheme="minorHAnsi" w:cstheme="minorBidi"/>
        </w:rPr>
        <w:t xml:space="preserve"> and welcomed SWGfL’s proposal for continued collaboration between CWG-COP and SG17’s CG-COP. The </w:t>
      </w:r>
      <w:r w:rsidR="00F80B07" w:rsidRPr="002C38EA">
        <w:rPr>
          <w:rFonts w:asciiTheme="minorHAnsi" w:hAnsiTheme="minorHAnsi" w:cstheme="minorBidi"/>
        </w:rPr>
        <w:t xml:space="preserve">chair </w:t>
      </w:r>
      <w:r w:rsidRPr="00AA7B43">
        <w:rPr>
          <w:rFonts w:asciiTheme="minorHAnsi" w:hAnsiTheme="minorHAnsi" w:cstheme="minorBidi"/>
        </w:rPr>
        <w:t>invited the Secretariat to prepare a liaison statement to SG17 reflecting CWG-COP’s support for PARCEP and its recommendations to:</w:t>
      </w:r>
    </w:p>
    <w:p w14:paraId="197BFFC6" w14:textId="368C9B58" w:rsidR="00AA7B43" w:rsidRPr="00AA7B43" w:rsidRDefault="007B4CCD" w:rsidP="007B4CCD">
      <w:pPr>
        <w:pStyle w:val="enumlev1"/>
      </w:pPr>
      <w:r>
        <w:t>–</w:t>
      </w:r>
      <w:r>
        <w:tab/>
      </w:r>
      <w:r w:rsidRPr="00AA7B43">
        <w:t xml:space="preserve">maintain </w:t>
      </w:r>
      <w:r w:rsidR="00AA7B43" w:rsidRPr="00AA7B43">
        <w:t>an ITU COP requirements note on interoperable parental controls;</w:t>
      </w:r>
    </w:p>
    <w:p w14:paraId="45101D01" w14:textId="4804C4B2" w:rsidR="00AA7B43" w:rsidRPr="00AA7B43" w:rsidRDefault="007B4CCD" w:rsidP="007B4CCD">
      <w:pPr>
        <w:pStyle w:val="enumlev1"/>
      </w:pPr>
      <w:r>
        <w:t>–</w:t>
      </w:r>
      <w:r>
        <w:tab/>
      </w:r>
      <w:r w:rsidRPr="00AA7B43">
        <w:t xml:space="preserve">liaise </w:t>
      </w:r>
      <w:r w:rsidR="00AA7B43" w:rsidRPr="00AA7B43">
        <w:t>with relevant IETF working areas;</w:t>
      </w:r>
    </w:p>
    <w:p w14:paraId="1635938C" w14:textId="2980DD8A" w:rsidR="00AA7B43" w:rsidRPr="00AA7B43" w:rsidRDefault="007B4CCD" w:rsidP="007B4CCD">
      <w:pPr>
        <w:pStyle w:val="enumlev1"/>
      </w:pPr>
      <w:r>
        <w:t>–</w:t>
      </w:r>
      <w:r>
        <w:tab/>
      </w:r>
      <w:r w:rsidRPr="00AA7B43">
        <w:t xml:space="preserve">convene </w:t>
      </w:r>
      <w:r w:rsidR="00AA7B43" w:rsidRPr="00AA7B43">
        <w:t>a joint workshop addressing technical and regulatory considerations; and</w:t>
      </w:r>
    </w:p>
    <w:p w14:paraId="206A0FB8" w14:textId="184C0F8B" w:rsidR="00AA7B43" w:rsidRPr="00AA7B43" w:rsidRDefault="007B4CCD" w:rsidP="007B4CCD">
      <w:pPr>
        <w:pStyle w:val="enumlev1"/>
      </w:pPr>
      <w:r>
        <w:t>–</w:t>
      </w:r>
      <w:r>
        <w:tab/>
      </w:r>
      <w:r w:rsidRPr="00AA7B43">
        <w:t xml:space="preserve">explore </w:t>
      </w:r>
      <w:r w:rsidR="00AA7B43" w:rsidRPr="00AA7B43">
        <w:t>a conformance framework for vendor-neutral interoperability.</w:t>
      </w:r>
    </w:p>
    <w:p w14:paraId="1FE9BF9E" w14:textId="38FD14BF" w:rsidR="00AA7B43" w:rsidRPr="00AA7B43" w:rsidRDefault="00AA7B43" w:rsidP="008C2077">
      <w:pPr>
        <w:jc w:val="both"/>
        <w:rPr>
          <w:rFonts w:asciiTheme="minorHAnsi" w:hAnsiTheme="minorHAnsi" w:cstheme="minorBidi"/>
        </w:rPr>
      </w:pPr>
      <w:r w:rsidRPr="00AA7B43">
        <w:rPr>
          <w:rFonts w:asciiTheme="minorHAnsi" w:hAnsiTheme="minorHAnsi" w:cstheme="minorBidi"/>
        </w:rPr>
        <w:t>8.5</w:t>
      </w:r>
      <w:r w:rsidR="0084618D">
        <w:rPr>
          <w:rFonts w:asciiTheme="minorHAnsi" w:hAnsiTheme="minorHAnsi" w:cstheme="minorBidi"/>
        </w:rPr>
        <w:tab/>
      </w:r>
      <w:r w:rsidRPr="00AA7B43">
        <w:rPr>
          <w:rFonts w:asciiTheme="minorHAnsi" w:hAnsiTheme="minorHAnsi" w:cstheme="minorBidi"/>
        </w:rPr>
        <w:t xml:space="preserve">The </w:t>
      </w:r>
      <w:r w:rsidRPr="008C2077">
        <w:t>meeting</w:t>
      </w:r>
      <w:r w:rsidRPr="00AA7B43">
        <w:rPr>
          <w:rFonts w:asciiTheme="minorHAnsi" w:hAnsiTheme="minorHAnsi" w:cstheme="minorBidi"/>
        </w:rPr>
        <w:t xml:space="preserve"> noted the interventions by Brazil, Canada, and the Co-Convenor of CG-COP, reaffirming the importance of inclusive participation and cross-community collaboration among standards bodies.</w:t>
      </w:r>
    </w:p>
    <w:p w14:paraId="6568C598" w14:textId="6011C7A4" w:rsidR="00AA7B43" w:rsidRPr="00AA7B43" w:rsidRDefault="00AA7B43" w:rsidP="008C2077">
      <w:pPr>
        <w:jc w:val="both"/>
        <w:rPr>
          <w:rFonts w:asciiTheme="minorHAnsi" w:hAnsiTheme="minorHAnsi" w:cstheme="minorBidi"/>
        </w:rPr>
      </w:pPr>
      <w:r w:rsidRPr="00AA7B43">
        <w:rPr>
          <w:rFonts w:asciiTheme="minorHAnsi" w:hAnsiTheme="minorHAnsi" w:cstheme="minorBidi"/>
        </w:rPr>
        <w:lastRenderedPageBreak/>
        <w:t>8.6</w:t>
      </w:r>
      <w:r w:rsidR="0084618D">
        <w:rPr>
          <w:rFonts w:asciiTheme="minorHAnsi" w:hAnsiTheme="minorHAnsi" w:cstheme="minorBidi"/>
        </w:rPr>
        <w:tab/>
      </w:r>
      <w:r w:rsidRPr="00AA7B43">
        <w:rPr>
          <w:rFonts w:asciiTheme="minorHAnsi" w:hAnsiTheme="minorHAnsi" w:cstheme="minorBidi"/>
        </w:rPr>
        <w:t xml:space="preserve">The </w:t>
      </w:r>
      <w:r w:rsidRPr="008C2077">
        <w:t>meeting</w:t>
      </w:r>
      <w:r w:rsidRPr="00AA7B43">
        <w:rPr>
          <w:rFonts w:asciiTheme="minorHAnsi" w:hAnsiTheme="minorHAnsi" w:cstheme="minorBidi"/>
        </w:rPr>
        <w:t xml:space="preserve"> supported Canada’s proposal to invite children and youth to participate directly in future CWG-COP sessions. The Secretariat will explore feasible modalities to enable safe and meaningful </w:t>
      </w:r>
      <w:r w:rsidR="00C52472" w:rsidRPr="002C38EA">
        <w:rPr>
          <w:rFonts w:asciiTheme="minorHAnsi" w:hAnsiTheme="minorHAnsi" w:cstheme="minorBidi"/>
        </w:rPr>
        <w:t xml:space="preserve">child and </w:t>
      </w:r>
      <w:r w:rsidRPr="00AA7B43">
        <w:rPr>
          <w:rFonts w:asciiTheme="minorHAnsi" w:hAnsiTheme="minorHAnsi" w:cstheme="minorBidi"/>
        </w:rPr>
        <w:t>youth participation.</w:t>
      </w:r>
    </w:p>
    <w:p w14:paraId="7F715712" w14:textId="2524B9C5" w:rsidR="00AA7B43" w:rsidRPr="00AA7B43" w:rsidRDefault="00AA7B43" w:rsidP="008C2077">
      <w:pPr>
        <w:jc w:val="both"/>
        <w:rPr>
          <w:rFonts w:asciiTheme="minorHAnsi" w:hAnsiTheme="minorHAnsi" w:cstheme="minorBidi"/>
        </w:rPr>
      </w:pPr>
      <w:r w:rsidRPr="00AA7B43">
        <w:rPr>
          <w:rFonts w:asciiTheme="minorHAnsi" w:hAnsiTheme="minorHAnsi" w:cstheme="minorBidi"/>
        </w:rPr>
        <w:t>8.7</w:t>
      </w:r>
      <w:r w:rsidR="0084618D">
        <w:rPr>
          <w:rFonts w:asciiTheme="minorHAnsi" w:hAnsiTheme="minorHAnsi" w:cstheme="minorBidi"/>
        </w:rPr>
        <w:tab/>
      </w:r>
      <w:r w:rsidRPr="00AA7B43">
        <w:rPr>
          <w:rFonts w:asciiTheme="minorHAnsi" w:hAnsiTheme="minorHAnsi" w:cstheme="minorBidi"/>
        </w:rPr>
        <w:t xml:space="preserve">The </w:t>
      </w:r>
      <w:r w:rsidRPr="008C2077">
        <w:t>meeting</w:t>
      </w:r>
      <w:r w:rsidRPr="00AA7B43">
        <w:rPr>
          <w:rFonts w:asciiTheme="minorHAnsi" w:hAnsiTheme="minorHAnsi" w:cstheme="minorBidi"/>
        </w:rPr>
        <w:t xml:space="preserve"> acknowledged the </w:t>
      </w:r>
      <w:r w:rsidR="00C52472" w:rsidRPr="002C38EA">
        <w:rPr>
          <w:rFonts w:asciiTheme="minorHAnsi" w:hAnsiTheme="minorHAnsi" w:cstheme="minorBidi"/>
        </w:rPr>
        <w:t>interventions</w:t>
      </w:r>
      <w:r w:rsidRPr="00AA7B43">
        <w:rPr>
          <w:rFonts w:asciiTheme="minorHAnsi" w:hAnsiTheme="minorHAnsi" w:cstheme="minorBidi"/>
        </w:rPr>
        <w:t xml:space="preserve"> by Canada and the Russian Federation encouraging inclusion of older persons within discussions on online protection and noted the Chair’s invitation to consider this topic in future agendas.</w:t>
      </w:r>
    </w:p>
    <w:p w14:paraId="1744BC03" w14:textId="0CF77038" w:rsidR="002C38EA" w:rsidRPr="002C38EA" w:rsidRDefault="00AA7B43" w:rsidP="008C2077">
      <w:pPr>
        <w:jc w:val="both"/>
        <w:rPr>
          <w:rFonts w:asciiTheme="minorHAnsi" w:hAnsiTheme="minorHAnsi" w:cstheme="minorBidi"/>
        </w:rPr>
      </w:pPr>
      <w:r w:rsidRPr="00AA7B43">
        <w:rPr>
          <w:rFonts w:asciiTheme="minorHAnsi" w:hAnsiTheme="minorHAnsi" w:cstheme="minorBidi"/>
        </w:rPr>
        <w:t>8.8</w:t>
      </w:r>
      <w:r w:rsidR="0084618D">
        <w:rPr>
          <w:rFonts w:asciiTheme="minorHAnsi" w:hAnsiTheme="minorHAnsi" w:cstheme="minorBidi"/>
        </w:rPr>
        <w:tab/>
      </w:r>
      <w:r w:rsidRPr="00AA7B43">
        <w:rPr>
          <w:rFonts w:asciiTheme="minorHAnsi" w:hAnsiTheme="minorHAnsi" w:cstheme="minorBidi"/>
        </w:rPr>
        <w:t xml:space="preserve">The </w:t>
      </w:r>
      <w:r w:rsidRPr="008C2077">
        <w:t>meeting</w:t>
      </w:r>
      <w:r w:rsidRPr="00AA7B43">
        <w:rPr>
          <w:rFonts w:asciiTheme="minorHAnsi" w:hAnsiTheme="minorHAnsi" w:cstheme="minorBidi"/>
        </w:rPr>
        <w:t xml:space="preserve"> took note of the oral update by UNICEF and expressed appreciation for the continued cooperation between ITU, UNICEF, and other UN agencies in advancing the global child online protection agenda.</w:t>
      </w:r>
    </w:p>
    <w:p w14:paraId="7BF60903" w14:textId="78C0E6E5" w:rsidR="00A514A4" w:rsidRPr="002C38EA" w:rsidRDefault="00326D3F" w:rsidP="00326D3F">
      <w:pPr>
        <w:pStyle w:val="Signature"/>
        <w:rPr>
          <w:highlight w:val="green"/>
        </w:rPr>
      </w:pPr>
      <w:r>
        <w:tab/>
      </w:r>
      <w:r w:rsidR="00227BC0" w:rsidRPr="002C38EA">
        <w:t>Stella C. Erebor (Nigeria)</w:t>
      </w:r>
      <w:r w:rsidR="00227BC0">
        <w:br/>
      </w:r>
      <w:r>
        <w:tab/>
      </w:r>
      <w:r w:rsidR="00227BC0" w:rsidRPr="00227BC0">
        <w:t>Vice-Chair, CWG-COP</w:t>
      </w:r>
    </w:p>
    <w:sectPr w:rsidR="00A514A4" w:rsidRPr="002C38EA" w:rsidSect="00AD3606">
      <w:footerReference w:type="default" r:id="rId42"/>
      <w:headerReference w:type="first" r:id="rId43"/>
      <w:footerReference w:type="first" r:id="rId44"/>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590806" w14:textId="77777777" w:rsidR="00E85115" w:rsidRDefault="00E85115">
      <w:r>
        <w:separator/>
      </w:r>
    </w:p>
  </w:endnote>
  <w:endnote w:type="continuationSeparator" w:id="0">
    <w:p w14:paraId="322D9B8F" w14:textId="77777777" w:rsidR="00E85115" w:rsidRDefault="00E851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Nxt2 W1G Medium">
    <w:panose1 w:val="020B0603020202020204"/>
    <w:charset w:val="00"/>
    <w:family w:val="swiss"/>
    <w:notTrueType/>
    <w:pitch w:val="variable"/>
    <w:sig w:usb0="A00002EF"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E49E8" w:rsidRPr="00B248BC" w14:paraId="48221C36" w14:textId="77777777" w:rsidTr="0042469C">
      <w:trPr>
        <w:jc w:val="center"/>
      </w:trPr>
      <w:tc>
        <w:tcPr>
          <w:tcW w:w="1803" w:type="dxa"/>
          <w:vAlign w:val="center"/>
        </w:tcPr>
        <w:p w14:paraId="2EEAAC71" w14:textId="77777777" w:rsidR="00EE49E8" w:rsidRDefault="00EE49E8" w:rsidP="00EE49E8">
          <w:pPr>
            <w:pStyle w:val="Header"/>
            <w:jc w:val="left"/>
            <w:rPr>
              <w:noProof/>
            </w:rPr>
          </w:pPr>
        </w:p>
      </w:tc>
      <w:tc>
        <w:tcPr>
          <w:tcW w:w="8261" w:type="dxa"/>
        </w:tcPr>
        <w:p w14:paraId="7BE62B90" w14:textId="08794BAE" w:rsidR="00EE49E8" w:rsidRPr="00BA3A51" w:rsidRDefault="00EE49E8" w:rsidP="0025570E">
          <w:pPr>
            <w:pStyle w:val="Header"/>
            <w:tabs>
              <w:tab w:val="left" w:pos="6309"/>
              <w:tab w:val="right" w:pos="8505"/>
              <w:tab w:val="right" w:pos="9639"/>
            </w:tabs>
            <w:jc w:val="left"/>
            <w:rPr>
              <w:rFonts w:ascii="Arial" w:hAnsi="Arial" w:cs="Arial"/>
              <w:b/>
              <w:bCs/>
              <w:szCs w:val="18"/>
              <w:lang w:val="fr-CH"/>
            </w:rPr>
          </w:pPr>
          <w:r w:rsidRPr="005C13D4">
            <w:rPr>
              <w:bCs/>
              <w:lang w:val="fr-CH"/>
            </w:rPr>
            <w:tab/>
          </w:r>
          <w:r w:rsidR="00A52C84" w:rsidRPr="00BA3A51">
            <w:rPr>
              <w:bCs/>
              <w:lang w:val="fr-CH"/>
            </w:rPr>
            <w:t>CWG-</w:t>
          </w:r>
          <w:r w:rsidR="0025570E">
            <w:rPr>
              <w:bCs/>
              <w:lang w:val="fr-CH"/>
            </w:rPr>
            <w:t>COP</w:t>
          </w:r>
          <w:r w:rsidR="00A52C84" w:rsidRPr="00BA3A51">
            <w:rPr>
              <w:bCs/>
              <w:lang w:val="fr-CH"/>
            </w:rPr>
            <w:t>-</w:t>
          </w:r>
          <w:r w:rsidR="0025570E">
            <w:rPr>
              <w:bCs/>
              <w:lang w:val="fr-CH"/>
            </w:rPr>
            <w:t>2</w:t>
          </w:r>
          <w:r w:rsidR="00885408">
            <w:rPr>
              <w:bCs/>
              <w:lang w:val="fr-CH"/>
            </w:rPr>
            <w:t>3</w:t>
          </w:r>
          <w:r w:rsidR="00A52C84" w:rsidRPr="00BA3A51">
            <w:rPr>
              <w:bCs/>
              <w:lang w:val="fr-CH"/>
            </w:rPr>
            <w:t>/</w:t>
          </w:r>
          <w:r w:rsidR="00885408">
            <w:rPr>
              <w:bCs/>
              <w:lang w:val="fr-CH"/>
            </w:rPr>
            <w:t>5</w:t>
          </w:r>
          <w:r w:rsidR="00A52C84" w:rsidRPr="00BA3A51">
            <w:rPr>
              <w:bCs/>
              <w:lang w:val="fr-CH"/>
            </w:rPr>
            <w:t>-E</w:t>
          </w:r>
          <w:r w:rsidRPr="00BA3A51">
            <w:rPr>
              <w:bCs/>
              <w:lang w:val="fr-CH"/>
            </w:rPr>
            <w:tab/>
          </w:r>
          <w:r>
            <w:fldChar w:fldCharType="begin"/>
          </w:r>
          <w:r w:rsidRPr="00BA3A51">
            <w:rPr>
              <w:lang w:val="fr-CH"/>
            </w:rPr>
            <w:instrText>PAGE</w:instrText>
          </w:r>
          <w:r>
            <w:fldChar w:fldCharType="separate"/>
          </w:r>
          <w:r w:rsidRPr="00BA3A51">
            <w:rPr>
              <w:lang w:val="fr-CH"/>
            </w:rPr>
            <w:t>1</w:t>
          </w:r>
          <w:r>
            <w:rPr>
              <w:noProof/>
            </w:rPr>
            <w:fldChar w:fldCharType="end"/>
          </w:r>
        </w:p>
      </w:tc>
    </w:tr>
  </w:tbl>
  <w:p w14:paraId="5FA128D8" w14:textId="77777777" w:rsidR="00EE49E8" w:rsidRPr="00BA3A51" w:rsidRDefault="00EE49E8" w:rsidP="00EE49E8">
    <w:pPr>
      <w:pStyle w:val="Header"/>
      <w:tabs>
        <w:tab w:val="left" w:pos="8080"/>
        <w:tab w:val="right" w:pos="9072"/>
      </w:tabs>
      <w:jc w:val="left"/>
      <w:rPr>
        <w:bCs/>
        <w:lang w:val="fr-CH"/>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7"/>
      <w:gridCol w:w="6957"/>
    </w:tblGrid>
    <w:tr w:rsidR="00EE49E8" w:rsidRPr="00B248BC" w14:paraId="78A593DA" w14:textId="77777777" w:rsidTr="00A52C84">
      <w:trPr>
        <w:jc w:val="center"/>
      </w:trPr>
      <w:tc>
        <w:tcPr>
          <w:tcW w:w="3107" w:type="dxa"/>
          <w:vAlign w:val="center"/>
        </w:tcPr>
        <w:p w14:paraId="2AD600F6" w14:textId="33682AD7" w:rsidR="00EE49E8" w:rsidRPr="00D6261A" w:rsidRDefault="0025570E" w:rsidP="00EE49E8">
          <w:pPr>
            <w:pStyle w:val="Header"/>
            <w:jc w:val="left"/>
            <w:rPr>
              <w:noProof/>
            </w:rPr>
          </w:pPr>
          <w:hyperlink r:id="rId1" w:history="1">
            <w:r w:rsidRPr="00D6261A">
              <w:rPr>
                <w:rStyle w:val="Hyperlink"/>
                <w:u w:val="none"/>
              </w:rPr>
              <w:t>council.itu.int/working-groups</w:t>
            </w:r>
          </w:hyperlink>
        </w:p>
      </w:tc>
      <w:tc>
        <w:tcPr>
          <w:tcW w:w="6957" w:type="dxa"/>
        </w:tcPr>
        <w:p w14:paraId="6EEF97F5" w14:textId="3BEAA27B" w:rsidR="00EE49E8" w:rsidRPr="00BA3A51" w:rsidRDefault="00EE49E8" w:rsidP="0025570E">
          <w:pPr>
            <w:pStyle w:val="Header"/>
            <w:tabs>
              <w:tab w:val="left" w:pos="5008"/>
              <w:tab w:val="right" w:pos="8505"/>
              <w:tab w:val="right" w:pos="9639"/>
            </w:tabs>
            <w:jc w:val="left"/>
            <w:rPr>
              <w:rFonts w:ascii="Arial" w:hAnsi="Arial" w:cs="Arial"/>
              <w:b/>
              <w:bCs/>
              <w:szCs w:val="18"/>
              <w:lang w:val="fr-CH"/>
            </w:rPr>
          </w:pPr>
          <w:r>
            <w:rPr>
              <w:bCs/>
            </w:rPr>
            <w:tab/>
          </w:r>
          <w:r w:rsidRPr="00BA3A51">
            <w:rPr>
              <w:bCs/>
              <w:lang w:val="fr-CH"/>
            </w:rPr>
            <w:t>C</w:t>
          </w:r>
          <w:r w:rsidR="00A52C84" w:rsidRPr="00BA3A51">
            <w:rPr>
              <w:bCs/>
              <w:lang w:val="fr-CH"/>
            </w:rPr>
            <w:t>WG-</w:t>
          </w:r>
          <w:r w:rsidR="0025570E">
            <w:rPr>
              <w:bCs/>
              <w:lang w:val="fr-CH"/>
            </w:rPr>
            <w:t>COP</w:t>
          </w:r>
          <w:r w:rsidR="00A52C84" w:rsidRPr="00BA3A51">
            <w:rPr>
              <w:bCs/>
              <w:lang w:val="fr-CH"/>
            </w:rPr>
            <w:t>-</w:t>
          </w:r>
          <w:r w:rsidR="0025570E">
            <w:rPr>
              <w:bCs/>
              <w:lang w:val="fr-CH"/>
            </w:rPr>
            <w:t>2</w:t>
          </w:r>
          <w:r w:rsidR="00885408">
            <w:rPr>
              <w:bCs/>
              <w:lang w:val="fr-CH"/>
            </w:rPr>
            <w:t>3</w:t>
          </w:r>
          <w:r w:rsidRPr="00BA3A51">
            <w:rPr>
              <w:bCs/>
              <w:lang w:val="fr-CH"/>
            </w:rPr>
            <w:t>/</w:t>
          </w:r>
          <w:r w:rsidR="00885408">
            <w:rPr>
              <w:bCs/>
              <w:lang w:val="fr-CH"/>
            </w:rPr>
            <w:t>5</w:t>
          </w:r>
          <w:r w:rsidRPr="00BA3A51">
            <w:rPr>
              <w:bCs/>
              <w:lang w:val="fr-CH"/>
            </w:rPr>
            <w:t>-E</w:t>
          </w:r>
          <w:r w:rsidRPr="00BA3A51">
            <w:rPr>
              <w:bCs/>
              <w:lang w:val="fr-CH"/>
            </w:rPr>
            <w:tab/>
          </w:r>
          <w:r>
            <w:fldChar w:fldCharType="begin"/>
          </w:r>
          <w:r w:rsidRPr="00BA3A51">
            <w:rPr>
              <w:lang w:val="fr-CH"/>
            </w:rPr>
            <w:instrText>PAGE</w:instrText>
          </w:r>
          <w:r>
            <w:fldChar w:fldCharType="separate"/>
          </w:r>
          <w:r w:rsidRPr="00BA3A51">
            <w:rPr>
              <w:lang w:val="fr-CH"/>
            </w:rPr>
            <w:t>1</w:t>
          </w:r>
          <w:r>
            <w:rPr>
              <w:noProof/>
            </w:rPr>
            <w:fldChar w:fldCharType="end"/>
          </w:r>
        </w:p>
      </w:tc>
    </w:tr>
  </w:tbl>
  <w:p w14:paraId="03260A29" w14:textId="77777777" w:rsidR="00A514A4" w:rsidRPr="00BA3A51" w:rsidRDefault="00A514A4" w:rsidP="00EE49E8">
    <w:pPr>
      <w:pStyle w:val="Header"/>
      <w:tabs>
        <w:tab w:val="left" w:pos="8080"/>
        <w:tab w:val="right" w:pos="9072"/>
      </w:tabs>
      <w:jc w:val="right"/>
      <w:rPr>
        <w:bCs/>
        <w:lang w:val="fr-CH"/>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D8D287" w14:textId="77777777" w:rsidR="00E85115" w:rsidRDefault="00E85115">
      <w:r>
        <w:t>____________________</w:t>
      </w:r>
    </w:p>
  </w:footnote>
  <w:footnote w:type="continuationSeparator" w:id="0">
    <w:p w14:paraId="2BAB7EB3" w14:textId="77777777" w:rsidR="00E85115" w:rsidRDefault="00E851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46"/>
      <w:gridCol w:w="3474"/>
    </w:tblGrid>
    <w:tr w:rsidR="00AD3606" w:rsidRPr="00784011" w14:paraId="08991027" w14:textId="77777777" w:rsidTr="00F74694">
      <w:trPr>
        <w:trHeight w:val="1304"/>
        <w:jc w:val="center"/>
      </w:trPr>
      <w:tc>
        <w:tcPr>
          <w:tcW w:w="6546" w:type="dxa"/>
        </w:tcPr>
        <w:p w14:paraId="1B2DEE1F" w14:textId="77777777" w:rsidR="00AD3606" w:rsidRPr="009621F8" w:rsidRDefault="00D6261A" w:rsidP="00130599">
          <w:pPr>
            <w:pStyle w:val="Header"/>
            <w:jc w:val="left"/>
            <w:rPr>
              <w:rFonts w:ascii="Arial" w:hAnsi="Arial" w:cs="Arial"/>
              <w:b/>
              <w:bCs/>
              <w:color w:val="009CD6"/>
              <w:sz w:val="36"/>
              <w:szCs w:val="36"/>
            </w:rPr>
          </w:pPr>
          <w:bookmarkStart w:id="14" w:name="_Hlk133422111"/>
          <w:r w:rsidRPr="00130599">
            <w:rPr>
              <w:rFonts w:ascii="Arial" w:hAnsi="Arial" w:cs="Arial"/>
              <w:b/>
              <w:bCs/>
              <w:noProof/>
              <w:color w:val="009CD6"/>
              <w:szCs w:val="18"/>
            </w:rPr>
            <mc:AlternateContent>
              <mc:Choice Requires="wps">
                <w:drawing>
                  <wp:anchor distT="0" distB="0" distL="114300" distR="114300" simplePos="0" relativeHeight="251658241" behindDoc="0" locked="0" layoutInCell="1" allowOverlap="1" wp14:anchorId="19D9522F" wp14:editId="30C4224D">
                    <wp:simplePos x="0" y="0"/>
                    <wp:positionH relativeFrom="column">
                      <wp:posOffset>1438331</wp:posOffset>
                    </wp:positionH>
                    <wp:positionV relativeFrom="paragraph">
                      <wp:posOffset>-635</wp:posOffset>
                    </wp:positionV>
                    <wp:extent cx="3999230" cy="471170"/>
                    <wp:effectExtent l="0" t="0" r="1270"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9230" cy="471170"/>
                            </a:xfrm>
                            <a:prstGeom prst="rect">
                              <a:avLst/>
                            </a:prstGeom>
                            <a:solidFill>
                              <a:schemeClr val="bg1"/>
                            </a:solidFill>
                            <a:ln w="9525">
                              <a:noFill/>
                              <a:miter lim="800000"/>
                              <a:headEnd/>
                              <a:tailEnd/>
                            </a:ln>
                          </wps:spPr>
                          <wps:txbx>
                            <w:txbxContent>
                              <w:p w14:paraId="69515966" w14:textId="3BB257C0" w:rsidR="00130599" w:rsidRDefault="000120E4" w:rsidP="000120E4">
                                <w:pPr>
                                  <w:spacing w:before="0"/>
                                </w:pPr>
                                <w:r w:rsidRPr="00F74694">
                                  <w:rPr>
                                    <w:b/>
                                    <w:bCs/>
                                    <w:szCs w:val="24"/>
                                  </w:rPr>
                                  <w:t xml:space="preserve">Council Working Group </w:t>
                                </w:r>
                                <w:r w:rsidRPr="00F74694">
                                  <w:rPr>
                                    <w:b/>
                                    <w:bCs/>
                                    <w:szCs w:val="24"/>
                                  </w:rPr>
                                  <w:br/>
                                  <w:t xml:space="preserve">on </w:t>
                                </w:r>
                                <w:r>
                                  <w:rPr>
                                    <w:b/>
                                    <w:bCs/>
                                    <w:szCs w:val="24"/>
                                  </w:rPr>
                                  <w:t>child online protection</w:t>
                                </w:r>
                                <w:r>
                                  <w:br/>
                                </w:r>
                                <w:r>
                                  <w:rPr>
                                    <w:sz w:val="20"/>
                                  </w:rPr>
                                  <w:t>Twenty-</w:t>
                                </w:r>
                                <w:r w:rsidR="00D1096E">
                                  <w:rPr>
                                    <w:sz w:val="20"/>
                                  </w:rPr>
                                  <w:t>third</w:t>
                                </w:r>
                                <w:r w:rsidRPr="00130599">
                                  <w:rPr>
                                    <w:sz w:val="20"/>
                                  </w:rPr>
                                  <w:t xml:space="preserve"> meeting </w:t>
                                </w:r>
                                <w:r>
                                  <w:rPr>
                                    <w:sz w:val="20"/>
                                  </w:rPr>
                                  <w:t xml:space="preserve">– </w:t>
                                </w:r>
                                <w:r w:rsidR="00D1096E">
                                  <w:rPr>
                                    <w:sz w:val="20"/>
                                  </w:rPr>
                                  <w:t>16 September</w:t>
                                </w:r>
                                <w:r>
                                  <w:rPr>
                                    <w:sz w:val="20"/>
                                  </w:rPr>
                                  <w:t xml:space="preserve"> 2025</w:t>
                                </w:r>
                              </w:p>
                            </w:txbxContent>
                          </wps:txbx>
                          <wps:bodyPr rot="0" vert="horz" wrap="square" lIns="3600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19D9522F" id="_x0000_t202" coordsize="21600,21600" o:spt="202" path="m,l,21600r21600,l21600,xe">
                    <v:stroke joinstyle="miter"/>
                    <v:path gradientshapeok="t" o:connecttype="rect"/>
                  </v:shapetype>
                  <v:shape id="Text Box 2" o:spid="_x0000_s1026" type="#_x0000_t202" style="position:absolute;margin-left:113.25pt;margin-top:-.05pt;width:314.9pt;height:37.1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" fillcolor="white [3212]" stroked="f">
                    <v:textbox style="mso-fit-shape-to-text:t" inset="1mm">
                      <w:txbxContent>
                        <w:p w14:paraId="69515966" w14:textId="3BB257C0" w:rsidR="00130599" w:rsidRDefault="000120E4" w:rsidP="000120E4">
                          <w:pPr>
                            <w:spacing w:before="0"/>
                          </w:pPr>
                          <w:r w:rsidRPr="00F74694">
                            <w:rPr>
                              <w:b/>
                              <w:bCs/>
                              <w:szCs w:val="24"/>
                            </w:rPr>
                            <w:t xml:space="preserve">Council Working Group </w:t>
                          </w:r>
                          <w:r w:rsidRPr="00F74694">
                            <w:rPr>
                              <w:b/>
                              <w:bCs/>
                              <w:szCs w:val="24"/>
                            </w:rPr>
                            <w:br/>
                            <w:t xml:space="preserve">on </w:t>
                          </w:r>
                          <w:r>
                            <w:rPr>
                              <w:b/>
                              <w:bCs/>
                              <w:szCs w:val="24"/>
                            </w:rPr>
                            <w:t>child online protection</w:t>
                          </w:r>
                          <w:r>
                            <w:br/>
                          </w:r>
                          <w:r>
                            <w:rPr>
                              <w:sz w:val="20"/>
                            </w:rPr>
                            <w:t>Twenty-</w:t>
                          </w:r>
                          <w:r w:rsidR="00D1096E">
                            <w:rPr>
                              <w:sz w:val="20"/>
                            </w:rPr>
                            <w:t>third</w:t>
                          </w:r>
                          <w:r w:rsidRPr="00130599">
                            <w:rPr>
                              <w:sz w:val="20"/>
                            </w:rPr>
                            <w:t xml:space="preserve"> meeting </w:t>
                          </w:r>
                          <w:r>
                            <w:rPr>
                              <w:sz w:val="20"/>
                            </w:rPr>
                            <w:t xml:space="preserve">– </w:t>
                          </w:r>
                          <w:r w:rsidR="00D1096E">
                            <w:rPr>
                              <w:sz w:val="20"/>
                            </w:rPr>
                            <w:t>16 September</w:t>
                          </w:r>
                          <w:r>
                            <w:rPr>
                              <w:sz w:val="20"/>
                            </w:rPr>
                            <w:t xml:space="preserve"> 2025</w:t>
                          </w:r>
                        </w:p>
                      </w:txbxContent>
                    </v:textbox>
                  </v:shape>
                </w:pict>
              </mc:Fallback>
            </mc:AlternateContent>
          </w:r>
          <w:r>
            <w:rPr>
              <w:rFonts w:ascii="Arial" w:hAnsi="Arial" w:cs="Arial"/>
              <w:b/>
              <w:bCs/>
              <w:noProof/>
              <w:color w:val="009CD6"/>
              <w:sz w:val="36"/>
              <w:szCs w:val="36"/>
            </w:rPr>
            <w:drawing>
              <wp:inline distT="0" distB="0" distL="0" distR="0" wp14:anchorId="4D92F987" wp14:editId="1A7B9460">
                <wp:extent cx="3671597" cy="612000"/>
                <wp:effectExtent l="0" t="0" r="0" b="0"/>
                <wp:docPr id="1218191505" name="Picture 2"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191505" name="Picture 2" descr="A black background with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671597" cy="612000"/>
                        </a:xfrm>
                        <a:prstGeom prst="rect">
                          <a:avLst/>
                        </a:prstGeom>
                      </pic:spPr>
                    </pic:pic>
                  </a:graphicData>
                </a:graphic>
              </wp:inline>
            </w:drawing>
          </w:r>
        </w:p>
      </w:tc>
      <w:tc>
        <w:tcPr>
          <w:tcW w:w="3474" w:type="dxa"/>
        </w:tcPr>
        <w:p w14:paraId="4C14D5B5" w14:textId="77777777" w:rsidR="00AD3606" w:rsidRDefault="00AD3606" w:rsidP="00AD3606">
          <w:pPr>
            <w:pStyle w:val="Header"/>
            <w:jc w:val="right"/>
            <w:rPr>
              <w:rFonts w:ascii="Arial" w:hAnsi="Arial" w:cs="Arial"/>
              <w:b/>
              <w:bCs/>
              <w:color w:val="009CD6"/>
              <w:szCs w:val="18"/>
            </w:rPr>
          </w:pPr>
        </w:p>
        <w:p w14:paraId="56574E4E" w14:textId="77777777" w:rsidR="00AD3606" w:rsidRDefault="00AD3606" w:rsidP="00AD3606">
          <w:pPr>
            <w:pStyle w:val="Header"/>
            <w:jc w:val="right"/>
            <w:rPr>
              <w:rFonts w:ascii="Arial" w:hAnsi="Arial" w:cs="Arial"/>
              <w:b/>
              <w:bCs/>
              <w:color w:val="009CD6"/>
              <w:szCs w:val="18"/>
            </w:rPr>
          </w:pPr>
        </w:p>
        <w:p w14:paraId="6E63E019" w14:textId="77777777" w:rsidR="00AD3606" w:rsidRPr="00784011" w:rsidRDefault="00AD3606" w:rsidP="00AD3606">
          <w:pPr>
            <w:pStyle w:val="Header"/>
            <w:jc w:val="right"/>
            <w:rPr>
              <w:rFonts w:ascii="Arial" w:hAnsi="Arial" w:cs="Arial"/>
              <w:color w:val="009CD6"/>
              <w:szCs w:val="18"/>
            </w:rPr>
          </w:pPr>
          <w:r w:rsidRPr="00BC6276">
            <w:rPr>
              <w:rFonts w:ascii="Arial" w:hAnsi="Arial" w:cs="Arial"/>
              <w:b/>
              <w:bCs/>
              <w:color w:val="009CD6"/>
              <w:szCs w:val="18"/>
            </w:rPr>
            <w:t xml:space="preserve"> </w:t>
          </w:r>
        </w:p>
      </w:tc>
    </w:tr>
  </w:tbl>
  <w:bookmarkEnd w:id="14"/>
  <w:p w14:paraId="730D5F63" w14:textId="77777777" w:rsidR="00AD3606" w:rsidRDefault="00DB00D5">
    <w:pPr>
      <w:pStyle w:val="Header"/>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8240" behindDoc="0" locked="0" layoutInCell="1" allowOverlap="1" wp14:anchorId="11F7E2AC" wp14:editId="6DBF9202">
              <wp:simplePos x="0" y="0"/>
              <wp:positionH relativeFrom="page">
                <wp:posOffset>14605</wp:posOffset>
              </wp:positionH>
              <wp:positionV relativeFrom="topMargin">
                <wp:posOffset>555625</wp:posOffset>
              </wp:positionV>
              <wp:extent cx="93345" cy="431800"/>
              <wp:effectExtent l="0" t="0" r="1905" b="63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43180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85DDC9" id="Rectangle 5" o:spid="_x0000_s1026" style="position:absolute;margin-left:1.15pt;margin-top:43.75pt;width:7.35pt;height:3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" fillcolor="#009cd5" stroked="f">
              <w10:wrap anchorx="page"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26C219D2"/>
    <w:multiLevelType w:val="multilevel"/>
    <w:tmpl w:val="D6F28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8D65049"/>
    <w:multiLevelType w:val="multilevel"/>
    <w:tmpl w:val="CD64086C"/>
    <w:lvl w:ilvl="0">
      <w:start w:val="5"/>
      <w:numFmt w:val="decimal"/>
      <w:lvlText w:val="%1"/>
      <w:lvlJc w:val="left"/>
      <w:pPr>
        <w:ind w:left="720" w:hanging="360"/>
      </w:pPr>
    </w:lvl>
    <w:lvl w:ilvl="1">
      <w:start w:val="1"/>
      <w:numFmt w:val="decimal"/>
      <w:lvlText w:val="%1.%2"/>
      <w:lvlJc w:val="left"/>
      <w:pPr>
        <w:ind w:left="360" w:hanging="360"/>
      </w:pPr>
      <w:rPr>
        <w:color w:val="000000" w:themeColor="text1"/>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 w15:restartNumberingAfterBreak="0">
    <w:nsid w:val="6A075CC1"/>
    <w:multiLevelType w:val="multilevel"/>
    <w:tmpl w:val="56568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0596486"/>
    <w:multiLevelType w:val="hybridMultilevel"/>
    <w:tmpl w:val="34ECAEEC"/>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123F828"/>
    <w:multiLevelType w:val="hybridMultilevel"/>
    <w:tmpl w:val="975C438E"/>
    <w:lvl w:ilvl="0" w:tplc="E9F4F9EA">
      <w:start w:val="1"/>
      <w:numFmt w:val="decimal"/>
      <w:lvlText w:val="%1."/>
      <w:lvlJc w:val="left"/>
      <w:pPr>
        <w:ind w:left="720" w:hanging="360"/>
      </w:pPr>
    </w:lvl>
    <w:lvl w:ilvl="1" w:tplc="4C5CBE74">
      <w:start w:val="1"/>
      <w:numFmt w:val="lowerLetter"/>
      <w:lvlText w:val="%2."/>
      <w:lvlJc w:val="left"/>
      <w:pPr>
        <w:ind w:left="1440" w:hanging="360"/>
      </w:pPr>
    </w:lvl>
    <w:lvl w:ilvl="2" w:tplc="01F67F64">
      <w:start w:val="1"/>
      <w:numFmt w:val="lowerRoman"/>
      <w:lvlText w:val="%3."/>
      <w:lvlJc w:val="right"/>
      <w:pPr>
        <w:ind w:left="2160" w:hanging="180"/>
      </w:pPr>
    </w:lvl>
    <w:lvl w:ilvl="3" w:tplc="A5D2D182">
      <w:start w:val="1"/>
      <w:numFmt w:val="decimal"/>
      <w:lvlText w:val="%4."/>
      <w:lvlJc w:val="left"/>
      <w:pPr>
        <w:ind w:left="2880" w:hanging="360"/>
      </w:pPr>
    </w:lvl>
    <w:lvl w:ilvl="4" w:tplc="F79242F0">
      <w:start w:val="1"/>
      <w:numFmt w:val="lowerLetter"/>
      <w:lvlText w:val="%5."/>
      <w:lvlJc w:val="left"/>
      <w:pPr>
        <w:ind w:left="3600" w:hanging="360"/>
      </w:pPr>
    </w:lvl>
    <w:lvl w:ilvl="5" w:tplc="3CD666E8">
      <w:start w:val="1"/>
      <w:numFmt w:val="lowerRoman"/>
      <w:lvlText w:val="%6."/>
      <w:lvlJc w:val="right"/>
      <w:pPr>
        <w:ind w:left="4320" w:hanging="180"/>
      </w:pPr>
    </w:lvl>
    <w:lvl w:ilvl="6" w:tplc="2AD80AC4">
      <w:start w:val="1"/>
      <w:numFmt w:val="decimal"/>
      <w:lvlText w:val="%7."/>
      <w:lvlJc w:val="left"/>
      <w:pPr>
        <w:ind w:left="5040" w:hanging="360"/>
      </w:pPr>
    </w:lvl>
    <w:lvl w:ilvl="7" w:tplc="76761E70">
      <w:start w:val="1"/>
      <w:numFmt w:val="lowerLetter"/>
      <w:lvlText w:val="%8."/>
      <w:lvlJc w:val="left"/>
      <w:pPr>
        <w:ind w:left="5760" w:hanging="360"/>
      </w:pPr>
    </w:lvl>
    <w:lvl w:ilvl="8" w:tplc="39DE728C">
      <w:start w:val="1"/>
      <w:numFmt w:val="lowerRoman"/>
      <w:lvlText w:val="%9."/>
      <w:lvlJc w:val="right"/>
      <w:pPr>
        <w:ind w:left="6480" w:hanging="180"/>
      </w:pPr>
    </w:lvl>
  </w:abstractNum>
  <w:num w:numId="1" w16cid:durableId="1374816267">
    <w:abstractNumId w:val="0"/>
  </w:num>
  <w:num w:numId="2" w16cid:durableId="482431424">
    <w:abstractNumId w:val="2"/>
  </w:num>
  <w:num w:numId="3" w16cid:durableId="11803067">
    <w:abstractNumId w:val="4"/>
  </w:num>
  <w:num w:numId="4" w16cid:durableId="2049259217">
    <w:abstractNumId w:val="3"/>
  </w:num>
  <w:num w:numId="5" w16cid:durableId="1999186164">
    <w:abstractNumId w:val="5"/>
  </w:num>
  <w:num w:numId="6" w16cid:durableId="8365306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09"/>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115"/>
    <w:rsid w:val="00007074"/>
    <w:rsid w:val="000120E4"/>
    <w:rsid w:val="00014610"/>
    <w:rsid w:val="000210D4"/>
    <w:rsid w:val="00045A3B"/>
    <w:rsid w:val="00054063"/>
    <w:rsid w:val="0005591B"/>
    <w:rsid w:val="00056713"/>
    <w:rsid w:val="00063016"/>
    <w:rsid w:val="000642EB"/>
    <w:rsid w:val="00066795"/>
    <w:rsid w:val="00073D2C"/>
    <w:rsid w:val="00076AF6"/>
    <w:rsid w:val="00085CF2"/>
    <w:rsid w:val="000877D7"/>
    <w:rsid w:val="00096C1C"/>
    <w:rsid w:val="000B1705"/>
    <w:rsid w:val="000C6375"/>
    <w:rsid w:val="000D75B2"/>
    <w:rsid w:val="000E65E8"/>
    <w:rsid w:val="000F5620"/>
    <w:rsid w:val="001121F5"/>
    <w:rsid w:val="00125DEE"/>
    <w:rsid w:val="00127FA4"/>
    <w:rsid w:val="00130599"/>
    <w:rsid w:val="001400DC"/>
    <w:rsid w:val="00140CE1"/>
    <w:rsid w:val="00147C54"/>
    <w:rsid w:val="001616EF"/>
    <w:rsid w:val="0017539C"/>
    <w:rsid w:val="00175AC2"/>
    <w:rsid w:val="0017609F"/>
    <w:rsid w:val="00190630"/>
    <w:rsid w:val="00196F62"/>
    <w:rsid w:val="001A2BEE"/>
    <w:rsid w:val="001A7D1D"/>
    <w:rsid w:val="001B243D"/>
    <w:rsid w:val="001B51DD"/>
    <w:rsid w:val="001C628E"/>
    <w:rsid w:val="001D18CE"/>
    <w:rsid w:val="001E0F7B"/>
    <w:rsid w:val="001E0FBE"/>
    <w:rsid w:val="001E3D26"/>
    <w:rsid w:val="001E5FE7"/>
    <w:rsid w:val="00205628"/>
    <w:rsid w:val="002119FD"/>
    <w:rsid w:val="002130E0"/>
    <w:rsid w:val="00220196"/>
    <w:rsid w:val="00227BC0"/>
    <w:rsid w:val="0023059F"/>
    <w:rsid w:val="00244F7F"/>
    <w:rsid w:val="002512CD"/>
    <w:rsid w:val="0025570E"/>
    <w:rsid w:val="002637F6"/>
    <w:rsid w:val="00264425"/>
    <w:rsid w:val="00265875"/>
    <w:rsid w:val="00270E3E"/>
    <w:rsid w:val="0027303B"/>
    <w:rsid w:val="0028109B"/>
    <w:rsid w:val="00282679"/>
    <w:rsid w:val="002875BA"/>
    <w:rsid w:val="002A2188"/>
    <w:rsid w:val="002B1F58"/>
    <w:rsid w:val="002C1C7A"/>
    <w:rsid w:val="002C38EA"/>
    <w:rsid w:val="002C54E2"/>
    <w:rsid w:val="002E0AC3"/>
    <w:rsid w:val="0030160F"/>
    <w:rsid w:val="003145DF"/>
    <w:rsid w:val="00314AF9"/>
    <w:rsid w:val="00320223"/>
    <w:rsid w:val="00322D0D"/>
    <w:rsid w:val="00326D3F"/>
    <w:rsid w:val="00357A9E"/>
    <w:rsid w:val="00361465"/>
    <w:rsid w:val="00381D47"/>
    <w:rsid w:val="00384628"/>
    <w:rsid w:val="003877F5"/>
    <w:rsid w:val="003942D4"/>
    <w:rsid w:val="0039514F"/>
    <w:rsid w:val="003958A8"/>
    <w:rsid w:val="003B29C2"/>
    <w:rsid w:val="003C20CA"/>
    <w:rsid w:val="003C2533"/>
    <w:rsid w:val="003D5A7F"/>
    <w:rsid w:val="003D635C"/>
    <w:rsid w:val="004016E2"/>
    <w:rsid w:val="0040435A"/>
    <w:rsid w:val="00416A24"/>
    <w:rsid w:val="0042059E"/>
    <w:rsid w:val="00431D9E"/>
    <w:rsid w:val="00433204"/>
    <w:rsid w:val="004338BE"/>
    <w:rsid w:val="00433CE8"/>
    <w:rsid w:val="00434A5C"/>
    <w:rsid w:val="004403B3"/>
    <w:rsid w:val="00444DAB"/>
    <w:rsid w:val="004544D9"/>
    <w:rsid w:val="00454575"/>
    <w:rsid w:val="00472BAD"/>
    <w:rsid w:val="004741FE"/>
    <w:rsid w:val="00484009"/>
    <w:rsid w:val="00490E72"/>
    <w:rsid w:val="00491157"/>
    <w:rsid w:val="004921C8"/>
    <w:rsid w:val="00495B0B"/>
    <w:rsid w:val="004A1B8B"/>
    <w:rsid w:val="004D1851"/>
    <w:rsid w:val="004D3498"/>
    <w:rsid w:val="004D599D"/>
    <w:rsid w:val="004E2EA5"/>
    <w:rsid w:val="004E3AEB"/>
    <w:rsid w:val="0050223C"/>
    <w:rsid w:val="00515F3C"/>
    <w:rsid w:val="005243FF"/>
    <w:rsid w:val="005311D6"/>
    <w:rsid w:val="00536422"/>
    <w:rsid w:val="00546319"/>
    <w:rsid w:val="00550431"/>
    <w:rsid w:val="00564FBC"/>
    <w:rsid w:val="005800BC"/>
    <w:rsid w:val="00580FC7"/>
    <w:rsid w:val="00582442"/>
    <w:rsid w:val="00597237"/>
    <w:rsid w:val="005A335D"/>
    <w:rsid w:val="005B12D7"/>
    <w:rsid w:val="005B7604"/>
    <w:rsid w:val="005C13D4"/>
    <w:rsid w:val="005E2BD5"/>
    <w:rsid w:val="005F3269"/>
    <w:rsid w:val="005F4909"/>
    <w:rsid w:val="0060700A"/>
    <w:rsid w:val="006174DF"/>
    <w:rsid w:val="00623AE3"/>
    <w:rsid w:val="00637557"/>
    <w:rsid w:val="00642550"/>
    <w:rsid w:val="00643681"/>
    <w:rsid w:val="0064737F"/>
    <w:rsid w:val="006535F1"/>
    <w:rsid w:val="0065557D"/>
    <w:rsid w:val="00656895"/>
    <w:rsid w:val="00660D50"/>
    <w:rsid w:val="006627DA"/>
    <w:rsid w:val="00662984"/>
    <w:rsid w:val="006637DC"/>
    <w:rsid w:val="006716B6"/>
    <w:rsid w:val="006716BB"/>
    <w:rsid w:val="006741D3"/>
    <w:rsid w:val="00682F77"/>
    <w:rsid w:val="00687887"/>
    <w:rsid w:val="006A2D05"/>
    <w:rsid w:val="006A6881"/>
    <w:rsid w:val="006B1859"/>
    <w:rsid w:val="006B6680"/>
    <w:rsid w:val="006B6DCC"/>
    <w:rsid w:val="00701C70"/>
    <w:rsid w:val="00702DEF"/>
    <w:rsid w:val="00706861"/>
    <w:rsid w:val="00710C69"/>
    <w:rsid w:val="00716E61"/>
    <w:rsid w:val="00727EC1"/>
    <w:rsid w:val="00736446"/>
    <w:rsid w:val="007504A2"/>
    <w:rsid w:val="0075051B"/>
    <w:rsid w:val="0076711E"/>
    <w:rsid w:val="00771D22"/>
    <w:rsid w:val="00775655"/>
    <w:rsid w:val="00785052"/>
    <w:rsid w:val="00793188"/>
    <w:rsid w:val="00794D34"/>
    <w:rsid w:val="007B277E"/>
    <w:rsid w:val="007B4CCD"/>
    <w:rsid w:val="007D13F1"/>
    <w:rsid w:val="007D3EE0"/>
    <w:rsid w:val="00806E3C"/>
    <w:rsid w:val="00813E5E"/>
    <w:rsid w:val="00816C2C"/>
    <w:rsid w:val="0083205D"/>
    <w:rsid w:val="0083581B"/>
    <w:rsid w:val="0084618D"/>
    <w:rsid w:val="00856E45"/>
    <w:rsid w:val="00860EED"/>
    <w:rsid w:val="00863874"/>
    <w:rsid w:val="00864AFF"/>
    <w:rsid w:val="00865925"/>
    <w:rsid w:val="00884A6E"/>
    <w:rsid w:val="00885408"/>
    <w:rsid w:val="00891503"/>
    <w:rsid w:val="00892356"/>
    <w:rsid w:val="008A2DEA"/>
    <w:rsid w:val="008B4A6A"/>
    <w:rsid w:val="008C2077"/>
    <w:rsid w:val="008C7E27"/>
    <w:rsid w:val="008D32CE"/>
    <w:rsid w:val="008E20FF"/>
    <w:rsid w:val="008F1A23"/>
    <w:rsid w:val="008F217B"/>
    <w:rsid w:val="008F2930"/>
    <w:rsid w:val="008F3822"/>
    <w:rsid w:val="008F6A9D"/>
    <w:rsid w:val="008F7448"/>
    <w:rsid w:val="0090147A"/>
    <w:rsid w:val="0090389B"/>
    <w:rsid w:val="009173EF"/>
    <w:rsid w:val="00932906"/>
    <w:rsid w:val="00954FC7"/>
    <w:rsid w:val="00961860"/>
    <w:rsid w:val="00961B0B"/>
    <w:rsid w:val="00962CF7"/>
    <w:rsid w:val="00962D33"/>
    <w:rsid w:val="00996D00"/>
    <w:rsid w:val="00997408"/>
    <w:rsid w:val="009A1516"/>
    <w:rsid w:val="009B38C3"/>
    <w:rsid w:val="009D3000"/>
    <w:rsid w:val="009D4973"/>
    <w:rsid w:val="009E17BD"/>
    <w:rsid w:val="009E485A"/>
    <w:rsid w:val="009F3372"/>
    <w:rsid w:val="009F4538"/>
    <w:rsid w:val="00A04CEC"/>
    <w:rsid w:val="00A06A67"/>
    <w:rsid w:val="00A2084D"/>
    <w:rsid w:val="00A27F92"/>
    <w:rsid w:val="00A32257"/>
    <w:rsid w:val="00A36D20"/>
    <w:rsid w:val="00A46CD0"/>
    <w:rsid w:val="00A507A2"/>
    <w:rsid w:val="00A514A4"/>
    <w:rsid w:val="00A52C84"/>
    <w:rsid w:val="00A54E93"/>
    <w:rsid w:val="00A55622"/>
    <w:rsid w:val="00A671CF"/>
    <w:rsid w:val="00A72858"/>
    <w:rsid w:val="00A750AB"/>
    <w:rsid w:val="00A757EC"/>
    <w:rsid w:val="00A83502"/>
    <w:rsid w:val="00A873C4"/>
    <w:rsid w:val="00A95820"/>
    <w:rsid w:val="00AA7B43"/>
    <w:rsid w:val="00AD15B3"/>
    <w:rsid w:val="00AD3606"/>
    <w:rsid w:val="00AD4A3D"/>
    <w:rsid w:val="00AF6E49"/>
    <w:rsid w:val="00B04A67"/>
    <w:rsid w:val="00B0583C"/>
    <w:rsid w:val="00B2300A"/>
    <w:rsid w:val="00B248BC"/>
    <w:rsid w:val="00B26CB0"/>
    <w:rsid w:val="00B33CC0"/>
    <w:rsid w:val="00B358B2"/>
    <w:rsid w:val="00B37375"/>
    <w:rsid w:val="00B40A81"/>
    <w:rsid w:val="00B44910"/>
    <w:rsid w:val="00B50B24"/>
    <w:rsid w:val="00B5156B"/>
    <w:rsid w:val="00B64AFB"/>
    <w:rsid w:val="00B72267"/>
    <w:rsid w:val="00B73DD1"/>
    <w:rsid w:val="00B76EB6"/>
    <w:rsid w:val="00B7737B"/>
    <w:rsid w:val="00B824C8"/>
    <w:rsid w:val="00B849D3"/>
    <w:rsid w:val="00B84B9D"/>
    <w:rsid w:val="00B926EA"/>
    <w:rsid w:val="00B96D1B"/>
    <w:rsid w:val="00BA3A51"/>
    <w:rsid w:val="00BB212D"/>
    <w:rsid w:val="00BC251A"/>
    <w:rsid w:val="00BD032B"/>
    <w:rsid w:val="00BD0614"/>
    <w:rsid w:val="00BD094B"/>
    <w:rsid w:val="00BE10CA"/>
    <w:rsid w:val="00BE2640"/>
    <w:rsid w:val="00BE36FA"/>
    <w:rsid w:val="00BE527C"/>
    <w:rsid w:val="00C0116F"/>
    <w:rsid w:val="00C01189"/>
    <w:rsid w:val="00C06DD9"/>
    <w:rsid w:val="00C1233F"/>
    <w:rsid w:val="00C1476A"/>
    <w:rsid w:val="00C3381D"/>
    <w:rsid w:val="00C374DE"/>
    <w:rsid w:val="00C4108D"/>
    <w:rsid w:val="00C47AD4"/>
    <w:rsid w:val="00C52472"/>
    <w:rsid w:val="00C52D81"/>
    <w:rsid w:val="00C55198"/>
    <w:rsid w:val="00C56BCD"/>
    <w:rsid w:val="00C817A0"/>
    <w:rsid w:val="00C90E1F"/>
    <w:rsid w:val="00C922C7"/>
    <w:rsid w:val="00C937B9"/>
    <w:rsid w:val="00C963DB"/>
    <w:rsid w:val="00CA2D29"/>
    <w:rsid w:val="00CA6393"/>
    <w:rsid w:val="00CB18FF"/>
    <w:rsid w:val="00CC3316"/>
    <w:rsid w:val="00CD03AD"/>
    <w:rsid w:val="00CD0C08"/>
    <w:rsid w:val="00CD3C91"/>
    <w:rsid w:val="00CE03FB"/>
    <w:rsid w:val="00CE433C"/>
    <w:rsid w:val="00CF0161"/>
    <w:rsid w:val="00CF33F3"/>
    <w:rsid w:val="00D028BD"/>
    <w:rsid w:val="00D06183"/>
    <w:rsid w:val="00D1096E"/>
    <w:rsid w:val="00D22BA5"/>
    <w:rsid w:val="00D22C42"/>
    <w:rsid w:val="00D33CCF"/>
    <w:rsid w:val="00D34385"/>
    <w:rsid w:val="00D35540"/>
    <w:rsid w:val="00D45669"/>
    <w:rsid w:val="00D464CC"/>
    <w:rsid w:val="00D522F6"/>
    <w:rsid w:val="00D54B16"/>
    <w:rsid w:val="00D6261A"/>
    <w:rsid w:val="00D62A68"/>
    <w:rsid w:val="00D65041"/>
    <w:rsid w:val="00D95854"/>
    <w:rsid w:val="00DB00D5"/>
    <w:rsid w:val="00DB1936"/>
    <w:rsid w:val="00DB1E27"/>
    <w:rsid w:val="00DB384B"/>
    <w:rsid w:val="00DC51A5"/>
    <w:rsid w:val="00DE6F5C"/>
    <w:rsid w:val="00DE7BE9"/>
    <w:rsid w:val="00DF0189"/>
    <w:rsid w:val="00DF313B"/>
    <w:rsid w:val="00E02ABC"/>
    <w:rsid w:val="00E040CA"/>
    <w:rsid w:val="00E06FD5"/>
    <w:rsid w:val="00E10AAD"/>
    <w:rsid w:val="00E10E80"/>
    <w:rsid w:val="00E124F0"/>
    <w:rsid w:val="00E227F3"/>
    <w:rsid w:val="00E24C19"/>
    <w:rsid w:val="00E3047F"/>
    <w:rsid w:val="00E4728B"/>
    <w:rsid w:val="00E545C6"/>
    <w:rsid w:val="00E60F04"/>
    <w:rsid w:val="00E65B24"/>
    <w:rsid w:val="00E770B9"/>
    <w:rsid w:val="00E8430B"/>
    <w:rsid w:val="00E85115"/>
    <w:rsid w:val="00E854E4"/>
    <w:rsid w:val="00E85572"/>
    <w:rsid w:val="00E86DBF"/>
    <w:rsid w:val="00EB0D6F"/>
    <w:rsid w:val="00EB2232"/>
    <w:rsid w:val="00EC429C"/>
    <w:rsid w:val="00EC5337"/>
    <w:rsid w:val="00EE3EA8"/>
    <w:rsid w:val="00EE49E8"/>
    <w:rsid w:val="00EF2ABF"/>
    <w:rsid w:val="00F16BAB"/>
    <w:rsid w:val="00F2150A"/>
    <w:rsid w:val="00F231D8"/>
    <w:rsid w:val="00F42E76"/>
    <w:rsid w:val="00F44C00"/>
    <w:rsid w:val="00F45D2C"/>
    <w:rsid w:val="00F46C5F"/>
    <w:rsid w:val="00F4700E"/>
    <w:rsid w:val="00F632C0"/>
    <w:rsid w:val="00F74694"/>
    <w:rsid w:val="00F80B07"/>
    <w:rsid w:val="00F833E5"/>
    <w:rsid w:val="00F86596"/>
    <w:rsid w:val="00F93FD4"/>
    <w:rsid w:val="00F94A63"/>
    <w:rsid w:val="00FA1C28"/>
    <w:rsid w:val="00FA3A30"/>
    <w:rsid w:val="00FA40ED"/>
    <w:rsid w:val="00FA4F48"/>
    <w:rsid w:val="00FB1279"/>
    <w:rsid w:val="00FB6B76"/>
    <w:rsid w:val="00FB7596"/>
    <w:rsid w:val="00FC4AF7"/>
    <w:rsid w:val="00FD2079"/>
    <w:rsid w:val="00FD3E06"/>
    <w:rsid w:val="00FE1BC7"/>
    <w:rsid w:val="00FE4077"/>
    <w:rsid w:val="00FE500D"/>
    <w:rsid w:val="00FE77D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378BEB"/>
  <w15:docId w15:val="{63D9AD8D-3090-4D88-824F-06954453C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54575"/>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813E5E"/>
    <w:pPr>
      <w:keepNext/>
      <w:keepLines/>
      <w:spacing w:before="480"/>
      <w:ind w:left="567" w:hanging="567"/>
      <w:outlineLvl w:val="0"/>
    </w:pPr>
    <w:rPr>
      <w:b/>
      <w:sz w:val="28"/>
    </w:rPr>
  </w:style>
  <w:style w:type="paragraph" w:styleId="Heading2">
    <w:name w:val="heading 2"/>
    <w:basedOn w:val="Heading1"/>
    <w:next w:val="Normal"/>
    <w:qFormat/>
    <w:rsid w:val="00813E5E"/>
    <w:pPr>
      <w:spacing w:before="320"/>
      <w:outlineLvl w:val="1"/>
    </w:pPr>
    <w:rPr>
      <w:sz w:val="24"/>
    </w:rPr>
  </w:style>
  <w:style w:type="paragraph" w:styleId="Heading3">
    <w:name w:val="heading 3"/>
    <w:basedOn w:val="Heading1"/>
    <w:next w:val="Normal"/>
    <w:qFormat/>
    <w:rsid w:val="00813E5E"/>
    <w:pPr>
      <w:spacing w:before="200"/>
      <w:outlineLvl w:val="2"/>
    </w:pPr>
    <w:rPr>
      <w:sz w:val="24"/>
    </w:rPr>
  </w:style>
  <w:style w:type="paragraph" w:styleId="Heading4">
    <w:name w:val="heading 4"/>
    <w:basedOn w:val="Heading3"/>
    <w:next w:val="Normal"/>
    <w:qFormat/>
    <w:rsid w:val="00813E5E"/>
    <w:pPr>
      <w:ind w:left="1134" w:hanging="1134"/>
      <w:outlineLvl w:val="3"/>
    </w:pPr>
  </w:style>
  <w:style w:type="paragraph" w:styleId="Heading5">
    <w:name w:val="heading 5"/>
    <w:basedOn w:val="Heading4"/>
    <w:next w:val="Normal"/>
    <w:qFormat/>
    <w:rsid w:val="00813E5E"/>
    <w:pPr>
      <w:outlineLvl w:val="4"/>
    </w:pPr>
  </w:style>
  <w:style w:type="paragraph" w:styleId="Heading6">
    <w:name w:val="heading 6"/>
    <w:basedOn w:val="Heading4"/>
    <w:next w:val="Normal"/>
    <w:qFormat/>
    <w:rsid w:val="00813E5E"/>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813E5E"/>
    <w:pPr>
      <w:ind w:left="1701" w:hanging="1701"/>
      <w:outlineLvl w:val="7"/>
    </w:pPr>
  </w:style>
  <w:style w:type="paragraph" w:styleId="Heading9">
    <w:name w:val="heading 9"/>
    <w:basedOn w:val="Heading4"/>
    <w:next w:val="Normal"/>
    <w:qFormat/>
    <w:rsid w:val="00813E5E"/>
    <w:pPr>
      <w:ind w:left="1701" w:hanging="1701"/>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4D1851"/>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rsid w:val="00813E5E"/>
    <w:pPr>
      <w:keepLines/>
      <w:tabs>
        <w:tab w:val="left" w:pos="256"/>
      </w:tabs>
      <w:ind w:left="256" w:hanging="256"/>
    </w:pPr>
  </w:style>
  <w:style w:type="paragraph" w:styleId="NormalIndent">
    <w:name w:val="Normal Indent"/>
    <w:basedOn w:val="Normal"/>
    <w:rsid w:val="00813E5E"/>
    <w:pPr>
      <w:ind w:left="567"/>
    </w:pPr>
  </w:style>
  <w:style w:type="paragraph" w:customStyle="1" w:styleId="enumlev1">
    <w:name w:val="enumlev1"/>
    <w:basedOn w:val="Normal"/>
    <w:rsid w:val="00813E5E"/>
    <w:pPr>
      <w:spacing w:before="86"/>
      <w:ind w:left="567" w:hanging="567"/>
    </w:pPr>
  </w:style>
  <w:style w:type="paragraph" w:customStyle="1" w:styleId="enumlev2">
    <w:name w:val="enumlev2"/>
    <w:basedOn w:val="enumlev1"/>
    <w:rsid w:val="00813E5E"/>
    <w:pPr>
      <w:ind w:left="1134"/>
    </w:pPr>
  </w:style>
  <w:style w:type="paragraph" w:customStyle="1" w:styleId="enumlev3">
    <w:name w:val="enumlev3"/>
    <w:basedOn w:val="enumlev2"/>
    <w:rsid w:val="00813E5E"/>
    <w:pPr>
      <w:ind w:left="1701"/>
    </w:pPr>
  </w:style>
  <w:style w:type="paragraph" w:customStyle="1" w:styleId="Normalaftertitle">
    <w:name w:val="Normal after title"/>
    <w:basedOn w:val="Normal"/>
    <w:next w:val="Normal"/>
    <w:rsid w:val="00813E5E"/>
    <w:pPr>
      <w:spacing w:before="240"/>
    </w:pPr>
  </w:style>
  <w:style w:type="character" w:customStyle="1" w:styleId="HeaderChar">
    <w:name w:val="Header Char"/>
    <w:basedOn w:val="DefaultParagraphFont"/>
    <w:link w:val="Header"/>
    <w:uiPriority w:val="99"/>
    <w:rsid w:val="005800BC"/>
    <w:rPr>
      <w:rFonts w:ascii="Calibri" w:hAnsi="Calibri"/>
      <w:color w:val="7F7F7F" w:themeColor="text1" w:themeTint="80"/>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E4728B"/>
    <w:pPr>
      <w:framePr w:hSpace="180" w:wrap="around" w:vAnchor="page" w:hAnchor="page" w:x="1821" w:y="2317"/>
      <w:spacing w:before="840"/>
    </w:pPr>
    <w:rPr>
      <w:b/>
      <w:sz w:val="32"/>
      <w:szCs w:val="32"/>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table" w:styleId="TableGrid">
    <w:name w:val="Table Grid"/>
    <w:basedOn w:val="TableNormal"/>
    <w:uiPriority w:val="39"/>
    <w:rsid w:val="00AD360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484009"/>
    <w:rPr>
      <w:color w:val="0563C1"/>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813E5E"/>
    <w:pPr>
      <w:spacing w:before="16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2C54E2"/>
    <w:pPr>
      <w:framePr w:wrap="around"/>
      <w:spacing w:before="240"/>
    </w:pPr>
    <w:rPr>
      <w:b w:val="0"/>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rsid w:val="00813E5E"/>
    <w:pPr>
      <w:spacing w:before="720"/>
      <w:jc w:val="center"/>
    </w:pPr>
    <w:rPr>
      <w:caps/>
      <w:sz w:val="28"/>
    </w:rPr>
  </w:style>
  <w:style w:type="paragraph" w:customStyle="1" w:styleId="Annextitle">
    <w:name w:val="Annex_title"/>
    <w:basedOn w:val="Normal"/>
    <w:next w:val="Normal"/>
    <w:rsid w:val="00813E5E"/>
    <w:pPr>
      <w:spacing w:before="240" w:after="240"/>
      <w:jc w:val="center"/>
    </w:pPr>
    <w:rPr>
      <w:b/>
      <w:sz w:val="28"/>
    </w:rPr>
  </w:style>
  <w:style w:type="paragraph" w:customStyle="1" w:styleId="Annexref">
    <w:name w:val="Annex_ref"/>
    <w:basedOn w:val="Normal"/>
    <w:next w:val="Annextitle"/>
    <w:rsid w:val="00813E5E"/>
    <w:pPr>
      <w:jc w:val="center"/>
    </w:pPr>
  </w:style>
  <w:style w:type="paragraph" w:customStyle="1" w:styleId="AppendixNo">
    <w:name w:val="Appendix_No"/>
    <w:basedOn w:val="AnnexNo"/>
    <w:next w:val="Appendixref"/>
    <w:rsid w:val="00813E5E"/>
  </w:style>
  <w:style w:type="paragraph" w:customStyle="1" w:styleId="Appendixtitle">
    <w:name w:val="Appendix_title"/>
    <w:basedOn w:val="Annextitle"/>
    <w:next w:val="Normal"/>
    <w:rsid w:val="00813E5E"/>
  </w:style>
  <w:style w:type="paragraph" w:customStyle="1" w:styleId="Appendixref">
    <w:name w:val="Appendix_ref"/>
    <w:basedOn w:val="Annexref"/>
    <w:next w:val="Appendixtitle"/>
    <w:rsid w:val="00813E5E"/>
  </w:style>
  <w:style w:type="paragraph" w:customStyle="1" w:styleId="Call">
    <w:name w:val="Call"/>
    <w:basedOn w:val="Normal"/>
    <w:next w:val="Normal"/>
    <w:rsid w:val="00813E5E"/>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Title1"/>
    <w:qFormat/>
    <w:rsid w:val="00DF0189"/>
    <w:pPr>
      <w:framePr w:wrap="around" w:vAnchor="margin" w:hAnchor="text"/>
      <w:spacing w:before="120" w:after="160"/>
    </w:pPr>
  </w:style>
  <w:style w:type="paragraph" w:customStyle="1" w:styleId="Figure">
    <w:name w:val="Figure"/>
    <w:basedOn w:val="Normal"/>
    <w:next w:val="Figuretitle"/>
    <w:rsid w:val="00C922C7"/>
    <w:pPr>
      <w:spacing w:after="240"/>
      <w:jc w:val="center"/>
    </w:pPr>
  </w:style>
  <w:style w:type="paragraph" w:customStyle="1" w:styleId="Figuretitle">
    <w:name w:val="Figure_title"/>
    <w:basedOn w:val="Tabletitle"/>
    <w:next w:val="Normalaftertitle"/>
    <w:rsid w:val="00C922C7"/>
  </w:style>
  <w:style w:type="paragraph" w:customStyle="1" w:styleId="Tabletitle">
    <w:name w:val="Table_title"/>
    <w:basedOn w:val="TableNo"/>
    <w:next w:val="Tabletext"/>
    <w:rsid w:val="00961860"/>
    <w:pPr>
      <w:tabs>
        <w:tab w:val="clear" w:pos="567"/>
        <w:tab w:val="clear" w:pos="1134"/>
        <w:tab w:val="clear" w:pos="1701"/>
        <w:tab w:val="clear" w:pos="2268"/>
        <w:tab w:val="clear" w:pos="2835"/>
        <w:tab w:val="left" w:pos="2948"/>
        <w:tab w:val="left" w:pos="4082"/>
      </w:tabs>
      <w:spacing w:before="120" w:after="120"/>
    </w:pPr>
    <w:rPr>
      <w:b/>
      <w:caps w:val="0"/>
    </w:rPr>
  </w:style>
  <w:style w:type="paragraph" w:customStyle="1" w:styleId="TableNo">
    <w:name w:val="Table_No"/>
    <w:basedOn w:val="Normal"/>
    <w:next w:val="Tabletitle"/>
    <w:rsid w:val="00C922C7"/>
    <w:pPr>
      <w:keepNext/>
      <w:keepLines/>
      <w:spacing w:before="480"/>
      <w:jc w:val="center"/>
    </w:pPr>
    <w:rPr>
      <w:caps/>
    </w:rPr>
  </w:style>
  <w:style w:type="paragraph" w:customStyle="1" w:styleId="Tabletext">
    <w:name w:val="Table_text"/>
    <w:basedOn w:val="Normal"/>
    <w:rsid w:val="00961860"/>
    <w:pPr>
      <w:tabs>
        <w:tab w:val="clear" w:pos="1134"/>
        <w:tab w:val="clear" w:pos="1701"/>
        <w:tab w:val="clear" w:pos="2268"/>
        <w:tab w:val="clear" w:pos="2835"/>
        <w:tab w:val="left" w:pos="284"/>
        <w:tab w:val="left" w:pos="851"/>
      </w:tabs>
      <w:spacing w:before="40" w:after="40"/>
    </w:pPr>
    <w:rPr>
      <w:sz w:val="22"/>
    </w:rPr>
  </w:style>
  <w:style w:type="paragraph" w:customStyle="1" w:styleId="Figurelegend">
    <w:name w:val="Figure_legend"/>
    <w:basedOn w:val="Normal"/>
    <w:rsid w:val="004D1851"/>
    <w:pPr>
      <w:keepNext/>
      <w:keepLines/>
      <w:spacing w:before="20" w:after="20"/>
    </w:pPr>
    <w:rPr>
      <w:sz w:val="18"/>
    </w:rPr>
  </w:style>
  <w:style w:type="paragraph" w:customStyle="1" w:styleId="FigureNo">
    <w:name w:val="Figure_No"/>
    <w:basedOn w:val="Normal"/>
    <w:next w:val="Figuretitle"/>
    <w:rsid w:val="00C922C7"/>
    <w:pPr>
      <w:keepNext/>
      <w:keepLines/>
      <w:spacing w:before="480"/>
      <w:jc w:val="center"/>
    </w:pPr>
    <w:rPr>
      <w:caps/>
    </w:rPr>
  </w:style>
  <w:style w:type="paragraph" w:customStyle="1" w:styleId="Figurewithouttitle">
    <w:name w:val="Figure_without_title"/>
    <w:basedOn w:val="Figure"/>
    <w:next w:val="Normalaftertitle"/>
    <w:rsid w:val="004D1851"/>
  </w:style>
  <w:style w:type="paragraph" w:customStyle="1" w:styleId="Headingi">
    <w:name w:val="Heading_i"/>
    <w:basedOn w:val="Heading3"/>
    <w:next w:val="Normal"/>
    <w:rsid w:val="00813E5E"/>
    <w:pPr>
      <w:spacing w:before="16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961860"/>
    <w:pPr>
      <w:spacing w:before="80" w:after="80"/>
      <w:jc w:val="center"/>
    </w:pPr>
    <w:rPr>
      <w:b/>
    </w:rPr>
  </w:style>
  <w:style w:type="paragraph" w:customStyle="1" w:styleId="Tablelegend">
    <w:name w:val="Table_legend"/>
    <w:basedOn w:val="Tabletext"/>
    <w:rsid w:val="00961860"/>
    <w:rPr>
      <w:sz w:val="20"/>
    </w:r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rsid w:val="00813E5E"/>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813E5E"/>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813E5E"/>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813E5E"/>
  </w:style>
  <w:style w:type="paragraph" w:customStyle="1" w:styleId="Chaptitle">
    <w:name w:val="Chap_title"/>
    <w:basedOn w:val="Arttitle"/>
    <w:next w:val="Normal"/>
    <w:rsid w:val="00813E5E"/>
  </w:style>
  <w:style w:type="character" w:styleId="UnresolvedMention">
    <w:name w:val="Unresolved Mention"/>
    <w:basedOn w:val="DefaultParagraphFont"/>
    <w:uiPriority w:val="99"/>
    <w:semiHidden/>
    <w:unhideWhenUsed/>
    <w:rsid w:val="00806E3C"/>
    <w:rPr>
      <w:color w:val="605E5C"/>
      <w:shd w:val="clear" w:color="auto" w:fill="E1DFDD"/>
    </w:rPr>
  </w:style>
  <w:style w:type="character" w:styleId="PlaceholderText">
    <w:name w:val="Placeholder Text"/>
    <w:basedOn w:val="DefaultParagraphFont"/>
    <w:uiPriority w:val="99"/>
    <w:semiHidden/>
    <w:rsid w:val="00D6261A"/>
    <w:rPr>
      <w:color w:val="666666"/>
    </w:rPr>
  </w:style>
  <w:style w:type="paragraph" w:styleId="ListParagraph">
    <w:name w:val="List Paragraph"/>
    <w:basedOn w:val="Normal"/>
    <w:uiPriority w:val="34"/>
    <w:qFormat/>
    <w:rsid w:val="00227BC0"/>
    <w:pPr>
      <w:ind w:left="720"/>
      <w:contextualSpacing/>
    </w:pPr>
  </w:style>
  <w:style w:type="paragraph" w:styleId="NormalWeb">
    <w:name w:val="Normal (Web)"/>
    <w:basedOn w:val="Normal"/>
    <w:semiHidden/>
    <w:unhideWhenUsed/>
    <w:rsid w:val="00B37375"/>
    <w:rPr>
      <w:rFonts w:ascii="Times New Roman" w:hAnsi="Times New Roman"/>
      <w:szCs w:val="24"/>
    </w:rPr>
  </w:style>
  <w:style w:type="character" w:styleId="CommentReference">
    <w:name w:val="annotation reference"/>
    <w:basedOn w:val="DefaultParagraphFont"/>
    <w:semiHidden/>
    <w:unhideWhenUsed/>
    <w:rsid w:val="00FD2079"/>
    <w:rPr>
      <w:sz w:val="16"/>
      <w:szCs w:val="16"/>
    </w:rPr>
  </w:style>
  <w:style w:type="paragraph" w:styleId="CommentText">
    <w:name w:val="annotation text"/>
    <w:basedOn w:val="Normal"/>
    <w:link w:val="CommentTextChar"/>
    <w:unhideWhenUsed/>
    <w:rsid w:val="00FD2079"/>
    <w:rPr>
      <w:sz w:val="20"/>
    </w:rPr>
  </w:style>
  <w:style w:type="character" w:customStyle="1" w:styleId="CommentTextChar">
    <w:name w:val="Comment Text Char"/>
    <w:basedOn w:val="DefaultParagraphFont"/>
    <w:link w:val="CommentText"/>
    <w:rsid w:val="00FD2079"/>
    <w:rPr>
      <w:rFonts w:ascii="Calibri" w:hAnsi="Calibri"/>
      <w:lang w:val="en-GB" w:eastAsia="en-US"/>
    </w:rPr>
  </w:style>
  <w:style w:type="paragraph" w:styleId="CommentSubject">
    <w:name w:val="annotation subject"/>
    <w:basedOn w:val="CommentText"/>
    <w:next w:val="CommentText"/>
    <w:link w:val="CommentSubjectChar"/>
    <w:semiHidden/>
    <w:unhideWhenUsed/>
    <w:rsid w:val="00FD2079"/>
    <w:rPr>
      <w:b/>
      <w:bCs/>
    </w:rPr>
  </w:style>
  <w:style w:type="character" w:customStyle="1" w:styleId="CommentSubjectChar">
    <w:name w:val="Comment Subject Char"/>
    <w:basedOn w:val="CommentTextChar"/>
    <w:link w:val="CommentSubject"/>
    <w:semiHidden/>
    <w:rsid w:val="00FD2079"/>
    <w:rPr>
      <w:rFonts w:ascii="Calibri" w:hAnsi="Calibri"/>
      <w:b/>
      <w:bCs/>
      <w:lang w:val="en-GB" w:eastAsia="en-US"/>
    </w:rPr>
  </w:style>
  <w:style w:type="paragraph" w:styleId="Signature">
    <w:name w:val="Signature"/>
    <w:basedOn w:val="Normal"/>
    <w:link w:val="SignatureChar"/>
    <w:unhideWhenUsed/>
    <w:rsid w:val="00326D3F"/>
    <w:pPr>
      <w:tabs>
        <w:tab w:val="clear" w:pos="567"/>
        <w:tab w:val="clear" w:pos="1134"/>
        <w:tab w:val="clear" w:pos="1701"/>
        <w:tab w:val="clear" w:pos="2268"/>
        <w:tab w:val="clear" w:pos="2835"/>
        <w:tab w:val="center" w:pos="7371"/>
      </w:tabs>
      <w:spacing w:before="600"/>
    </w:pPr>
    <w:rPr>
      <w:bCs/>
    </w:rPr>
  </w:style>
  <w:style w:type="character" w:customStyle="1" w:styleId="SignatureChar">
    <w:name w:val="Signature Char"/>
    <w:basedOn w:val="DefaultParagraphFont"/>
    <w:link w:val="Signature"/>
    <w:rsid w:val="00326D3F"/>
    <w:rPr>
      <w:rFonts w:ascii="Calibri" w:hAnsi="Calibri"/>
      <w:bCs/>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9979">
      <w:bodyDiv w:val="1"/>
      <w:marLeft w:val="0"/>
      <w:marRight w:val="0"/>
      <w:marTop w:val="0"/>
      <w:marBottom w:val="0"/>
      <w:divBdr>
        <w:top w:val="none" w:sz="0" w:space="0" w:color="auto"/>
        <w:left w:val="none" w:sz="0" w:space="0" w:color="auto"/>
        <w:bottom w:val="none" w:sz="0" w:space="0" w:color="auto"/>
        <w:right w:val="none" w:sz="0" w:space="0" w:color="auto"/>
      </w:divBdr>
    </w:div>
    <w:div w:id="14624905">
      <w:bodyDiv w:val="1"/>
      <w:marLeft w:val="0"/>
      <w:marRight w:val="0"/>
      <w:marTop w:val="0"/>
      <w:marBottom w:val="0"/>
      <w:divBdr>
        <w:top w:val="none" w:sz="0" w:space="0" w:color="auto"/>
        <w:left w:val="none" w:sz="0" w:space="0" w:color="auto"/>
        <w:bottom w:val="none" w:sz="0" w:space="0" w:color="auto"/>
        <w:right w:val="none" w:sz="0" w:space="0" w:color="auto"/>
      </w:divBdr>
    </w:div>
    <w:div w:id="16002788">
      <w:bodyDiv w:val="1"/>
      <w:marLeft w:val="0"/>
      <w:marRight w:val="0"/>
      <w:marTop w:val="0"/>
      <w:marBottom w:val="0"/>
      <w:divBdr>
        <w:top w:val="none" w:sz="0" w:space="0" w:color="auto"/>
        <w:left w:val="none" w:sz="0" w:space="0" w:color="auto"/>
        <w:bottom w:val="none" w:sz="0" w:space="0" w:color="auto"/>
        <w:right w:val="none" w:sz="0" w:space="0" w:color="auto"/>
      </w:divBdr>
    </w:div>
    <w:div w:id="110176004">
      <w:bodyDiv w:val="1"/>
      <w:marLeft w:val="0"/>
      <w:marRight w:val="0"/>
      <w:marTop w:val="0"/>
      <w:marBottom w:val="0"/>
      <w:divBdr>
        <w:top w:val="none" w:sz="0" w:space="0" w:color="auto"/>
        <w:left w:val="none" w:sz="0" w:space="0" w:color="auto"/>
        <w:bottom w:val="none" w:sz="0" w:space="0" w:color="auto"/>
        <w:right w:val="none" w:sz="0" w:space="0" w:color="auto"/>
      </w:divBdr>
    </w:div>
    <w:div w:id="146896684">
      <w:bodyDiv w:val="1"/>
      <w:marLeft w:val="0"/>
      <w:marRight w:val="0"/>
      <w:marTop w:val="0"/>
      <w:marBottom w:val="0"/>
      <w:divBdr>
        <w:top w:val="none" w:sz="0" w:space="0" w:color="auto"/>
        <w:left w:val="none" w:sz="0" w:space="0" w:color="auto"/>
        <w:bottom w:val="none" w:sz="0" w:space="0" w:color="auto"/>
        <w:right w:val="none" w:sz="0" w:space="0" w:color="auto"/>
      </w:divBdr>
    </w:div>
    <w:div w:id="247077046">
      <w:bodyDiv w:val="1"/>
      <w:marLeft w:val="0"/>
      <w:marRight w:val="0"/>
      <w:marTop w:val="0"/>
      <w:marBottom w:val="0"/>
      <w:divBdr>
        <w:top w:val="none" w:sz="0" w:space="0" w:color="auto"/>
        <w:left w:val="none" w:sz="0" w:space="0" w:color="auto"/>
        <w:bottom w:val="none" w:sz="0" w:space="0" w:color="auto"/>
        <w:right w:val="none" w:sz="0" w:space="0" w:color="auto"/>
      </w:divBdr>
    </w:div>
    <w:div w:id="253171097">
      <w:bodyDiv w:val="1"/>
      <w:marLeft w:val="0"/>
      <w:marRight w:val="0"/>
      <w:marTop w:val="0"/>
      <w:marBottom w:val="0"/>
      <w:divBdr>
        <w:top w:val="none" w:sz="0" w:space="0" w:color="auto"/>
        <w:left w:val="none" w:sz="0" w:space="0" w:color="auto"/>
        <w:bottom w:val="none" w:sz="0" w:space="0" w:color="auto"/>
        <w:right w:val="none" w:sz="0" w:space="0" w:color="auto"/>
      </w:divBdr>
    </w:div>
    <w:div w:id="261765172">
      <w:bodyDiv w:val="1"/>
      <w:marLeft w:val="0"/>
      <w:marRight w:val="0"/>
      <w:marTop w:val="0"/>
      <w:marBottom w:val="0"/>
      <w:divBdr>
        <w:top w:val="none" w:sz="0" w:space="0" w:color="auto"/>
        <w:left w:val="none" w:sz="0" w:space="0" w:color="auto"/>
        <w:bottom w:val="none" w:sz="0" w:space="0" w:color="auto"/>
        <w:right w:val="none" w:sz="0" w:space="0" w:color="auto"/>
      </w:divBdr>
    </w:div>
    <w:div w:id="366026067">
      <w:bodyDiv w:val="1"/>
      <w:marLeft w:val="0"/>
      <w:marRight w:val="0"/>
      <w:marTop w:val="0"/>
      <w:marBottom w:val="0"/>
      <w:divBdr>
        <w:top w:val="none" w:sz="0" w:space="0" w:color="auto"/>
        <w:left w:val="none" w:sz="0" w:space="0" w:color="auto"/>
        <w:bottom w:val="none" w:sz="0" w:space="0" w:color="auto"/>
        <w:right w:val="none" w:sz="0" w:space="0" w:color="auto"/>
      </w:divBdr>
    </w:div>
    <w:div w:id="390077735">
      <w:bodyDiv w:val="1"/>
      <w:marLeft w:val="0"/>
      <w:marRight w:val="0"/>
      <w:marTop w:val="0"/>
      <w:marBottom w:val="0"/>
      <w:divBdr>
        <w:top w:val="none" w:sz="0" w:space="0" w:color="auto"/>
        <w:left w:val="none" w:sz="0" w:space="0" w:color="auto"/>
        <w:bottom w:val="none" w:sz="0" w:space="0" w:color="auto"/>
        <w:right w:val="none" w:sz="0" w:space="0" w:color="auto"/>
      </w:divBdr>
    </w:div>
    <w:div w:id="422995461">
      <w:bodyDiv w:val="1"/>
      <w:marLeft w:val="0"/>
      <w:marRight w:val="0"/>
      <w:marTop w:val="0"/>
      <w:marBottom w:val="0"/>
      <w:divBdr>
        <w:top w:val="none" w:sz="0" w:space="0" w:color="auto"/>
        <w:left w:val="none" w:sz="0" w:space="0" w:color="auto"/>
        <w:bottom w:val="none" w:sz="0" w:space="0" w:color="auto"/>
        <w:right w:val="none" w:sz="0" w:space="0" w:color="auto"/>
      </w:divBdr>
    </w:div>
    <w:div w:id="467626974">
      <w:bodyDiv w:val="1"/>
      <w:marLeft w:val="0"/>
      <w:marRight w:val="0"/>
      <w:marTop w:val="0"/>
      <w:marBottom w:val="0"/>
      <w:divBdr>
        <w:top w:val="none" w:sz="0" w:space="0" w:color="auto"/>
        <w:left w:val="none" w:sz="0" w:space="0" w:color="auto"/>
        <w:bottom w:val="none" w:sz="0" w:space="0" w:color="auto"/>
        <w:right w:val="none" w:sz="0" w:space="0" w:color="auto"/>
      </w:divBdr>
    </w:div>
    <w:div w:id="478235008">
      <w:bodyDiv w:val="1"/>
      <w:marLeft w:val="0"/>
      <w:marRight w:val="0"/>
      <w:marTop w:val="0"/>
      <w:marBottom w:val="0"/>
      <w:divBdr>
        <w:top w:val="none" w:sz="0" w:space="0" w:color="auto"/>
        <w:left w:val="none" w:sz="0" w:space="0" w:color="auto"/>
        <w:bottom w:val="none" w:sz="0" w:space="0" w:color="auto"/>
        <w:right w:val="none" w:sz="0" w:space="0" w:color="auto"/>
      </w:divBdr>
    </w:div>
    <w:div w:id="478496815">
      <w:bodyDiv w:val="1"/>
      <w:marLeft w:val="0"/>
      <w:marRight w:val="0"/>
      <w:marTop w:val="0"/>
      <w:marBottom w:val="0"/>
      <w:divBdr>
        <w:top w:val="none" w:sz="0" w:space="0" w:color="auto"/>
        <w:left w:val="none" w:sz="0" w:space="0" w:color="auto"/>
        <w:bottom w:val="none" w:sz="0" w:space="0" w:color="auto"/>
        <w:right w:val="none" w:sz="0" w:space="0" w:color="auto"/>
      </w:divBdr>
    </w:div>
    <w:div w:id="601493847">
      <w:bodyDiv w:val="1"/>
      <w:marLeft w:val="0"/>
      <w:marRight w:val="0"/>
      <w:marTop w:val="0"/>
      <w:marBottom w:val="0"/>
      <w:divBdr>
        <w:top w:val="none" w:sz="0" w:space="0" w:color="auto"/>
        <w:left w:val="none" w:sz="0" w:space="0" w:color="auto"/>
        <w:bottom w:val="none" w:sz="0" w:space="0" w:color="auto"/>
        <w:right w:val="none" w:sz="0" w:space="0" w:color="auto"/>
      </w:divBdr>
    </w:div>
    <w:div w:id="609319414">
      <w:bodyDiv w:val="1"/>
      <w:marLeft w:val="0"/>
      <w:marRight w:val="0"/>
      <w:marTop w:val="0"/>
      <w:marBottom w:val="0"/>
      <w:divBdr>
        <w:top w:val="none" w:sz="0" w:space="0" w:color="auto"/>
        <w:left w:val="none" w:sz="0" w:space="0" w:color="auto"/>
        <w:bottom w:val="none" w:sz="0" w:space="0" w:color="auto"/>
        <w:right w:val="none" w:sz="0" w:space="0" w:color="auto"/>
      </w:divBdr>
    </w:div>
    <w:div w:id="669215605">
      <w:bodyDiv w:val="1"/>
      <w:marLeft w:val="0"/>
      <w:marRight w:val="0"/>
      <w:marTop w:val="0"/>
      <w:marBottom w:val="0"/>
      <w:divBdr>
        <w:top w:val="none" w:sz="0" w:space="0" w:color="auto"/>
        <w:left w:val="none" w:sz="0" w:space="0" w:color="auto"/>
        <w:bottom w:val="none" w:sz="0" w:space="0" w:color="auto"/>
        <w:right w:val="none" w:sz="0" w:space="0" w:color="auto"/>
      </w:divBdr>
    </w:div>
    <w:div w:id="783578027">
      <w:bodyDiv w:val="1"/>
      <w:marLeft w:val="0"/>
      <w:marRight w:val="0"/>
      <w:marTop w:val="0"/>
      <w:marBottom w:val="0"/>
      <w:divBdr>
        <w:top w:val="none" w:sz="0" w:space="0" w:color="auto"/>
        <w:left w:val="none" w:sz="0" w:space="0" w:color="auto"/>
        <w:bottom w:val="none" w:sz="0" w:space="0" w:color="auto"/>
        <w:right w:val="none" w:sz="0" w:space="0" w:color="auto"/>
      </w:divBdr>
    </w:div>
    <w:div w:id="826165221">
      <w:bodyDiv w:val="1"/>
      <w:marLeft w:val="0"/>
      <w:marRight w:val="0"/>
      <w:marTop w:val="0"/>
      <w:marBottom w:val="0"/>
      <w:divBdr>
        <w:top w:val="none" w:sz="0" w:space="0" w:color="auto"/>
        <w:left w:val="none" w:sz="0" w:space="0" w:color="auto"/>
        <w:bottom w:val="none" w:sz="0" w:space="0" w:color="auto"/>
        <w:right w:val="none" w:sz="0" w:space="0" w:color="auto"/>
      </w:divBdr>
    </w:div>
    <w:div w:id="854417001">
      <w:bodyDiv w:val="1"/>
      <w:marLeft w:val="0"/>
      <w:marRight w:val="0"/>
      <w:marTop w:val="0"/>
      <w:marBottom w:val="0"/>
      <w:divBdr>
        <w:top w:val="none" w:sz="0" w:space="0" w:color="auto"/>
        <w:left w:val="none" w:sz="0" w:space="0" w:color="auto"/>
        <w:bottom w:val="none" w:sz="0" w:space="0" w:color="auto"/>
        <w:right w:val="none" w:sz="0" w:space="0" w:color="auto"/>
      </w:divBdr>
    </w:div>
    <w:div w:id="932937695">
      <w:bodyDiv w:val="1"/>
      <w:marLeft w:val="0"/>
      <w:marRight w:val="0"/>
      <w:marTop w:val="0"/>
      <w:marBottom w:val="0"/>
      <w:divBdr>
        <w:top w:val="none" w:sz="0" w:space="0" w:color="auto"/>
        <w:left w:val="none" w:sz="0" w:space="0" w:color="auto"/>
        <w:bottom w:val="none" w:sz="0" w:space="0" w:color="auto"/>
        <w:right w:val="none" w:sz="0" w:space="0" w:color="auto"/>
      </w:divBdr>
    </w:div>
    <w:div w:id="950472977">
      <w:bodyDiv w:val="1"/>
      <w:marLeft w:val="0"/>
      <w:marRight w:val="0"/>
      <w:marTop w:val="0"/>
      <w:marBottom w:val="0"/>
      <w:divBdr>
        <w:top w:val="none" w:sz="0" w:space="0" w:color="auto"/>
        <w:left w:val="none" w:sz="0" w:space="0" w:color="auto"/>
        <w:bottom w:val="none" w:sz="0" w:space="0" w:color="auto"/>
        <w:right w:val="none" w:sz="0" w:space="0" w:color="auto"/>
      </w:divBdr>
    </w:div>
    <w:div w:id="961034219">
      <w:bodyDiv w:val="1"/>
      <w:marLeft w:val="0"/>
      <w:marRight w:val="0"/>
      <w:marTop w:val="0"/>
      <w:marBottom w:val="0"/>
      <w:divBdr>
        <w:top w:val="none" w:sz="0" w:space="0" w:color="auto"/>
        <w:left w:val="none" w:sz="0" w:space="0" w:color="auto"/>
        <w:bottom w:val="none" w:sz="0" w:space="0" w:color="auto"/>
        <w:right w:val="none" w:sz="0" w:space="0" w:color="auto"/>
      </w:divBdr>
    </w:div>
    <w:div w:id="1108695973">
      <w:bodyDiv w:val="1"/>
      <w:marLeft w:val="0"/>
      <w:marRight w:val="0"/>
      <w:marTop w:val="0"/>
      <w:marBottom w:val="0"/>
      <w:divBdr>
        <w:top w:val="none" w:sz="0" w:space="0" w:color="auto"/>
        <w:left w:val="none" w:sz="0" w:space="0" w:color="auto"/>
        <w:bottom w:val="none" w:sz="0" w:space="0" w:color="auto"/>
        <w:right w:val="none" w:sz="0" w:space="0" w:color="auto"/>
      </w:divBdr>
    </w:div>
    <w:div w:id="1119184137">
      <w:bodyDiv w:val="1"/>
      <w:marLeft w:val="0"/>
      <w:marRight w:val="0"/>
      <w:marTop w:val="0"/>
      <w:marBottom w:val="0"/>
      <w:divBdr>
        <w:top w:val="none" w:sz="0" w:space="0" w:color="auto"/>
        <w:left w:val="none" w:sz="0" w:space="0" w:color="auto"/>
        <w:bottom w:val="none" w:sz="0" w:space="0" w:color="auto"/>
        <w:right w:val="none" w:sz="0" w:space="0" w:color="auto"/>
      </w:divBdr>
    </w:div>
    <w:div w:id="1151826899">
      <w:bodyDiv w:val="1"/>
      <w:marLeft w:val="0"/>
      <w:marRight w:val="0"/>
      <w:marTop w:val="0"/>
      <w:marBottom w:val="0"/>
      <w:divBdr>
        <w:top w:val="none" w:sz="0" w:space="0" w:color="auto"/>
        <w:left w:val="none" w:sz="0" w:space="0" w:color="auto"/>
        <w:bottom w:val="none" w:sz="0" w:space="0" w:color="auto"/>
        <w:right w:val="none" w:sz="0" w:space="0" w:color="auto"/>
      </w:divBdr>
    </w:div>
    <w:div w:id="1326973201">
      <w:bodyDiv w:val="1"/>
      <w:marLeft w:val="0"/>
      <w:marRight w:val="0"/>
      <w:marTop w:val="0"/>
      <w:marBottom w:val="0"/>
      <w:divBdr>
        <w:top w:val="none" w:sz="0" w:space="0" w:color="auto"/>
        <w:left w:val="none" w:sz="0" w:space="0" w:color="auto"/>
        <w:bottom w:val="none" w:sz="0" w:space="0" w:color="auto"/>
        <w:right w:val="none" w:sz="0" w:space="0" w:color="auto"/>
      </w:divBdr>
    </w:div>
    <w:div w:id="1359114247">
      <w:bodyDiv w:val="1"/>
      <w:marLeft w:val="0"/>
      <w:marRight w:val="0"/>
      <w:marTop w:val="0"/>
      <w:marBottom w:val="0"/>
      <w:divBdr>
        <w:top w:val="none" w:sz="0" w:space="0" w:color="auto"/>
        <w:left w:val="none" w:sz="0" w:space="0" w:color="auto"/>
        <w:bottom w:val="none" w:sz="0" w:space="0" w:color="auto"/>
        <w:right w:val="none" w:sz="0" w:space="0" w:color="auto"/>
      </w:divBdr>
    </w:div>
    <w:div w:id="1673024996">
      <w:bodyDiv w:val="1"/>
      <w:marLeft w:val="0"/>
      <w:marRight w:val="0"/>
      <w:marTop w:val="0"/>
      <w:marBottom w:val="0"/>
      <w:divBdr>
        <w:top w:val="none" w:sz="0" w:space="0" w:color="auto"/>
        <w:left w:val="none" w:sz="0" w:space="0" w:color="auto"/>
        <w:bottom w:val="none" w:sz="0" w:space="0" w:color="auto"/>
        <w:right w:val="none" w:sz="0" w:space="0" w:color="auto"/>
      </w:divBdr>
    </w:div>
    <w:div w:id="1734888385">
      <w:bodyDiv w:val="1"/>
      <w:marLeft w:val="0"/>
      <w:marRight w:val="0"/>
      <w:marTop w:val="0"/>
      <w:marBottom w:val="0"/>
      <w:divBdr>
        <w:top w:val="none" w:sz="0" w:space="0" w:color="auto"/>
        <w:left w:val="none" w:sz="0" w:space="0" w:color="auto"/>
        <w:bottom w:val="none" w:sz="0" w:space="0" w:color="auto"/>
        <w:right w:val="none" w:sz="0" w:space="0" w:color="auto"/>
      </w:divBdr>
    </w:div>
    <w:div w:id="1747192148">
      <w:bodyDiv w:val="1"/>
      <w:marLeft w:val="0"/>
      <w:marRight w:val="0"/>
      <w:marTop w:val="0"/>
      <w:marBottom w:val="0"/>
      <w:divBdr>
        <w:top w:val="none" w:sz="0" w:space="0" w:color="auto"/>
        <w:left w:val="none" w:sz="0" w:space="0" w:color="auto"/>
        <w:bottom w:val="none" w:sz="0" w:space="0" w:color="auto"/>
        <w:right w:val="none" w:sz="0" w:space="0" w:color="auto"/>
      </w:divBdr>
    </w:div>
    <w:div w:id="1755274760">
      <w:bodyDiv w:val="1"/>
      <w:marLeft w:val="0"/>
      <w:marRight w:val="0"/>
      <w:marTop w:val="0"/>
      <w:marBottom w:val="0"/>
      <w:divBdr>
        <w:top w:val="none" w:sz="0" w:space="0" w:color="auto"/>
        <w:left w:val="none" w:sz="0" w:space="0" w:color="auto"/>
        <w:bottom w:val="none" w:sz="0" w:space="0" w:color="auto"/>
        <w:right w:val="none" w:sz="0" w:space="0" w:color="auto"/>
      </w:divBdr>
    </w:div>
    <w:div w:id="1778064595">
      <w:bodyDiv w:val="1"/>
      <w:marLeft w:val="0"/>
      <w:marRight w:val="0"/>
      <w:marTop w:val="0"/>
      <w:marBottom w:val="0"/>
      <w:divBdr>
        <w:top w:val="none" w:sz="0" w:space="0" w:color="auto"/>
        <w:left w:val="none" w:sz="0" w:space="0" w:color="auto"/>
        <w:bottom w:val="none" w:sz="0" w:space="0" w:color="auto"/>
        <w:right w:val="none" w:sz="0" w:space="0" w:color="auto"/>
      </w:divBdr>
    </w:div>
    <w:div w:id="2106537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itu.int/md/meetingdoc.asp?lang=en&amp;parent=S25-CLCWGCOP23-INF-0002" TargetMode="External"/><Relationship Id="rId18" Type="http://schemas.openxmlformats.org/officeDocument/2006/relationships/hyperlink" Target="https://www.itu.int/md/meetingdoc.asp?lang=en&amp;parent=S25-CLCWGCOP23-C-0002" TargetMode="External"/><Relationship Id="rId26" Type="http://schemas.openxmlformats.org/officeDocument/2006/relationships/hyperlink" Target="https://www.itu.int/md/meetingdoc.asp?lang=en&amp;parent=S25-CLCWGCOP23-INF-0009" TargetMode="External"/><Relationship Id="rId39" Type="http://schemas.openxmlformats.org/officeDocument/2006/relationships/hyperlink" Target="https://www.itu.int/md/S25-CLCWGCOP23-C-0004/en" TargetMode="External"/><Relationship Id="rId21" Type="http://schemas.openxmlformats.org/officeDocument/2006/relationships/hyperlink" Target="https://www.itu.int/md/meetingdoc.asp?lang=en&amp;parent=S25-CLCWGCOP23-INF-0008" TargetMode="External"/><Relationship Id="rId34" Type="http://schemas.openxmlformats.org/officeDocument/2006/relationships/hyperlink" Target="https://view.officeapps.live.com/op/view.aspx?src=https%3A%2F%2Fwww.itu.int%2Fdms_pub%2Fitu-s%2Fmd%2F25%2Fcwgwsis43%2Fc%2FS25-CWGWSIS43-C-0018!!MSW-E.docx&amp;wdOrigin=BROWSELINK" TargetMode="External"/><Relationship Id="rId42" Type="http://schemas.openxmlformats.org/officeDocument/2006/relationships/footer" Target="foot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itu.int/md/meetingdoc.asp?lang=en&amp;parent=S25-CLCWGCOP23-C-0004" TargetMode="External"/><Relationship Id="rId29" Type="http://schemas.openxmlformats.org/officeDocument/2006/relationships/hyperlink" Target="https://www.itu.int/md/S25-CLCWGCOP23-INF-0001/e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tu.int/en/council/cwg-cop/Pages/default.aspx" TargetMode="External"/><Relationship Id="rId24" Type="http://schemas.openxmlformats.org/officeDocument/2006/relationships/hyperlink" Target="https://www.itu.int/md/meetingdoc.asp?lang=en&amp;parent=S25-CLCWGCOP23-INF-0002" TargetMode="External"/><Relationship Id="rId32" Type="http://schemas.openxmlformats.org/officeDocument/2006/relationships/hyperlink" Target="https://www.itu.int/md/meetingdoc.asp?lang=en&amp;parent=S25-CLCWGCOP23-INF-0006" TargetMode="External"/><Relationship Id="rId37" Type="http://schemas.openxmlformats.org/officeDocument/2006/relationships/hyperlink" Target="https://www.itu.int/dms_pub/itu-s/md/25/clcwgcop23/inf/S25-CLCWGCOP23-INF-0005!!PPT-E.pptx" TargetMode="External"/><Relationship Id="rId40" Type="http://schemas.openxmlformats.org/officeDocument/2006/relationships/hyperlink" Target="https://www.itu.int/dms_pub/itu-s/md/25/clcwgcop23/c/S25-CLCWGCOP23-C-0003!!MSW-E.docx" TargetMode="Externa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itu.int/md/meetingdoc.asp?lang=en&amp;parent=S25-CLCWGCOP23-INF-0009" TargetMode="External"/><Relationship Id="rId23" Type="http://schemas.openxmlformats.org/officeDocument/2006/relationships/hyperlink" Target="https://www.itu.int/md/meetingdoc.asp?lang=en&amp;parent=S25-CLCWGCOP23-INF-0003" TargetMode="External"/><Relationship Id="rId28" Type="http://schemas.openxmlformats.org/officeDocument/2006/relationships/hyperlink" Target="https://www.itu.int/dms_pub/itu-s/md/25/clcwgcop23/c/S25-CLCWGCOP23-C-0003!!MSW-E.docx" TargetMode="External"/><Relationship Id="rId36" Type="http://schemas.openxmlformats.org/officeDocument/2006/relationships/hyperlink" Target="https://www.itu.int/dms_pub/itu-s/md/25/clcwgcop23/inf/S25-CLCWGCOP23-INF-0002!!MSW-E.docx" TargetMode="External"/><Relationship Id="rId10" Type="http://schemas.openxmlformats.org/officeDocument/2006/relationships/endnotes" Target="endnotes.xml"/><Relationship Id="rId19" Type="http://schemas.openxmlformats.org/officeDocument/2006/relationships/hyperlink" Target="https://www.itu.int/md/meetingdoc.asp?lang=en&amp;parent=S25-CLCWGCOP23-INF-0004" TargetMode="External"/><Relationship Id="rId31" Type="http://schemas.openxmlformats.org/officeDocument/2006/relationships/hyperlink" Target="https://www.itu.int/md/meetingdoc.asp?lang=en&amp;parent=S25-CLCWGCOP23-INF-0004" TargetMode="External"/><Relationship Id="rId44"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md/meetingdoc.asp?lang=en&amp;parent=S25-CLCWGCOP23-INF-0005" TargetMode="External"/><Relationship Id="rId22" Type="http://schemas.openxmlformats.org/officeDocument/2006/relationships/hyperlink" Target="https://view.officeapps.live.com/op/view.aspx?src=https%3A%2F%2Fwww.itu.int%2Fdms_pub%2Fitu-s%2Fmd%2F25%2Fcwgwsis43%2Fc%2FS25-CWGWSIS43-C-0018!!MSW-E.docx&amp;wdOrigin=BROWSELINK" TargetMode="External"/><Relationship Id="rId27" Type="http://schemas.openxmlformats.org/officeDocument/2006/relationships/hyperlink" Target="https://www.itu.int/md/S25-CLCWGCOP23-C-0004/en" TargetMode="External"/><Relationship Id="rId30" Type="http://schemas.openxmlformats.org/officeDocument/2006/relationships/hyperlink" Target="https://www.itu.int/md/meetingdoc.asp?lang=en&amp;parent=S25-CLCWGCOP23-C-0002" TargetMode="External"/><Relationship Id="rId35" Type="http://schemas.openxmlformats.org/officeDocument/2006/relationships/hyperlink" Target="https://www.itu.int/md/meetingdoc.asp?lang=en&amp;parent=S25-CLCWGCOP23-INF-0003" TargetMode="External"/><Relationship Id="rId43"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itu.int/md/meetingdoc.asp?lang=en&amp;parent=S25-CLCWGCOP23-C-0001" TargetMode="External"/><Relationship Id="rId17" Type="http://schemas.openxmlformats.org/officeDocument/2006/relationships/hyperlink" Target="https://www.itu.int/md/meetingdoc.asp?lang=en&amp;parent=S25-CLCWGCOP23-C-0003" TargetMode="External"/><Relationship Id="rId25" Type="http://schemas.openxmlformats.org/officeDocument/2006/relationships/hyperlink" Target="https://www.itu.int/md/meetingdoc.asp?lang=en&amp;parent=S25-CLCWGCOP23-INF-0005" TargetMode="External"/><Relationship Id="rId33" Type="http://schemas.openxmlformats.org/officeDocument/2006/relationships/hyperlink" Target="https://www.itu.int/md/meetingdoc.asp?lang=en&amp;parent=S25-CLCWGCOP23-INF-0008" TargetMode="External"/><Relationship Id="rId38" Type="http://schemas.openxmlformats.org/officeDocument/2006/relationships/hyperlink" Target="https://www.itu.int/md/meetingdoc.asp?lang=en&amp;parent=S25-CLCWGCOP23-INF-0009" TargetMode="External"/><Relationship Id="rId46" Type="http://schemas.openxmlformats.org/officeDocument/2006/relationships/theme" Target="theme/theme1.xml"/><Relationship Id="rId20" Type="http://schemas.openxmlformats.org/officeDocument/2006/relationships/hyperlink" Target="https://www.itu.int/md/meetingdoc.asp?lang=en&amp;parent=S25-CLCWGCOP23-INF-0006" TargetMode="External"/><Relationship Id="rId41" Type="http://schemas.openxmlformats.org/officeDocument/2006/relationships/hyperlink" Target="https://www.itu.int/md/S25-CLCWGCOP23-INF-0001/en"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working-group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A20BCD90392CE4983D33C8AE8606CB9" ma:contentTypeVersion="17" ma:contentTypeDescription="Create a new document." ma:contentTypeScope="" ma:versionID="a48ac44246b37583e71f2d97a8e93564">
  <xsd:schema xmlns:xsd="http://www.w3.org/2001/XMLSchema" xmlns:xs="http://www.w3.org/2001/XMLSchema" xmlns:p="http://schemas.microsoft.com/office/2006/metadata/properties" xmlns:ns2="4c272582-4164-40b3-8c4b-3c1a04c8dc1b" xmlns:ns3="d5af11f5-2ba6-4db2-9f85-fe00cbec1a23" targetNamespace="http://schemas.microsoft.com/office/2006/metadata/properties" ma:root="true" ma:fieldsID="d1b84e228868bc8b5de0e480b4061e99" ns2:_="" ns3:_="">
    <xsd:import namespace="4c272582-4164-40b3-8c4b-3c1a04c8dc1b"/>
    <xsd:import namespace="d5af11f5-2ba6-4db2-9f85-fe00cbec1a2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272582-4164-40b3-8c4b-3c1a04c8dc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af11f5-2ba6-4db2-9f85-fe00cbec1a2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f298962-6577-4307-a442-e606e116b084}" ma:internalName="TaxCatchAll" ma:showField="CatchAllData" ma:web="d5af11f5-2ba6-4db2-9f85-fe00cbec1a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c272582-4164-40b3-8c4b-3c1a04c8dc1b">
      <Terms xmlns="http://schemas.microsoft.com/office/infopath/2007/PartnerControls"/>
    </lcf76f155ced4ddcb4097134ff3c332f>
    <TaxCatchAll xmlns="d5af11f5-2ba6-4db2-9f85-fe00cbec1a23"/>
  </documentManagement>
</p:properties>
</file>

<file path=customXml/itemProps1.xml><?xml version="1.0" encoding="utf-8"?>
<ds:datastoreItem xmlns:ds="http://schemas.openxmlformats.org/officeDocument/2006/customXml" ds:itemID="{4602B4DE-FC73-46C6-BFF6-6457901D364E}">
  <ds:schemaRefs>
    <ds:schemaRef ds:uri="http://schemas.openxmlformats.org/officeDocument/2006/bibliography"/>
  </ds:schemaRefs>
</ds:datastoreItem>
</file>

<file path=customXml/itemProps2.xml><?xml version="1.0" encoding="utf-8"?>
<ds:datastoreItem xmlns:ds="http://schemas.openxmlformats.org/officeDocument/2006/customXml" ds:itemID="{F972DBBA-8286-45AA-A1FA-8F5CC85428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272582-4164-40b3-8c4b-3c1a04c8dc1b"/>
    <ds:schemaRef ds:uri="d5af11f5-2ba6-4db2-9f85-fe00cbec1a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A27676-6191-45F0-B0B8-1F1B322D3A31}">
  <ds:schemaRefs>
    <ds:schemaRef ds:uri="http://schemas.microsoft.com/sharepoint/v3/contenttype/forms"/>
  </ds:schemaRefs>
</ds:datastoreItem>
</file>

<file path=customXml/itemProps4.xml><?xml version="1.0" encoding="utf-8"?>
<ds:datastoreItem xmlns:ds="http://schemas.openxmlformats.org/officeDocument/2006/customXml" ds:itemID="{697CE276-92C1-472A-8A04-7B96826D4C78}">
  <ds:schemaRefs>
    <ds:schemaRef ds:uri="http://www.w3.org/XML/1998/namespace"/>
    <ds:schemaRef ds:uri="http://schemas.openxmlformats.org/package/2006/metadata/core-properties"/>
    <ds:schemaRef ds:uri="http://purl.org/dc/elements/1.1/"/>
    <ds:schemaRef ds:uri="http://schemas.microsoft.com/office/infopath/2007/PartnerControls"/>
    <ds:schemaRef ds:uri="d5af11f5-2ba6-4db2-9f85-fe00cbec1a23"/>
    <ds:schemaRef ds:uri="http://schemas.microsoft.com/office/2006/documentManagement/types"/>
    <ds:schemaRef ds:uri="http://purl.org/dc/terms/"/>
    <ds:schemaRef ds:uri="4c272582-4164-40b3-8c4b-3c1a04c8dc1b"/>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11</Pages>
  <Words>4544</Words>
  <Characters>31490</Characters>
  <Application>Microsoft Office Word</Application>
  <DocSecurity>0</DocSecurity>
  <Lines>470</Lines>
  <Paragraphs>107</Paragraphs>
  <ScaleCrop>false</ScaleCrop>
  <HeadingPairs>
    <vt:vector size="2" baseType="variant">
      <vt:variant>
        <vt:lpstr>Title</vt:lpstr>
      </vt:variant>
      <vt:variant>
        <vt:i4>1</vt:i4>
      </vt:variant>
    </vt:vector>
  </HeadingPairs>
  <TitlesOfParts>
    <vt:vector size="1" baseType="lpstr">
      <vt:lpstr>Outcome of the twenty second meeting of the Council Working Group on child online protection</vt:lpstr>
    </vt:vector>
  </TitlesOfParts>
  <Manager/>
  <Company/>
  <LinksUpToDate>false</LinksUpToDate>
  <CharactersWithSpaces>35927</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Outcomes of the twenty-third meeting of the Council Working Group on child online protection</dc:title>
  <dc:subject>ITU Council Working Group on child online protection</dc:subject>
  <cp:keywords>CWG-COP</cp:keywords>
  <dc:description/>
  <dcterms:created xsi:type="dcterms:W3CDTF">2025-10-08T13:16:00Z</dcterms:created>
  <dcterms:modified xsi:type="dcterms:W3CDTF">2025-10-08T13:49:00Z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0x0101003A20BCD90392CE4983D33C8AE8606CB9</vt:lpwstr>
  </property>
  <property fmtid="{D5CDD505-2E9C-101B-9397-08002B2CF9AE}" pid="3" name="MediaServiceImageTags">
    <vt:lpwstr/>
  </property>
  <property fmtid="{D5CDD505-2E9C-101B-9397-08002B2CF9AE}" pid="4" name="GrammarlyDocumentId">
    <vt:lpwstr>f1a4a6db-3c99-4e66-a2b0-9907616d18dd</vt:lpwstr>
  </property>
</Properties>
</file>