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914CDD" w14:paraId="6CA78DD7" w14:textId="77777777" w:rsidTr="00AD3606">
        <w:trPr>
          <w:cantSplit/>
          <w:trHeight w:val="23"/>
        </w:trPr>
        <w:tc>
          <w:tcPr>
            <w:tcW w:w="3969" w:type="dxa"/>
            <w:vMerge w:val="restart"/>
            <w:tcMar>
              <w:left w:w="0" w:type="dxa"/>
            </w:tcMar>
          </w:tcPr>
          <w:p w14:paraId="7F08FA4A" w14:textId="77777777" w:rsidR="00AD3606" w:rsidRPr="00914CDD"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1676F527" w14:textId="7EAD2727" w:rsidR="00AD3606" w:rsidRPr="00914CDD" w:rsidRDefault="00AD3606" w:rsidP="00472BAD">
            <w:pPr>
              <w:tabs>
                <w:tab w:val="left" w:pos="851"/>
              </w:tabs>
              <w:spacing w:before="0" w:line="240" w:lineRule="atLeast"/>
              <w:jc w:val="right"/>
              <w:rPr>
                <w:b/>
              </w:rPr>
            </w:pPr>
            <w:r w:rsidRPr="00914CDD">
              <w:rPr>
                <w:b/>
              </w:rPr>
              <w:t>Document C</w:t>
            </w:r>
            <w:r w:rsidR="00A52C84" w:rsidRPr="00914CDD">
              <w:rPr>
                <w:b/>
              </w:rPr>
              <w:t>WG-</w:t>
            </w:r>
            <w:r w:rsidR="0025570E" w:rsidRPr="00914CDD">
              <w:rPr>
                <w:b/>
              </w:rPr>
              <w:t>COP</w:t>
            </w:r>
            <w:r w:rsidR="00A52C84" w:rsidRPr="00914CDD">
              <w:rPr>
                <w:b/>
              </w:rPr>
              <w:t>-</w:t>
            </w:r>
            <w:r w:rsidR="0023131E" w:rsidRPr="00914CDD">
              <w:rPr>
                <w:b/>
              </w:rPr>
              <w:t>23</w:t>
            </w:r>
            <w:r w:rsidRPr="00914CDD">
              <w:rPr>
                <w:b/>
              </w:rPr>
              <w:t>/</w:t>
            </w:r>
            <w:r w:rsidR="00910F6D" w:rsidRPr="00914CDD">
              <w:rPr>
                <w:b/>
              </w:rPr>
              <w:t>2</w:t>
            </w:r>
          </w:p>
        </w:tc>
      </w:tr>
      <w:tr w:rsidR="00AD3606" w:rsidRPr="00914CDD" w14:paraId="381DA5E2" w14:textId="77777777" w:rsidTr="00AD3606">
        <w:trPr>
          <w:cantSplit/>
        </w:trPr>
        <w:tc>
          <w:tcPr>
            <w:tcW w:w="3969" w:type="dxa"/>
            <w:vMerge/>
          </w:tcPr>
          <w:p w14:paraId="72F9658B" w14:textId="77777777" w:rsidR="00AD3606" w:rsidRPr="00914CDD" w:rsidRDefault="00AD3606" w:rsidP="00AD3606">
            <w:pPr>
              <w:tabs>
                <w:tab w:val="left" w:pos="851"/>
              </w:tabs>
              <w:spacing w:line="240" w:lineRule="atLeast"/>
              <w:rPr>
                <w:b/>
              </w:rPr>
            </w:pPr>
            <w:bookmarkStart w:id="6" w:name="ddate" w:colFirst="1" w:colLast="1"/>
            <w:bookmarkEnd w:id="0"/>
            <w:bookmarkEnd w:id="1"/>
          </w:p>
        </w:tc>
        <w:tc>
          <w:tcPr>
            <w:tcW w:w="5245" w:type="dxa"/>
          </w:tcPr>
          <w:p w14:paraId="64B969D3" w14:textId="0AB70481" w:rsidR="00AD3606" w:rsidRPr="00914CDD" w:rsidRDefault="00DE19C1" w:rsidP="00AD3606">
            <w:pPr>
              <w:tabs>
                <w:tab w:val="left" w:pos="851"/>
              </w:tabs>
              <w:spacing w:before="0"/>
              <w:jc w:val="right"/>
              <w:rPr>
                <w:b/>
              </w:rPr>
            </w:pPr>
            <w:r>
              <w:rPr>
                <w:b/>
              </w:rPr>
              <w:t>8 August</w:t>
            </w:r>
            <w:r w:rsidR="00910F6D" w:rsidRPr="00914CDD">
              <w:rPr>
                <w:b/>
              </w:rPr>
              <w:t xml:space="preserve"> 2025</w:t>
            </w:r>
          </w:p>
        </w:tc>
      </w:tr>
      <w:tr w:rsidR="00AD3606" w:rsidRPr="00914CDD" w14:paraId="3A08D5C6" w14:textId="77777777" w:rsidTr="00AD3606">
        <w:trPr>
          <w:cantSplit/>
          <w:trHeight w:val="23"/>
        </w:trPr>
        <w:tc>
          <w:tcPr>
            <w:tcW w:w="3969" w:type="dxa"/>
            <w:vMerge/>
          </w:tcPr>
          <w:p w14:paraId="6471ADF5" w14:textId="77777777" w:rsidR="00AD3606" w:rsidRPr="00914CDD" w:rsidRDefault="00AD3606" w:rsidP="00AD3606">
            <w:pPr>
              <w:tabs>
                <w:tab w:val="left" w:pos="851"/>
              </w:tabs>
              <w:spacing w:line="240" w:lineRule="atLeast"/>
              <w:rPr>
                <w:b/>
              </w:rPr>
            </w:pPr>
            <w:bookmarkStart w:id="7" w:name="dorlang" w:colFirst="1" w:colLast="1"/>
            <w:bookmarkEnd w:id="6"/>
          </w:p>
        </w:tc>
        <w:tc>
          <w:tcPr>
            <w:tcW w:w="5245" w:type="dxa"/>
          </w:tcPr>
          <w:p w14:paraId="782B8E8E" w14:textId="77777777" w:rsidR="00AD3606" w:rsidRPr="00914CDD" w:rsidRDefault="00891503" w:rsidP="00AD3606">
            <w:pPr>
              <w:tabs>
                <w:tab w:val="left" w:pos="851"/>
              </w:tabs>
              <w:spacing w:before="0" w:line="240" w:lineRule="atLeast"/>
              <w:jc w:val="right"/>
              <w:rPr>
                <w:b/>
              </w:rPr>
            </w:pPr>
            <w:r w:rsidRPr="00914CDD">
              <w:rPr>
                <w:b/>
              </w:rPr>
              <w:t>English only</w:t>
            </w:r>
          </w:p>
        </w:tc>
      </w:tr>
      <w:tr w:rsidR="00472BAD" w:rsidRPr="00914CDD" w14:paraId="4A37DB00" w14:textId="77777777" w:rsidTr="00AD3606">
        <w:trPr>
          <w:cantSplit/>
          <w:trHeight w:val="23"/>
        </w:trPr>
        <w:tc>
          <w:tcPr>
            <w:tcW w:w="3969" w:type="dxa"/>
          </w:tcPr>
          <w:p w14:paraId="7FFDCDE4" w14:textId="77777777" w:rsidR="00472BAD" w:rsidRPr="00914CDD" w:rsidRDefault="00472BAD" w:rsidP="00AD3606">
            <w:pPr>
              <w:tabs>
                <w:tab w:val="left" w:pos="851"/>
              </w:tabs>
              <w:spacing w:line="240" w:lineRule="atLeast"/>
              <w:rPr>
                <w:b/>
              </w:rPr>
            </w:pPr>
          </w:p>
        </w:tc>
        <w:tc>
          <w:tcPr>
            <w:tcW w:w="5245" w:type="dxa"/>
          </w:tcPr>
          <w:p w14:paraId="46D0902D" w14:textId="77777777" w:rsidR="00472BAD" w:rsidRPr="00914CDD" w:rsidRDefault="00472BAD" w:rsidP="00AD3606">
            <w:pPr>
              <w:tabs>
                <w:tab w:val="left" w:pos="851"/>
              </w:tabs>
              <w:spacing w:before="0" w:line="240" w:lineRule="atLeast"/>
              <w:jc w:val="right"/>
              <w:rPr>
                <w:b/>
              </w:rPr>
            </w:pPr>
          </w:p>
        </w:tc>
      </w:tr>
      <w:tr w:rsidR="00AD3606" w:rsidRPr="00914CDD" w14:paraId="3D8C7DCE" w14:textId="77777777" w:rsidTr="00AD3606">
        <w:trPr>
          <w:cantSplit/>
        </w:trPr>
        <w:tc>
          <w:tcPr>
            <w:tcW w:w="9214" w:type="dxa"/>
            <w:gridSpan w:val="2"/>
            <w:tcMar>
              <w:left w:w="0" w:type="dxa"/>
            </w:tcMar>
          </w:tcPr>
          <w:p w14:paraId="5BD961DF" w14:textId="5920D40B" w:rsidR="00AD3606" w:rsidRPr="00914CDD" w:rsidRDefault="00910F6D" w:rsidP="00E4728B">
            <w:pPr>
              <w:pStyle w:val="Source"/>
              <w:framePr w:hSpace="0" w:wrap="auto" w:vAnchor="margin" w:hAnchor="text" w:xAlign="left" w:yAlign="inline"/>
            </w:pPr>
            <w:bookmarkStart w:id="8" w:name="dsource" w:colFirst="0" w:colLast="0"/>
            <w:bookmarkEnd w:id="7"/>
            <w:r w:rsidRPr="00914CDD">
              <w:t>Report by the Secretary-General</w:t>
            </w:r>
          </w:p>
        </w:tc>
      </w:tr>
      <w:tr w:rsidR="00AD3606" w:rsidRPr="00914CDD" w14:paraId="45D01CF1" w14:textId="77777777" w:rsidTr="00AD3606">
        <w:trPr>
          <w:cantSplit/>
        </w:trPr>
        <w:tc>
          <w:tcPr>
            <w:tcW w:w="9214" w:type="dxa"/>
            <w:gridSpan w:val="2"/>
            <w:tcMar>
              <w:left w:w="0" w:type="dxa"/>
            </w:tcMar>
          </w:tcPr>
          <w:p w14:paraId="51C320DA" w14:textId="6909CF51" w:rsidR="00AD3606" w:rsidRPr="00914CDD" w:rsidRDefault="00FC1682" w:rsidP="00E4728B">
            <w:pPr>
              <w:pStyle w:val="Subtitle"/>
              <w:framePr w:hSpace="0" w:wrap="auto" w:xAlign="left" w:yAlign="inline"/>
            </w:pPr>
            <w:bookmarkStart w:id="9" w:name="dtitle1" w:colFirst="0" w:colLast="0"/>
            <w:bookmarkEnd w:id="8"/>
            <w:r w:rsidRPr="00914CDD">
              <w:t>UPDATE ON THE ITU CHILD ONLINE PROTECTION INITIATIVE AND THE COP GLOBAL PROGRAMME</w:t>
            </w:r>
          </w:p>
        </w:tc>
      </w:tr>
      <w:tr w:rsidR="00AD3606" w:rsidRPr="00914CDD" w14:paraId="2521B4EC" w14:textId="77777777" w:rsidTr="00AD3606">
        <w:trPr>
          <w:cantSplit/>
        </w:trPr>
        <w:tc>
          <w:tcPr>
            <w:tcW w:w="9214" w:type="dxa"/>
            <w:gridSpan w:val="2"/>
            <w:tcBorders>
              <w:top w:val="single" w:sz="4" w:space="0" w:color="auto"/>
              <w:bottom w:val="single" w:sz="4" w:space="0" w:color="auto"/>
            </w:tcBorders>
            <w:tcMar>
              <w:left w:w="0" w:type="dxa"/>
            </w:tcMar>
          </w:tcPr>
          <w:p w14:paraId="5BF329E8" w14:textId="77777777" w:rsidR="00AD3606" w:rsidRPr="00914CDD" w:rsidRDefault="00F16BAB" w:rsidP="00F16BAB">
            <w:pPr>
              <w:spacing w:before="160"/>
              <w:rPr>
                <w:b/>
                <w:bCs/>
                <w:sz w:val="26"/>
                <w:szCs w:val="26"/>
              </w:rPr>
            </w:pPr>
            <w:r w:rsidRPr="00914CDD">
              <w:rPr>
                <w:b/>
                <w:bCs/>
                <w:sz w:val="26"/>
                <w:szCs w:val="26"/>
              </w:rPr>
              <w:t>Purpose</w:t>
            </w:r>
          </w:p>
          <w:p w14:paraId="1A9B99C0" w14:textId="6CECD120" w:rsidR="00AD3606" w:rsidRPr="00914CDD" w:rsidRDefault="00150405" w:rsidP="00F16BAB">
            <w:r w:rsidRPr="00914CDD">
              <w:t>This report is intended to provide an overview on the status of the COP Initiative and the implementation of the COP Guidelines between January and September 2025.</w:t>
            </w:r>
          </w:p>
          <w:p w14:paraId="5E6626E0" w14:textId="77777777" w:rsidR="00AD3606" w:rsidRPr="00914CDD" w:rsidRDefault="00AD3606" w:rsidP="00F16BAB">
            <w:pPr>
              <w:spacing w:before="160"/>
              <w:rPr>
                <w:b/>
                <w:bCs/>
                <w:sz w:val="26"/>
                <w:szCs w:val="26"/>
              </w:rPr>
            </w:pPr>
            <w:r w:rsidRPr="00914CDD">
              <w:rPr>
                <w:b/>
                <w:bCs/>
                <w:sz w:val="26"/>
                <w:szCs w:val="26"/>
              </w:rPr>
              <w:t>Action required</w:t>
            </w:r>
          </w:p>
          <w:p w14:paraId="0FEE4E32" w14:textId="28748598" w:rsidR="0025570E" w:rsidRPr="00914CDD" w:rsidRDefault="00190E22" w:rsidP="0025570E">
            <w:pPr>
              <w:spacing w:before="160"/>
            </w:pPr>
            <w:r w:rsidRPr="00914CDD">
              <w:t xml:space="preserve">The Council Working Group on child online protection is invited to </w:t>
            </w:r>
            <w:r w:rsidRPr="00914CDD">
              <w:rPr>
                <w:b/>
                <w:bCs/>
              </w:rPr>
              <w:t>note</w:t>
            </w:r>
            <w:r w:rsidRPr="00914CDD">
              <w:t xml:space="preserve"> this report.</w:t>
            </w:r>
          </w:p>
          <w:p w14:paraId="443AA071" w14:textId="77777777" w:rsidR="00AD3606" w:rsidRPr="00914CDD" w:rsidRDefault="00CD3C91" w:rsidP="00CD3C91">
            <w:r w:rsidRPr="00914CDD">
              <w:t>_______________</w:t>
            </w:r>
          </w:p>
          <w:p w14:paraId="1829E572" w14:textId="1410BC75" w:rsidR="00AD3606" w:rsidRPr="00914CDD" w:rsidRDefault="00AD3606" w:rsidP="00F16BAB">
            <w:pPr>
              <w:spacing w:before="160"/>
              <w:rPr>
                <w:b/>
                <w:bCs/>
                <w:sz w:val="26"/>
                <w:szCs w:val="26"/>
              </w:rPr>
            </w:pPr>
            <w:r w:rsidRPr="00914CDD">
              <w:rPr>
                <w:b/>
                <w:bCs/>
                <w:sz w:val="26"/>
                <w:szCs w:val="26"/>
              </w:rPr>
              <w:t>References</w:t>
            </w:r>
            <w:r w:rsidR="00301AEE" w:rsidRPr="00914CDD">
              <w:rPr>
                <w:b/>
                <w:bCs/>
                <w:sz w:val="26"/>
                <w:szCs w:val="26"/>
              </w:rPr>
              <w:t xml:space="preserve"> </w:t>
            </w:r>
          </w:p>
          <w:p w14:paraId="1A540A74" w14:textId="423CBD1D" w:rsidR="00AD3606" w:rsidRPr="00914CDD" w:rsidRDefault="00190E22" w:rsidP="00F16BAB">
            <w:pPr>
              <w:spacing w:after="160"/>
              <w:rPr>
                <w:i/>
                <w:iCs/>
                <w:sz w:val="22"/>
                <w:szCs w:val="22"/>
              </w:rPr>
            </w:pPr>
            <w:hyperlink r:id="rId11" w:history="1">
              <w:r w:rsidRPr="00914CDD">
                <w:rPr>
                  <w:rStyle w:val="Hyperlink"/>
                  <w:i/>
                  <w:iCs/>
                  <w:sz w:val="22"/>
                  <w:szCs w:val="22"/>
                </w:rPr>
                <w:t>CWG-COP website</w:t>
              </w:r>
            </w:hyperlink>
            <w:r w:rsidRPr="00914CDD">
              <w:rPr>
                <w:i/>
                <w:iCs/>
                <w:sz w:val="22"/>
                <w:szCs w:val="22"/>
              </w:rPr>
              <w:t xml:space="preserve">; </w:t>
            </w:r>
            <w:hyperlink r:id="rId12" w:history="1">
              <w:r w:rsidRPr="00914CDD">
                <w:rPr>
                  <w:rStyle w:val="Hyperlink"/>
                  <w:i/>
                  <w:iCs/>
                  <w:sz w:val="22"/>
                  <w:szCs w:val="22"/>
                </w:rPr>
                <w:t>Child Online Protection</w:t>
              </w:r>
            </w:hyperlink>
          </w:p>
        </w:tc>
      </w:tr>
    </w:tbl>
    <w:p w14:paraId="19267EBB" w14:textId="77777777" w:rsidR="00E227F3" w:rsidRPr="00914CD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74D879DD" w14:textId="77777777" w:rsidR="0090147A" w:rsidRPr="00914CD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914CDD">
        <w:br w:type="page"/>
      </w:r>
    </w:p>
    <w:bookmarkEnd w:id="5"/>
    <w:bookmarkEnd w:id="10"/>
    <w:p w14:paraId="7FF7F5C4" w14:textId="77777777" w:rsidR="00910F6D" w:rsidRPr="00914CDD" w:rsidRDefault="00910F6D" w:rsidP="00190E22">
      <w:pPr>
        <w:jc w:val="both"/>
      </w:pPr>
      <w:r w:rsidRPr="00914CDD">
        <w:lastRenderedPageBreak/>
        <w:t>The Child Online Protection initiative aims to protect children from online risks and potential harm and empower them to fully benefit from online opportunities through research, in-country policy support, capacity building and technical tools.</w:t>
      </w:r>
    </w:p>
    <w:p w14:paraId="669C540A" w14:textId="3DA8C25A" w:rsidR="00910F6D" w:rsidRPr="00914CDD" w:rsidRDefault="00910F6D" w:rsidP="00190E22">
      <w:pPr>
        <w:jc w:val="both"/>
      </w:pPr>
      <w:r w:rsidRPr="00914CDD">
        <w:t>ITU Child Online Protection serves as a global leadership platform with a multi-stakeholder community with proven expertise and a successful technical assistance record of more than 16 years on child online protection activities worldwide. Through a strong network of more than 80 knowledge partners from leading institutions active in the ICT and child rights sectors, the Child Online Protection initiative provides both resources and tools that support children’s and their entourage’s digital skills development as well as support to industry and government stakeholders in the development of corporate and national child online protection strategies and frameworks, allowing countries to contribute to a safer online environment for children.</w:t>
      </w:r>
    </w:p>
    <w:p w14:paraId="1650FCF2" w14:textId="72517E83" w:rsidR="00910F6D" w:rsidRPr="00914CDD" w:rsidRDefault="00190E22" w:rsidP="00406F32">
      <w:pPr>
        <w:pStyle w:val="Heading1"/>
      </w:pPr>
      <w:r w:rsidRPr="00914CDD">
        <w:rPr>
          <w:rFonts w:eastAsia="Calibri"/>
        </w:rPr>
        <w:t>1</w:t>
      </w:r>
      <w:r w:rsidRPr="00914CDD">
        <w:rPr>
          <w:rFonts w:eastAsia="Calibri"/>
        </w:rPr>
        <w:tab/>
      </w:r>
      <w:r w:rsidR="00910F6D" w:rsidRPr="00914CDD">
        <w:rPr>
          <w:rFonts w:eastAsia="Calibri"/>
        </w:rPr>
        <w:t xml:space="preserve">As part of </w:t>
      </w:r>
      <w:hyperlink r:id="rId13">
        <w:r w:rsidR="00910F6D" w:rsidRPr="00914CDD">
          <w:rPr>
            <w:rStyle w:val="Hyperlink"/>
            <w:rFonts w:eastAsia="Calibri" w:cs="Calibri"/>
            <w:bCs/>
            <w:szCs w:val="28"/>
          </w:rPr>
          <w:t>ITU’s global programme (2021-2025)</w:t>
        </w:r>
      </w:hyperlink>
      <w:r w:rsidR="00910F6D" w:rsidRPr="00914CDD">
        <w:rPr>
          <w:rFonts w:eastAsia="Calibri"/>
        </w:rPr>
        <w:t xml:space="preserve"> the following activities were undertaken</w:t>
      </w:r>
    </w:p>
    <w:p w14:paraId="3C048650" w14:textId="58A2D3E7" w:rsidR="00910F6D" w:rsidRPr="00914CDD" w:rsidRDefault="00910F6D" w:rsidP="00406F32">
      <w:pPr>
        <w:pStyle w:val="Heading2"/>
      </w:pPr>
      <w:r w:rsidRPr="00914CDD">
        <w:rPr>
          <w:rFonts w:eastAsia="Calibri"/>
        </w:rPr>
        <w:t>1.1</w:t>
      </w:r>
      <w:r w:rsidR="00406F32" w:rsidRPr="00914CDD">
        <w:rPr>
          <w:rFonts w:eastAsia="Calibri"/>
        </w:rPr>
        <w:tab/>
      </w:r>
      <w:r w:rsidRPr="00914CDD">
        <w:rPr>
          <w:rFonts w:eastAsia="Calibri"/>
        </w:rPr>
        <w:t>Translation of the COP Guidelines</w:t>
      </w:r>
    </w:p>
    <w:p w14:paraId="14A17FF6" w14:textId="77777777" w:rsidR="00910F6D" w:rsidRPr="00914CDD" w:rsidRDefault="00910F6D" w:rsidP="00406F32">
      <w:pPr>
        <w:pStyle w:val="enumlev1"/>
        <w:jc w:val="both"/>
        <w:rPr>
          <w:rFonts w:eastAsia="Calibri"/>
        </w:rPr>
      </w:pPr>
      <w:r w:rsidRPr="00914CDD">
        <w:rPr>
          <w:rFonts w:eastAsia="Calibri"/>
        </w:rPr>
        <w:t>–</w:t>
      </w:r>
      <w:r w:rsidRPr="00914CDD">
        <w:tab/>
      </w:r>
      <w:r w:rsidRPr="00914CDD">
        <w:rPr>
          <w:rFonts w:eastAsia="Calibri"/>
        </w:rPr>
        <w:t xml:space="preserve">The language versions of the trainings on online safety for children were released in all six official UN languages. </w:t>
      </w:r>
    </w:p>
    <w:p w14:paraId="12B6AC21" w14:textId="77777777" w:rsidR="00910F6D" w:rsidRPr="00914CDD" w:rsidRDefault="00910F6D" w:rsidP="00406F32">
      <w:pPr>
        <w:pStyle w:val="enumlev1"/>
        <w:jc w:val="both"/>
        <w:rPr>
          <w:rFonts w:eastAsia="Calibri"/>
        </w:rPr>
      </w:pPr>
      <w:r w:rsidRPr="00914CDD">
        <w:rPr>
          <w:rFonts w:eastAsia="Calibri"/>
        </w:rPr>
        <w:t>–</w:t>
      </w:r>
      <w:r w:rsidRPr="00914CDD">
        <w:tab/>
      </w:r>
      <w:r w:rsidRPr="00914CDD">
        <w:rPr>
          <w:rFonts w:eastAsia="Calibri"/>
        </w:rPr>
        <w:t xml:space="preserve">In Morocco, an awareness campaigns with localised resources was started. </w:t>
      </w:r>
    </w:p>
    <w:p w14:paraId="04F62477" w14:textId="77777777" w:rsidR="00910F6D" w:rsidRPr="00914CDD" w:rsidRDefault="00910F6D" w:rsidP="00406F32">
      <w:pPr>
        <w:pStyle w:val="enumlev1"/>
        <w:jc w:val="both"/>
        <w:rPr>
          <w:rFonts w:eastAsia="Calibri"/>
        </w:rPr>
      </w:pPr>
      <w:r w:rsidRPr="00914CDD">
        <w:rPr>
          <w:rFonts w:eastAsia="Calibri"/>
        </w:rPr>
        <w:t xml:space="preserve">– </w:t>
      </w:r>
      <w:r w:rsidRPr="00914CDD">
        <w:rPr>
          <w:rFonts w:eastAsia="Calibri"/>
        </w:rPr>
        <w:tab/>
        <w:t xml:space="preserve">ITU COP Guidelines for parents, educators, policymakers, and industry were translated into Armenian and existing </w:t>
      </w:r>
      <w:proofErr w:type="spellStart"/>
      <w:r w:rsidRPr="00914CDD">
        <w:rPr>
          <w:rFonts w:eastAsia="Calibri"/>
          <w:i/>
          <w:iCs/>
        </w:rPr>
        <w:t>onlinesafety.am</w:t>
      </w:r>
      <w:proofErr w:type="spellEnd"/>
      <w:r w:rsidRPr="00914CDD">
        <w:rPr>
          <w:rFonts w:eastAsia="Calibri"/>
        </w:rPr>
        <w:t xml:space="preserve"> training materials (developed with ITU support in previous years) were further promoted. The </w:t>
      </w:r>
      <w:proofErr w:type="spellStart"/>
      <w:r w:rsidRPr="00914CDD">
        <w:rPr>
          <w:rFonts w:eastAsia="Calibri"/>
          <w:i/>
          <w:iCs/>
        </w:rPr>
        <w:t>onlinesafety.am</w:t>
      </w:r>
      <w:proofErr w:type="spellEnd"/>
      <w:r w:rsidRPr="00914CDD">
        <w:rPr>
          <w:rFonts w:eastAsia="Calibri"/>
        </w:rPr>
        <w:t xml:space="preserve"> platform was successfully migrated to Armenian servers to enhance local accessibility and sustainability.</w:t>
      </w:r>
    </w:p>
    <w:p w14:paraId="71E19EBA" w14:textId="46BB42D5" w:rsidR="00910F6D" w:rsidRPr="00914CDD" w:rsidRDefault="00910F6D" w:rsidP="00406F32">
      <w:pPr>
        <w:pStyle w:val="Heading2"/>
      </w:pPr>
      <w:r w:rsidRPr="00914CDD">
        <w:rPr>
          <w:rFonts w:eastAsia="Calibri"/>
        </w:rPr>
        <w:t>1.2</w:t>
      </w:r>
      <w:r w:rsidR="006E7B84" w:rsidRPr="00914CDD">
        <w:rPr>
          <w:rFonts w:eastAsia="Calibri"/>
        </w:rPr>
        <w:tab/>
      </w:r>
      <w:r w:rsidRPr="00914CDD">
        <w:rPr>
          <w:rFonts w:eastAsia="Calibri"/>
        </w:rPr>
        <w:t>Capacity building and awareness raising</w:t>
      </w:r>
    </w:p>
    <w:p w14:paraId="779339EE" w14:textId="77777777" w:rsidR="00910F6D" w:rsidRPr="00914CDD" w:rsidRDefault="00910F6D" w:rsidP="006E7B84">
      <w:pPr>
        <w:pStyle w:val="enumlev1"/>
        <w:jc w:val="both"/>
        <w:rPr>
          <w:rFonts w:eastAsia="Calibri"/>
        </w:rPr>
      </w:pPr>
      <w:r w:rsidRPr="00914CDD">
        <w:rPr>
          <w:rFonts w:eastAsia="Calibri"/>
        </w:rPr>
        <w:t>–</w:t>
      </w:r>
      <w:r w:rsidRPr="00914CDD">
        <w:tab/>
      </w:r>
      <w:r w:rsidRPr="00914CDD">
        <w:rPr>
          <w:rFonts w:eastAsia="Calibri"/>
        </w:rPr>
        <w:t xml:space="preserve">In Brunei, Micronesia and Nepal, capacity building activities for policymakers and educators were delivered. </w:t>
      </w:r>
    </w:p>
    <w:p w14:paraId="6622631C" w14:textId="77777777" w:rsidR="00910F6D" w:rsidRPr="00914CDD" w:rsidRDefault="00910F6D" w:rsidP="006E7B84">
      <w:pPr>
        <w:pStyle w:val="enumlev1"/>
        <w:jc w:val="both"/>
        <w:rPr>
          <w:rFonts w:eastAsia="Calibri"/>
        </w:rPr>
      </w:pPr>
      <w:r w:rsidRPr="00914CDD">
        <w:rPr>
          <w:rFonts w:eastAsia="Calibri"/>
        </w:rPr>
        <w:t>–</w:t>
      </w:r>
      <w:r w:rsidRPr="00914CDD">
        <w:tab/>
      </w:r>
      <w:r w:rsidRPr="00914CDD">
        <w:rPr>
          <w:rFonts w:eastAsia="Calibri"/>
        </w:rPr>
        <w:t>In the Bahamas and Morocco, Training of Trainers for Educators were held.</w:t>
      </w:r>
    </w:p>
    <w:p w14:paraId="5041088E" w14:textId="77777777" w:rsidR="00910F6D" w:rsidRPr="00914CDD" w:rsidRDefault="00910F6D" w:rsidP="006E7B84">
      <w:pPr>
        <w:pStyle w:val="enumlev1"/>
        <w:jc w:val="both"/>
        <w:rPr>
          <w:rFonts w:eastAsia="Calibri"/>
        </w:rPr>
      </w:pPr>
      <w:r w:rsidRPr="00914CDD">
        <w:rPr>
          <w:rFonts w:eastAsia="Calibri"/>
        </w:rPr>
        <w:t>–</w:t>
      </w:r>
      <w:r w:rsidRPr="00914CDD">
        <w:tab/>
      </w:r>
      <w:r w:rsidRPr="00914CDD">
        <w:rPr>
          <w:rFonts w:eastAsia="Calibri"/>
        </w:rPr>
        <w:t xml:space="preserve">In Armenia, Morocco and Switzerland, training sessions for children and young people and their educators were conducted over several days. </w:t>
      </w:r>
    </w:p>
    <w:p w14:paraId="69F21230" w14:textId="735C444D" w:rsidR="00910F6D" w:rsidRPr="00914CDD" w:rsidRDefault="00910F6D" w:rsidP="006E7B84">
      <w:pPr>
        <w:pStyle w:val="enumlev1"/>
        <w:jc w:val="both"/>
        <w:rPr>
          <w:rFonts w:eastAsia="Calibri"/>
        </w:rPr>
      </w:pPr>
      <w:r w:rsidRPr="00914CDD">
        <w:rPr>
          <w:rFonts w:eastAsia="Calibri"/>
        </w:rPr>
        <w:t>–</w:t>
      </w:r>
      <w:r w:rsidRPr="00914CDD">
        <w:rPr>
          <w:rFonts w:eastAsia="Calibri"/>
        </w:rPr>
        <w:tab/>
        <w:t xml:space="preserve">As part of the 15th </w:t>
      </w:r>
      <w:proofErr w:type="spellStart"/>
      <w:r w:rsidRPr="00914CDD">
        <w:rPr>
          <w:rFonts w:eastAsia="Calibri"/>
        </w:rPr>
        <w:t>CyberDrill</w:t>
      </w:r>
      <w:proofErr w:type="spellEnd"/>
      <w:r w:rsidRPr="00914CDD">
        <w:rPr>
          <w:rFonts w:eastAsia="Calibri"/>
        </w:rPr>
        <w:t xml:space="preserve"> for the Americas Region held on 10 June 2025</w:t>
      </w:r>
      <w:r w:rsidR="00914CDD">
        <w:rPr>
          <w:rFonts w:eastAsia="Calibri"/>
        </w:rPr>
        <w:t>,</w:t>
      </w:r>
      <w:r w:rsidRPr="00914CDD">
        <w:rPr>
          <w:rFonts w:eastAsia="Calibri"/>
        </w:rPr>
        <w:t xml:space="preserve"> in San José, Costa Rica, a dedicated Child Online Protection training session on “Fighting against Grooming” was delivered by PANI, contributing to enhanced regional cybersecurity collaboration and maturity, as reflected in the Global Cybersecurity Index (GCI).</w:t>
      </w:r>
    </w:p>
    <w:p w14:paraId="06B0BD24" w14:textId="77777777" w:rsidR="00910F6D" w:rsidRPr="00914CDD" w:rsidRDefault="00910F6D" w:rsidP="006E7B84">
      <w:pPr>
        <w:pStyle w:val="enumlev1"/>
        <w:jc w:val="both"/>
        <w:rPr>
          <w:rFonts w:eastAsia="Calibri"/>
        </w:rPr>
      </w:pPr>
      <w:r w:rsidRPr="00914CDD">
        <w:rPr>
          <w:rFonts w:eastAsia="Calibri"/>
        </w:rPr>
        <w:t>–</w:t>
      </w:r>
      <w:r w:rsidRPr="00914CDD">
        <w:rPr>
          <w:rFonts w:eastAsia="Calibri"/>
        </w:rPr>
        <w:tab/>
        <w:t>On Safer Internet Day 2025, a high-level roundtable titled “Online Safety Through Children’s Eyes” was held in Armenia, co-organized by ITU, the Union of Operators, and the Ministry of High-Tech Industry. Children actively shared their views on digital risks and stakeholder responsibilities, culminating in a youth-informed declaration presented to the government with key challenges and proposed solutions.</w:t>
      </w:r>
    </w:p>
    <w:p w14:paraId="4554D1AA" w14:textId="736837E7" w:rsidR="00910F6D" w:rsidRPr="00914CDD" w:rsidRDefault="00910F6D" w:rsidP="006E7B84">
      <w:pPr>
        <w:pStyle w:val="Heading2"/>
      </w:pPr>
      <w:bookmarkStart w:id="11" w:name="_Hlk204806515"/>
      <w:r w:rsidRPr="00914CDD">
        <w:rPr>
          <w:rFonts w:eastAsia="Calibri"/>
        </w:rPr>
        <w:lastRenderedPageBreak/>
        <w:t>1.3</w:t>
      </w:r>
      <w:r w:rsidR="006E7B84" w:rsidRPr="00914CDD">
        <w:rPr>
          <w:rFonts w:eastAsia="Calibri"/>
        </w:rPr>
        <w:tab/>
      </w:r>
      <w:r w:rsidRPr="00914CDD">
        <w:rPr>
          <w:rFonts w:eastAsia="Calibri"/>
        </w:rPr>
        <w:t>National COP frameworks</w:t>
      </w:r>
      <w:bookmarkEnd w:id="11"/>
    </w:p>
    <w:p w14:paraId="61FC3A73" w14:textId="77777777" w:rsidR="00910F6D" w:rsidRPr="00914CDD" w:rsidRDefault="00910F6D" w:rsidP="006E7B84">
      <w:pPr>
        <w:pStyle w:val="enumlev1"/>
        <w:jc w:val="both"/>
        <w:rPr>
          <w:rFonts w:eastAsia="Calibri"/>
        </w:rPr>
      </w:pPr>
      <w:r w:rsidRPr="00914CDD">
        <w:rPr>
          <w:rFonts w:eastAsia="Calibri"/>
        </w:rPr>
        <w:t>–</w:t>
      </w:r>
      <w:r w:rsidRPr="00914CDD">
        <w:tab/>
      </w:r>
      <w:r w:rsidRPr="00914CDD">
        <w:rPr>
          <w:rFonts w:eastAsia="Calibri"/>
        </w:rPr>
        <w:t>ITU delivered national assessment reports or frameworks in 13 countries, including Albania, Armenia, Bahamas, Bhutan, Cambodia, Chile, Ecuador, Kazakhstan, Malawi, Mongolia, Pakistan, Suriname and Thailand</w:t>
      </w:r>
    </w:p>
    <w:p w14:paraId="245B49DC" w14:textId="77777777" w:rsidR="00910F6D" w:rsidRPr="00914CDD" w:rsidRDefault="00910F6D" w:rsidP="006E7B84">
      <w:pPr>
        <w:pStyle w:val="enumlev1"/>
        <w:jc w:val="both"/>
        <w:rPr>
          <w:rFonts w:eastAsia="Calibri"/>
          <w:szCs w:val="24"/>
        </w:rPr>
      </w:pPr>
      <w:r w:rsidRPr="00914CDD">
        <w:rPr>
          <w:rFonts w:eastAsia="Calibri"/>
          <w:szCs w:val="24"/>
        </w:rPr>
        <w:t>–</w:t>
      </w:r>
      <w:r w:rsidRPr="00914CDD">
        <w:tab/>
      </w:r>
      <w:r w:rsidRPr="00914CDD">
        <w:rPr>
          <w:rFonts w:eastAsia="Calibri"/>
          <w:szCs w:val="24"/>
        </w:rPr>
        <w:t>In Andorra, Eswatini, and Lebanon, ITU provided ongoing technical assistance for the national frameworks.</w:t>
      </w:r>
    </w:p>
    <w:p w14:paraId="5D2D4EF8" w14:textId="11499A11" w:rsidR="00910F6D" w:rsidRPr="00914CDD" w:rsidRDefault="00910F6D" w:rsidP="006E7B84">
      <w:pPr>
        <w:pStyle w:val="enumlev1"/>
        <w:jc w:val="both"/>
        <w:rPr>
          <w:rFonts w:eastAsia="Calibri"/>
          <w:szCs w:val="24"/>
        </w:rPr>
      </w:pPr>
      <w:r w:rsidRPr="00914CDD">
        <w:rPr>
          <w:rFonts w:eastAsia="Calibri"/>
          <w:szCs w:val="24"/>
        </w:rPr>
        <w:t xml:space="preserve">– </w:t>
      </w:r>
      <w:r w:rsidRPr="00914CDD">
        <w:rPr>
          <w:rFonts w:eastAsia="Calibri"/>
          <w:szCs w:val="24"/>
        </w:rPr>
        <w:tab/>
        <w:t>In Armenia, ITU</w:t>
      </w:r>
      <w:r w:rsidR="00E00845">
        <w:rPr>
          <w:rFonts w:eastAsia="Calibri"/>
          <w:szCs w:val="24"/>
        </w:rPr>
        <w:t>, supported by the Union of Operators and key stakeholders,</w:t>
      </w:r>
      <w:r w:rsidRPr="00914CDD">
        <w:rPr>
          <w:rFonts w:eastAsia="Calibri"/>
          <w:szCs w:val="24"/>
        </w:rPr>
        <w:t xml:space="preserve"> advanced efforts to implement a national COP framework.</w:t>
      </w:r>
    </w:p>
    <w:p w14:paraId="2E3B55F7" w14:textId="5735FBA9" w:rsidR="00910F6D" w:rsidRPr="00914CDD" w:rsidRDefault="00910F6D" w:rsidP="006E7B84">
      <w:pPr>
        <w:pStyle w:val="enumlev1"/>
        <w:jc w:val="both"/>
        <w:rPr>
          <w:rFonts w:eastAsia="Calibri"/>
          <w:spacing w:val="-2"/>
          <w:szCs w:val="24"/>
        </w:rPr>
      </w:pPr>
      <w:r w:rsidRPr="00914CDD">
        <w:rPr>
          <w:rFonts w:eastAsia="Calibri"/>
          <w:spacing w:val="-2"/>
          <w:szCs w:val="24"/>
        </w:rPr>
        <w:t>–</w:t>
      </w:r>
      <w:r w:rsidRPr="00914CDD">
        <w:rPr>
          <w:spacing w:val="-2"/>
        </w:rPr>
        <w:tab/>
      </w:r>
      <w:r w:rsidRPr="00914CDD">
        <w:rPr>
          <w:rFonts w:eastAsia="Calibri"/>
          <w:spacing w:val="-2"/>
          <w:szCs w:val="24"/>
        </w:rPr>
        <w:t xml:space="preserve">The draft Global </w:t>
      </w:r>
      <w:proofErr w:type="spellStart"/>
      <w:r w:rsidRPr="00914CDD">
        <w:rPr>
          <w:rFonts w:eastAsia="Calibri"/>
          <w:spacing w:val="-2"/>
          <w:szCs w:val="24"/>
        </w:rPr>
        <w:t>PoP</w:t>
      </w:r>
      <w:proofErr w:type="spellEnd"/>
      <w:r w:rsidRPr="00914CDD">
        <w:rPr>
          <w:rFonts w:eastAsia="Calibri"/>
          <w:spacing w:val="-2"/>
          <w:szCs w:val="24"/>
        </w:rPr>
        <w:t xml:space="preserve"> Principles are under finalization and will be released </w:t>
      </w:r>
      <w:r w:rsidR="00E00845">
        <w:rPr>
          <w:rFonts w:eastAsia="Calibri"/>
          <w:spacing w:val="-2"/>
          <w:szCs w:val="24"/>
        </w:rPr>
        <w:t xml:space="preserve">on </w:t>
      </w:r>
      <w:r w:rsidRPr="00914CDD">
        <w:rPr>
          <w:rFonts w:eastAsia="Calibri"/>
          <w:spacing w:val="-2"/>
          <w:szCs w:val="24"/>
        </w:rPr>
        <w:t>20</w:t>
      </w:r>
      <w:r w:rsidR="00E00845">
        <w:rPr>
          <w:rFonts w:eastAsia="Calibri"/>
          <w:spacing w:val="-2"/>
          <w:szCs w:val="24"/>
        </w:rPr>
        <w:t> </w:t>
      </w:r>
      <w:r w:rsidRPr="00914CDD">
        <w:rPr>
          <w:rFonts w:eastAsia="Calibri"/>
          <w:spacing w:val="-2"/>
          <w:szCs w:val="24"/>
        </w:rPr>
        <w:t>November</w:t>
      </w:r>
      <w:r w:rsidR="00E00845">
        <w:rPr>
          <w:rFonts w:eastAsia="Calibri"/>
          <w:spacing w:val="-2"/>
          <w:szCs w:val="24"/>
        </w:rPr>
        <w:t> </w:t>
      </w:r>
      <w:r w:rsidRPr="00914CDD">
        <w:rPr>
          <w:rFonts w:eastAsia="Calibri"/>
          <w:spacing w:val="-2"/>
          <w:szCs w:val="24"/>
        </w:rPr>
        <w:t>2025.</w:t>
      </w:r>
    </w:p>
    <w:p w14:paraId="355D9E5A" w14:textId="77777777" w:rsidR="00910F6D" w:rsidRPr="00914CDD" w:rsidRDefault="00910F6D" w:rsidP="006E7B84">
      <w:pPr>
        <w:pStyle w:val="Heading1"/>
      </w:pPr>
      <w:r w:rsidRPr="00914CDD">
        <w:rPr>
          <w:rFonts w:eastAsia="Calibri"/>
        </w:rPr>
        <w:t>2</w:t>
      </w:r>
      <w:r w:rsidRPr="00914CDD">
        <w:tab/>
      </w:r>
      <w:r w:rsidRPr="00914CDD">
        <w:rPr>
          <w:rFonts w:eastAsia="Calibri"/>
        </w:rPr>
        <w:t>Collaborating across sectors, the ITU COP Initiative took further actions.</w:t>
      </w:r>
    </w:p>
    <w:p w14:paraId="6390B052" w14:textId="23BBB1EA" w:rsidR="00910F6D" w:rsidRPr="00914CDD" w:rsidRDefault="00910F6D" w:rsidP="006E7B84">
      <w:pPr>
        <w:pStyle w:val="Heading2"/>
        <w:rPr>
          <w:rFonts w:eastAsia="Calibri"/>
        </w:rPr>
      </w:pPr>
      <w:r w:rsidRPr="00914CDD">
        <w:rPr>
          <w:rFonts w:eastAsia="Calibri"/>
        </w:rPr>
        <w:t>2.1</w:t>
      </w:r>
      <w:r w:rsidR="006E7B84" w:rsidRPr="00914CDD">
        <w:rPr>
          <w:rFonts w:eastAsia="Calibri"/>
        </w:rPr>
        <w:tab/>
      </w:r>
      <w:r w:rsidRPr="00914CDD">
        <w:rPr>
          <w:rFonts w:eastAsia="Calibri"/>
        </w:rPr>
        <w:t>Joint Statement on child protection and in the context of AI</w:t>
      </w:r>
    </w:p>
    <w:p w14:paraId="40C91A86" w14:textId="77777777" w:rsidR="00910F6D" w:rsidRPr="00914CDD" w:rsidRDefault="00910F6D" w:rsidP="00914CDD">
      <w:pPr>
        <w:pStyle w:val="enumlev1"/>
        <w:jc w:val="both"/>
        <w:rPr>
          <w:rFonts w:eastAsia="Calibri" w:cs="Calibri"/>
          <w:szCs w:val="24"/>
        </w:rPr>
      </w:pPr>
      <w:r w:rsidRPr="00914CDD">
        <w:rPr>
          <w:rFonts w:eastAsia="Calibri" w:cs="Calibri"/>
          <w:b/>
          <w:bCs/>
          <w:szCs w:val="24"/>
        </w:rPr>
        <w:t>–</w:t>
      </w:r>
      <w:r w:rsidRPr="00914CDD">
        <w:tab/>
      </w:r>
      <w:r w:rsidRPr="00914CDD">
        <w:rPr>
          <w:rFonts w:eastAsia="Calibri" w:cs="Calibri"/>
          <w:szCs w:val="24"/>
        </w:rPr>
        <w:t xml:space="preserve">In collaboration </w:t>
      </w:r>
      <w:r w:rsidRPr="00914CDD">
        <w:rPr>
          <w:rFonts w:eastAsia="Calibri"/>
          <w:spacing w:val="-2"/>
          <w:szCs w:val="24"/>
        </w:rPr>
        <w:t>with</w:t>
      </w:r>
      <w:r w:rsidRPr="00914CDD">
        <w:rPr>
          <w:rFonts w:eastAsia="Calibri" w:cs="Calibri"/>
          <w:szCs w:val="24"/>
        </w:rPr>
        <w:t xml:space="preserve"> the Committee on the Rights of the Child (CRC) and its Vice-Chair, and UNICEF, ITU initiated and leads the drafting of a </w:t>
      </w:r>
      <w:r w:rsidRPr="00914CDD">
        <w:rPr>
          <w:rFonts w:eastAsia="Calibri" w:cs="Calibri"/>
          <w:i/>
          <w:iCs/>
          <w:szCs w:val="24"/>
        </w:rPr>
        <w:t>Joint Statement on Artificial Intelligence and the Rights of the Child</w:t>
      </w:r>
      <w:r w:rsidRPr="00914CDD">
        <w:rPr>
          <w:rFonts w:eastAsia="Calibri" w:cs="Calibri"/>
          <w:szCs w:val="24"/>
        </w:rPr>
        <w:t xml:space="preserve">, bringing together over 40 international organizations, civil society, academia, and private sector partners. </w:t>
      </w:r>
    </w:p>
    <w:p w14:paraId="7E0B4D42" w14:textId="77777777" w:rsidR="00910F6D" w:rsidRPr="00914CDD" w:rsidRDefault="00910F6D" w:rsidP="00914CDD">
      <w:pPr>
        <w:pStyle w:val="enumlev1"/>
        <w:jc w:val="both"/>
        <w:rPr>
          <w:rFonts w:eastAsia="Calibri" w:cs="Calibri"/>
          <w:szCs w:val="24"/>
        </w:rPr>
      </w:pPr>
      <w:r w:rsidRPr="00914CDD">
        <w:rPr>
          <w:rFonts w:eastAsia="Calibri" w:cs="Calibri"/>
          <w:b/>
          <w:bCs/>
          <w:szCs w:val="24"/>
        </w:rPr>
        <w:t>–</w:t>
      </w:r>
      <w:r w:rsidRPr="00914CDD">
        <w:tab/>
      </w:r>
      <w:r w:rsidRPr="00914CDD">
        <w:rPr>
          <w:rFonts w:eastAsia="Calibri" w:cs="Calibri"/>
          <w:szCs w:val="24"/>
        </w:rPr>
        <w:t xml:space="preserve">The Joint Statement outlines key principles to guide the development and use of AI in ways that </w:t>
      </w:r>
      <w:r w:rsidRPr="00914CDD">
        <w:rPr>
          <w:rFonts w:eastAsia="Calibri"/>
          <w:spacing w:val="-2"/>
          <w:szCs w:val="24"/>
        </w:rPr>
        <w:t>uphold</w:t>
      </w:r>
      <w:r w:rsidRPr="00914CDD">
        <w:rPr>
          <w:rFonts w:eastAsia="Calibri" w:cs="Calibri"/>
          <w:szCs w:val="24"/>
        </w:rPr>
        <w:t xml:space="preserve"> and promote children’s rights, and aims to inform policy, industry practices, and UN-level coordination.</w:t>
      </w:r>
    </w:p>
    <w:p w14:paraId="129FE13A" w14:textId="77777777" w:rsidR="00910F6D" w:rsidRPr="00914CDD" w:rsidRDefault="00910F6D" w:rsidP="00914CDD">
      <w:pPr>
        <w:pStyle w:val="enumlev1"/>
        <w:jc w:val="both"/>
        <w:rPr>
          <w:rFonts w:eastAsia="Calibri" w:cs="Calibri"/>
          <w:szCs w:val="24"/>
        </w:rPr>
      </w:pPr>
      <w:r w:rsidRPr="00914CDD">
        <w:rPr>
          <w:rFonts w:eastAsia="Calibri" w:cs="Calibri"/>
          <w:b/>
          <w:bCs/>
          <w:szCs w:val="24"/>
        </w:rPr>
        <w:t>–</w:t>
      </w:r>
      <w:r w:rsidRPr="00914CDD">
        <w:tab/>
      </w:r>
      <w:r w:rsidRPr="00914CDD">
        <w:rPr>
          <w:rFonts w:eastAsia="Calibri" w:cs="Calibri"/>
          <w:szCs w:val="24"/>
        </w:rPr>
        <w:t>The multi-</w:t>
      </w:r>
      <w:r w:rsidRPr="00914CDD">
        <w:rPr>
          <w:rFonts w:eastAsia="Calibri"/>
          <w:spacing w:val="-2"/>
          <w:szCs w:val="24"/>
        </w:rPr>
        <w:t>stakeholder</w:t>
      </w:r>
      <w:r w:rsidRPr="00914CDD">
        <w:rPr>
          <w:rFonts w:eastAsia="Calibri" w:cs="Calibri"/>
          <w:szCs w:val="24"/>
        </w:rPr>
        <w:t xml:space="preserve"> process began in early 2025 with the circulation of a draft outline and evolved through several rounds of consultation, including hybrid discussions during the Conference on Child Rights and the Digital Environment held in Tbilisi in March 2025. </w:t>
      </w:r>
    </w:p>
    <w:p w14:paraId="1A90387A" w14:textId="3E8F1639" w:rsidR="00910F6D" w:rsidRPr="00914CDD" w:rsidRDefault="00910F6D" w:rsidP="00914CDD">
      <w:pPr>
        <w:pStyle w:val="enumlev1"/>
        <w:jc w:val="both"/>
        <w:rPr>
          <w:rFonts w:eastAsia="Calibri" w:cs="Calibri"/>
          <w:szCs w:val="24"/>
        </w:rPr>
      </w:pPr>
      <w:r w:rsidRPr="00914CDD">
        <w:rPr>
          <w:rFonts w:eastAsia="Calibri" w:cs="Calibri"/>
          <w:b/>
          <w:bCs/>
          <w:szCs w:val="24"/>
        </w:rPr>
        <w:t>–</w:t>
      </w:r>
      <w:r w:rsidRPr="00914CDD">
        <w:tab/>
      </w:r>
      <w:r w:rsidRPr="00914CDD">
        <w:rPr>
          <w:rFonts w:eastAsia="Calibri" w:cs="Calibri"/>
          <w:szCs w:val="24"/>
        </w:rPr>
        <w:t xml:space="preserve">The Conference </w:t>
      </w:r>
      <w:r w:rsidRPr="00914CDD">
        <w:rPr>
          <w:rFonts w:eastAsia="Calibri"/>
          <w:spacing w:val="-2"/>
          <w:szCs w:val="24"/>
        </w:rPr>
        <w:t>included</w:t>
      </w:r>
      <w:r w:rsidRPr="00914CDD">
        <w:rPr>
          <w:rFonts w:eastAsia="Calibri" w:cs="Calibri"/>
          <w:szCs w:val="24"/>
        </w:rPr>
        <w:t xml:space="preserve"> strong participation from children and youth across 15+</w:t>
      </w:r>
      <w:r w:rsidR="00E00845">
        <w:rPr>
          <w:rFonts w:eastAsia="Calibri" w:cs="Calibri"/>
          <w:szCs w:val="24"/>
        </w:rPr>
        <w:t> </w:t>
      </w:r>
      <w:r w:rsidRPr="00914CDD">
        <w:rPr>
          <w:rFonts w:eastAsia="Calibri" w:cs="Calibri"/>
          <w:szCs w:val="24"/>
        </w:rPr>
        <w:t>countries, reinforcing the central role of child voices in shaping the document.</w:t>
      </w:r>
    </w:p>
    <w:p w14:paraId="29D361F6" w14:textId="77777777" w:rsidR="00910F6D" w:rsidRPr="00914CDD" w:rsidRDefault="00910F6D" w:rsidP="00914CDD">
      <w:pPr>
        <w:pStyle w:val="enumlev1"/>
        <w:jc w:val="both"/>
        <w:rPr>
          <w:rFonts w:eastAsia="Calibri" w:cs="Calibri"/>
          <w:szCs w:val="24"/>
        </w:rPr>
      </w:pPr>
      <w:r w:rsidRPr="00914CDD">
        <w:rPr>
          <w:rFonts w:eastAsia="Calibri" w:cs="Calibri"/>
          <w:b/>
          <w:bCs/>
          <w:szCs w:val="24"/>
        </w:rPr>
        <w:t>–</w:t>
      </w:r>
      <w:r w:rsidRPr="00914CDD">
        <w:tab/>
      </w:r>
      <w:r w:rsidRPr="00914CDD">
        <w:rPr>
          <w:rFonts w:eastAsia="Calibri" w:cs="Calibri"/>
          <w:szCs w:val="24"/>
        </w:rPr>
        <w:t xml:space="preserve">The draft was </w:t>
      </w:r>
      <w:r w:rsidRPr="00914CDD">
        <w:rPr>
          <w:rFonts w:eastAsia="Calibri"/>
          <w:spacing w:val="-2"/>
          <w:szCs w:val="24"/>
        </w:rPr>
        <w:t>subsequently</w:t>
      </w:r>
      <w:r w:rsidRPr="00914CDD">
        <w:rPr>
          <w:rFonts w:eastAsia="Calibri" w:cs="Calibri"/>
          <w:szCs w:val="24"/>
        </w:rPr>
        <w:t xml:space="preserve"> reviewed and revised by ITU and CRC towards a more concise and action-oriented document. As of July 2025, the third revision is undergoing final validation by co-signatories and contributors. Formal adoption is expected during the CRC session in September 2025, with an official launch planned for early 2026. </w:t>
      </w:r>
    </w:p>
    <w:p w14:paraId="2D61D257" w14:textId="48917D9D" w:rsidR="00910F6D" w:rsidRPr="00914CDD" w:rsidRDefault="00910F6D" w:rsidP="006E7B84">
      <w:pPr>
        <w:pStyle w:val="Heading2"/>
        <w:rPr>
          <w:rFonts w:eastAsia="Calibri"/>
        </w:rPr>
      </w:pPr>
      <w:r w:rsidRPr="00914CDD">
        <w:rPr>
          <w:rFonts w:eastAsia="Calibri"/>
        </w:rPr>
        <w:t>2.2</w:t>
      </w:r>
      <w:r w:rsidR="006E7B84" w:rsidRPr="00914CDD">
        <w:rPr>
          <w:rFonts w:eastAsia="Calibri"/>
        </w:rPr>
        <w:tab/>
      </w:r>
      <w:r w:rsidRPr="00914CDD">
        <w:t>ITU</w:t>
      </w:r>
      <w:r w:rsidRPr="00914CDD">
        <w:rPr>
          <w:rFonts w:eastAsia="Calibri"/>
        </w:rPr>
        <w:t xml:space="preserve"> Industry Connect </w:t>
      </w:r>
      <w:r w:rsidRPr="00914CDD">
        <w:t>e</w:t>
      </w:r>
      <w:r w:rsidRPr="00914CDD">
        <w:rPr>
          <w:rFonts w:eastAsia="Calibri"/>
        </w:rPr>
        <w:t xml:space="preserve">vent </w:t>
      </w:r>
      <w:r w:rsidRPr="00914CDD">
        <w:t>s</w:t>
      </w:r>
      <w:r w:rsidRPr="00914CDD">
        <w:rPr>
          <w:rFonts w:eastAsia="Calibri"/>
        </w:rPr>
        <w:t xml:space="preserve">eries on </w:t>
      </w:r>
      <w:r w:rsidR="00E00845" w:rsidRPr="00914CDD">
        <w:rPr>
          <w:rFonts w:eastAsia="Calibri"/>
        </w:rPr>
        <w:t xml:space="preserve">child online protection </w:t>
      </w:r>
    </w:p>
    <w:p w14:paraId="1CCF2162" w14:textId="3DF4AD9B" w:rsidR="00910F6D" w:rsidRPr="00914CDD" w:rsidRDefault="00910F6D" w:rsidP="00914CDD">
      <w:pPr>
        <w:pStyle w:val="enumlev1"/>
        <w:jc w:val="both"/>
        <w:rPr>
          <w:lang w:eastAsia="zh-CN"/>
        </w:rPr>
      </w:pPr>
      <w:r w:rsidRPr="00914CDD">
        <w:rPr>
          <w:rFonts w:eastAsia="Calibri" w:cs="Calibri"/>
          <w:szCs w:val="24"/>
        </w:rPr>
        <w:t>–</w:t>
      </w:r>
      <w:r w:rsidRPr="00914CDD">
        <w:tab/>
      </w:r>
      <w:r w:rsidRPr="00914CDD">
        <w:rPr>
          <w:rFonts w:eastAsia="Calibri" w:cs="Calibri"/>
          <w:szCs w:val="24"/>
        </w:rPr>
        <w:t xml:space="preserve">In response to </w:t>
      </w:r>
      <w:r w:rsidRPr="00914CDD">
        <w:rPr>
          <w:rFonts w:eastAsia="Calibri"/>
          <w:spacing w:val="-2"/>
          <w:szCs w:val="24"/>
        </w:rPr>
        <w:t>the</w:t>
      </w:r>
      <w:r w:rsidRPr="00914CDD">
        <w:rPr>
          <w:rFonts w:eastAsia="Calibri" w:cs="Calibri"/>
          <w:szCs w:val="24"/>
        </w:rPr>
        <w:t xml:space="preserve"> request of the Council Working Group on </w:t>
      </w:r>
      <w:r w:rsidR="00E00845" w:rsidRPr="00914CDD">
        <w:rPr>
          <w:rFonts w:eastAsia="Calibri" w:cs="Calibri"/>
          <w:szCs w:val="24"/>
        </w:rPr>
        <w:t xml:space="preserve">child online protection </w:t>
      </w:r>
      <w:r w:rsidRPr="00914CDD">
        <w:rPr>
          <w:rFonts w:eastAsia="Calibri" w:cs="Calibri"/>
          <w:szCs w:val="24"/>
        </w:rPr>
        <w:t xml:space="preserve">(CWG-COP), ITU launched in 2025 the </w:t>
      </w:r>
      <w:r w:rsidRPr="00914CDD">
        <w:rPr>
          <w:rFonts w:eastAsia="Calibri" w:cs="Calibri"/>
          <w:i/>
          <w:iCs/>
          <w:szCs w:val="24"/>
        </w:rPr>
        <w:t>Industry Connect</w:t>
      </w:r>
      <w:r w:rsidRPr="00914CDD">
        <w:rPr>
          <w:rFonts w:eastAsia="Calibri" w:cs="Calibri"/>
          <w:szCs w:val="24"/>
        </w:rPr>
        <w:t xml:space="preserve"> event series as a neutral platform to facilitate dialogue between industry stakeholders and Member States on key child online protection issues.</w:t>
      </w:r>
    </w:p>
    <w:p w14:paraId="514074E8" w14:textId="77777777" w:rsidR="00910F6D" w:rsidRPr="00914CDD" w:rsidRDefault="00910F6D" w:rsidP="00914CDD">
      <w:pPr>
        <w:pStyle w:val="enumlev1"/>
        <w:jc w:val="both"/>
        <w:rPr>
          <w:rFonts w:cs="Calibri"/>
          <w:szCs w:val="24"/>
          <w:lang w:eastAsia="zh-CN"/>
        </w:rPr>
      </w:pPr>
      <w:r w:rsidRPr="00914CDD">
        <w:rPr>
          <w:rFonts w:eastAsia="Calibri" w:cs="Calibri"/>
          <w:szCs w:val="24"/>
        </w:rPr>
        <w:t>–</w:t>
      </w:r>
      <w:r w:rsidRPr="00914CDD">
        <w:tab/>
      </w:r>
      <w:r w:rsidRPr="00914CDD">
        <w:rPr>
          <w:rFonts w:eastAsia="Calibri" w:cs="Calibri"/>
          <w:szCs w:val="24"/>
        </w:rPr>
        <w:t>The first session of the quarterly event series, held in June, focused on AI and Emerging Technologies, highlighting opportunities and risks linked to generative AI, synthetic content, and algorithms. Industry representatives from Meta and Resolver, as well as</w:t>
      </w:r>
      <w:r w:rsidRPr="00914CDD">
        <w:rPr>
          <w:rFonts w:cs="Calibri"/>
          <w:szCs w:val="24"/>
          <w:lang w:eastAsia="zh-CN"/>
        </w:rPr>
        <w:t xml:space="preserve"> e</w:t>
      </w:r>
      <w:r w:rsidRPr="00914CDD">
        <w:rPr>
          <w:rFonts w:eastAsia="Calibri" w:cs="Calibri"/>
          <w:szCs w:val="24"/>
        </w:rPr>
        <w:t xml:space="preserve">xperts from UNICEF and the </w:t>
      </w:r>
      <w:proofErr w:type="spellStart"/>
      <w:r w:rsidRPr="00914CDD">
        <w:rPr>
          <w:rFonts w:eastAsia="Calibri" w:cs="Calibri"/>
          <w:szCs w:val="24"/>
        </w:rPr>
        <w:t>WeProtect</w:t>
      </w:r>
      <w:proofErr w:type="spellEnd"/>
      <w:r w:rsidRPr="00914CDD">
        <w:rPr>
          <w:rFonts w:eastAsia="Calibri" w:cs="Calibri"/>
          <w:szCs w:val="24"/>
        </w:rPr>
        <w:t xml:space="preserve"> Global Alliance, emphasized the importance of child-</w:t>
      </w:r>
      <w:proofErr w:type="spellStart"/>
      <w:r w:rsidRPr="00914CDD">
        <w:rPr>
          <w:rFonts w:eastAsia="Calibri" w:cs="Calibri"/>
          <w:szCs w:val="24"/>
        </w:rPr>
        <w:t>centered</w:t>
      </w:r>
      <w:proofErr w:type="spellEnd"/>
      <w:r w:rsidRPr="00914CDD">
        <w:rPr>
          <w:rFonts w:eastAsia="Calibri" w:cs="Calibri"/>
          <w:szCs w:val="24"/>
        </w:rPr>
        <w:t xml:space="preserve"> design, anticipatory</w:t>
      </w:r>
      <w:r w:rsidRPr="00914CDD">
        <w:rPr>
          <w:rFonts w:cs="Calibri"/>
          <w:szCs w:val="24"/>
          <w:lang w:eastAsia="zh-CN"/>
        </w:rPr>
        <w:t xml:space="preserve"> </w:t>
      </w:r>
      <w:r w:rsidRPr="00914CDD">
        <w:rPr>
          <w:rFonts w:eastAsia="Calibri" w:cs="Calibri"/>
          <w:szCs w:val="24"/>
        </w:rPr>
        <w:t>regulation, and transparency. Youth and child speakers called for inclusive governance and ethical AI development.</w:t>
      </w:r>
    </w:p>
    <w:p w14:paraId="30D1CCFC" w14:textId="77777777" w:rsidR="00910F6D" w:rsidRPr="00914CDD" w:rsidRDefault="00910F6D" w:rsidP="00914CDD">
      <w:pPr>
        <w:pStyle w:val="enumlev1"/>
        <w:jc w:val="both"/>
        <w:rPr>
          <w:rFonts w:cs="Calibri"/>
          <w:szCs w:val="24"/>
          <w:lang w:eastAsia="zh-CN"/>
        </w:rPr>
      </w:pPr>
      <w:r w:rsidRPr="00914CDD">
        <w:rPr>
          <w:rFonts w:eastAsia="Calibri" w:cs="Calibri"/>
          <w:szCs w:val="24"/>
        </w:rPr>
        <w:lastRenderedPageBreak/>
        <w:t>–</w:t>
      </w:r>
      <w:r w:rsidRPr="00914CDD">
        <w:tab/>
      </w:r>
      <w:r w:rsidRPr="00914CDD">
        <w:rPr>
          <w:rFonts w:eastAsia="Calibri" w:cs="Calibri"/>
          <w:szCs w:val="24"/>
        </w:rPr>
        <w:t xml:space="preserve">The second session, in July, explored Social Media </w:t>
      </w:r>
      <w:r w:rsidRPr="00914CDD">
        <w:rPr>
          <w:rFonts w:cs="Calibri"/>
          <w:szCs w:val="24"/>
          <w:lang w:eastAsia="zh-CN"/>
        </w:rPr>
        <w:t>and</w:t>
      </w:r>
      <w:r w:rsidRPr="00914CDD">
        <w:rPr>
          <w:rFonts w:eastAsia="Calibri" w:cs="Calibri"/>
          <w:szCs w:val="24"/>
        </w:rPr>
        <w:t xml:space="preserve"> Child Protection, with platforms such as TikTok, Snapchat, and k-ID presenting on tools and strategies for safer</w:t>
      </w:r>
      <w:r w:rsidRPr="00914CDD">
        <w:rPr>
          <w:rFonts w:cs="Calibri"/>
          <w:szCs w:val="24"/>
          <w:lang w:eastAsia="zh-CN"/>
        </w:rPr>
        <w:t xml:space="preserve"> and </w:t>
      </w:r>
      <w:r w:rsidRPr="00914CDD">
        <w:rPr>
          <w:rFonts w:eastAsia="Calibri" w:cs="Calibri"/>
          <w:szCs w:val="24"/>
        </w:rPr>
        <w:t xml:space="preserve">more inclusive </w:t>
      </w:r>
      <w:r w:rsidRPr="00914CDD">
        <w:rPr>
          <w:rFonts w:cs="Calibri"/>
          <w:szCs w:val="24"/>
          <w:lang w:eastAsia="zh-CN"/>
        </w:rPr>
        <w:t xml:space="preserve">online social spaces. </w:t>
      </w:r>
      <w:r w:rsidRPr="00914CDD">
        <w:rPr>
          <w:rFonts w:eastAsia="Calibri" w:cs="Calibri"/>
          <w:szCs w:val="24"/>
        </w:rPr>
        <w:t>Discussions underscored the need for safety-by-default measures, youth empowerment, and shared responsibility among stakeholders.</w:t>
      </w:r>
      <w:r w:rsidRPr="00914CDD">
        <w:rPr>
          <w:rFonts w:cs="Calibri"/>
          <w:szCs w:val="24"/>
          <w:lang w:eastAsia="zh-CN"/>
        </w:rPr>
        <w:t xml:space="preserve"> </w:t>
      </w:r>
    </w:p>
    <w:p w14:paraId="7BB1BE2E" w14:textId="77777777" w:rsidR="00910F6D" w:rsidRPr="00914CDD" w:rsidRDefault="00910F6D" w:rsidP="00914CDD">
      <w:pPr>
        <w:pStyle w:val="enumlev1"/>
        <w:jc w:val="both"/>
        <w:rPr>
          <w:rFonts w:cs="Calibri"/>
          <w:szCs w:val="24"/>
          <w:lang w:eastAsia="zh-CN"/>
        </w:rPr>
      </w:pPr>
      <w:r w:rsidRPr="00914CDD">
        <w:rPr>
          <w:rFonts w:eastAsia="Calibri" w:cs="Calibri"/>
          <w:szCs w:val="24"/>
        </w:rPr>
        <w:t>–</w:t>
      </w:r>
      <w:r w:rsidRPr="00914CDD">
        <w:tab/>
      </w:r>
      <w:r w:rsidRPr="00914CDD">
        <w:rPr>
          <w:rFonts w:cs="Calibri"/>
          <w:szCs w:val="24"/>
          <w:lang w:eastAsia="zh-CN"/>
        </w:rPr>
        <w:t xml:space="preserve">A third </w:t>
      </w:r>
      <w:r w:rsidRPr="00914CDD">
        <w:rPr>
          <w:rFonts w:eastAsia="Calibri"/>
          <w:spacing w:val="-2"/>
          <w:szCs w:val="24"/>
        </w:rPr>
        <w:t>session</w:t>
      </w:r>
      <w:r w:rsidRPr="00914CDD">
        <w:rPr>
          <w:rFonts w:cs="Calibri"/>
          <w:szCs w:val="24"/>
          <w:lang w:eastAsia="zh-CN"/>
        </w:rPr>
        <w:t>, in a hybrid and open format, is scheduled for 30 October 2025 and will take place as a segment of the Andorra Digital Forum, focusing on Gaming and Online Safety.</w:t>
      </w:r>
    </w:p>
    <w:p w14:paraId="6CD9D45C" w14:textId="5814DDCA" w:rsidR="00910F6D" w:rsidRPr="00914CDD" w:rsidRDefault="00910F6D" w:rsidP="006E7B84">
      <w:pPr>
        <w:pStyle w:val="Heading2"/>
        <w:rPr>
          <w:rFonts w:eastAsia="Calibri"/>
        </w:rPr>
      </w:pPr>
      <w:r w:rsidRPr="00914CDD">
        <w:rPr>
          <w:rFonts w:eastAsia="Calibri"/>
        </w:rPr>
        <w:t>2.</w:t>
      </w:r>
      <w:r w:rsidRPr="00914CDD">
        <w:t>3</w:t>
      </w:r>
      <w:r w:rsidR="006E7B84" w:rsidRPr="00914CDD">
        <w:rPr>
          <w:rFonts w:eastAsia="Calibri"/>
        </w:rPr>
        <w:tab/>
      </w:r>
      <w:proofErr w:type="spellStart"/>
      <w:r w:rsidRPr="00914CDD">
        <w:t>AI4Good</w:t>
      </w:r>
      <w:proofErr w:type="spellEnd"/>
      <w:r w:rsidRPr="00914CDD">
        <w:t xml:space="preserve"> Global Summit and </w:t>
      </w:r>
      <w:proofErr w:type="spellStart"/>
      <w:r w:rsidRPr="00914CDD">
        <w:t>WSIS+20</w:t>
      </w:r>
      <w:proofErr w:type="spellEnd"/>
    </w:p>
    <w:p w14:paraId="7BB4ABC1" w14:textId="0599577F" w:rsidR="00910F6D" w:rsidRPr="00914CDD" w:rsidRDefault="00910F6D" w:rsidP="00914CDD">
      <w:pPr>
        <w:pStyle w:val="enumlev1"/>
        <w:jc w:val="both"/>
        <w:rPr>
          <w:rFonts w:cs="Calibri"/>
          <w:szCs w:val="24"/>
          <w:lang w:eastAsia="zh-CN"/>
        </w:rPr>
      </w:pPr>
      <w:r w:rsidRPr="00914CDD">
        <w:rPr>
          <w:rFonts w:eastAsia="Calibri" w:cs="Calibri"/>
          <w:szCs w:val="24"/>
        </w:rPr>
        <w:t>–</w:t>
      </w:r>
      <w:r w:rsidRPr="00914CDD">
        <w:tab/>
      </w:r>
      <w:r w:rsidRPr="00914CDD">
        <w:rPr>
          <w:rFonts w:eastAsia="Calibri" w:cs="Calibri"/>
          <w:szCs w:val="24"/>
        </w:rPr>
        <w:t>As part of the AI for Good Global Summit 2025, organized by ITU in Geneva and co-convened with Switzerland and over 40 UN agencies, the Child Online Protection (COP) initiative participated in the high-level AI Governance Day on 10 July. In a dedicated 15</w:t>
      </w:r>
      <w:r w:rsidR="00E00845">
        <w:rPr>
          <w:rFonts w:eastAsia="Calibri" w:cs="Calibri"/>
          <w:szCs w:val="24"/>
        </w:rPr>
        <w:noBreakHyphen/>
      </w:r>
      <w:r w:rsidRPr="00914CDD">
        <w:rPr>
          <w:rFonts w:eastAsia="Calibri" w:cs="Calibri"/>
          <w:szCs w:val="24"/>
        </w:rPr>
        <w:t xml:space="preserve">minute stage session titled “How to protect and empower children in an AI world?”, ITU, together with UNICEF and a youth representative, engaged in a dynamic intergenerational dialogue. </w:t>
      </w:r>
    </w:p>
    <w:p w14:paraId="5D2DFF53" w14:textId="77777777" w:rsidR="00910F6D" w:rsidRPr="00914CDD" w:rsidRDefault="00910F6D" w:rsidP="00914CDD">
      <w:pPr>
        <w:pStyle w:val="enumlev1"/>
        <w:jc w:val="both"/>
        <w:rPr>
          <w:rFonts w:cs="Calibri"/>
          <w:szCs w:val="24"/>
          <w:lang w:eastAsia="zh-CN"/>
        </w:rPr>
      </w:pPr>
      <w:r w:rsidRPr="00914CDD">
        <w:rPr>
          <w:rFonts w:eastAsia="Calibri" w:cs="Calibri"/>
          <w:szCs w:val="24"/>
        </w:rPr>
        <w:t>–</w:t>
      </w:r>
      <w:r w:rsidRPr="00914CDD">
        <w:tab/>
      </w:r>
      <w:bookmarkStart w:id="12" w:name="_Hlk204805923"/>
      <w:r w:rsidRPr="00914CDD">
        <w:rPr>
          <w:rFonts w:eastAsia="Calibri" w:cs="Calibri"/>
          <w:szCs w:val="24"/>
        </w:rPr>
        <w:t xml:space="preserve">Through a Q&amp;A format led by a </w:t>
      </w:r>
      <w:r w:rsidRPr="00914CDD">
        <w:rPr>
          <w:rFonts w:cs="Calibri"/>
          <w:szCs w:val="24"/>
          <w:lang w:eastAsia="zh-CN"/>
        </w:rPr>
        <w:t xml:space="preserve">youth </w:t>
      </w:r>
      <w:r w:rsidRPr="00914CDD">
        <w:rPr>
          <w:rFonts w:eastAsia="Calibri" w:cs="Calibri"/>
          <w:szCs w:val="24"/>
        </w:rPr>
        <w:t xml:space="preserve">interviewer, the session explored how AI </w:t>
      </w:r>
      <w:r w:rsidRPr="00914CDD">
        <w:rPr>
          <w:rFonts w:eastAsia="Calibri"/>
          <w:spacing w:val="-2"/>
          <w:szCs w:val="24"/>
        </w:rPr>
        <w:t>governance</w:t>
      </w:r>
      <w:r w:rsidRPr="00914CDD">
        <w:rPr>
          <w:rFonts w:eastAsia="Calibri" w:cs="Calibri"/>
          <w:szCs w:val="24"/>
        </w:rPr>
        <w:t xml:space="preserve"> can be strengthened to uphold children's rights and promote safe digital environments. The session stood out for its dynamic, youth-led interview format, using ten simple questions to make complex AI and child rights issues engaging and accessible</w:t>
      </w:r>
      <w:r w:rsidRPr="00914CDD">
        <w:rPr>
          <w:rFonts w:cs="Calibri"/>
          <w:szCs w:val="24"/>
          <w:lang w:eastAsia="zh-CN"/>
        </w:rPr>
        <w:t xml:space="preserve">. </w:t>
      </w:r>
      <w:bookmarkEnd w:id="12"/>
    </w:p>
    <w:p w14:paraId="48A908DD" w14:textId="77777777" w:rsidR="00910F6D" w:rsidRPr="00914CDD" w:rsidRDefault="00910F6D" w:rsidP="00914CDD">
      <w:pPr>
        <w:pStyle w:val="enumlev1"/>
        <w:jc w:val="both"/>
        <w:rPr>
          <w:rFonts w:cs="Calibri"/>
          <w:szCs w:val="24"/>
          <w:lang w:eastAsia="zh-CN"/>
        </w:rPr>
      </w:pPr>
      <w:r w:rsidRPr="00914CDD">
        <w:rPr>
          <w:rFonts w:eastAsia="Calibri" w:cs="Calibri"/>
          <w:szCs w:val="24"/>
          <w:lang w:eastAsia="zh-CN"/>
        </w:rPr>
        <w:t>–</w:t>
      </w:r>
      <w:r w:rsidRPr="00914CDD">
        <w:rPr>
          <w:rFonts w:cs="Calibri"/>
          <w:szCs w:val="24"/>
          <w:lang w:eastAsia="zh-CN"/>
        </w:rPr>
        <w:tab/>
        <w:t xml:space="preserve">On 11 July 2025, the ITU Child Online Protection (COP) initiative featured in Session 344 of the </w:t>
      </w:r>
      <w:proofErr w:type="spellStart"/>
      <w:r w:rsidRPr="00914CDD">
        <w:rPr>
          <w:rFonts w:cs="Calibri"/>
          <w:szCs w:val="24"/>
          <w:lang w:eastAsia="zh-CN"/>
        </w:rPr>
        <w:t>WSIS+20</w:t>
      </w:r>
      <w:proofErr w:type="spellEnd"/>
      <w:r w:rsidRPr="00914CDD">
        <w:rPr>
          <w:rFonts w:cs="Calibri"/>
          <w:szCs w:val="24"/>
          <w:lang w:eastAsia="zh-CN"/>
        </w:rPr>
        <w:t xml:space="preserve"> Forum High-Level Event in Geneva, co-organized with </w:t>
      </w:r>
      <w:proofErr w:type="spellStart"/>
      <w:r w:rsidRPr="00914CDD">
        <w:rPr>
          <w:rFonts w:cs="Calibri"/>
          <w:szCs w:val="24"/>
          <w:lang w:eastAsia="zh-CN"/>
        </w:rPr>
        <w:t>SWGfL</w:t>
      </w:r>
      <w:proofErr w:type="spellEnd"/>
      <w:r w:rsidRPr="00914CDD">
        <w:rPr>
          <w:rFonts w:cs="Calibri"/>
          <w:szCs w:val="24"/>
          <w:lang w:eastAsia="zh-CN"/>
        </w:rPr>
        <w:t xml:space="preserve">. The hybrid session, titled </w:t>
      </w:r>
      <w:r w:rsidRPr="00E00845">
        <w:rPr>
          <w:rFonts w:cs="Calibri"/>
          <w:szCs w:val="24"/>
          <w:lang w:eastAsia="zh-CN"/>
        </w:rPr>
        <w:t>“Global Strategies for Child Online Protection and Tackling Tech-Facilitated Gender-Based Violence”,</w:t>
      </w:r>
      <w:r w:rsidRPr="00914CDD">
        <w:rPr>
          <w:rFonts w:cs="Calibri"/>
          <w:szCs w:val="24"/>
          <w:lang w:eastAsia="zh-CN"/>
        </w:rPr>
        <w:t xml:space="preserve"> brought together experts from ITU, </w:t>
      </w:r>
      <w:proofErr w:type="spellStart"/>
      <w:r w:rsidRPr="00914CDD">
        <w:rPr>
          <w:rFonts w:cs="Calibri"/>
          <w:szCs w:val="24"/>
          <w:lang w:eastAsia="zh-CN"/>
        </w:rPr>
        <w:t>SWGfL</w:t>
      </w:r>
      <w:proofErr w:type="spellEnd"/>
      <w:r w:rsidRPr="00914CDD">
        <w:rPr>
          <w:rFonts w:cs="Calibri"/>
          <w:szCs w:val="24"/>
          <w:lang w:eastAsia="zh-CN"/>
        </w:rPr>
        <w:t xml:space="preserve">, and UNODC to examine scalable, rights-based solutions to online harms affecting children and women. </w:t>
      </w:r>
    </w:p>
    <w:p w14:paraId="17C5EDD7" w14:textId="1958D2E5" w:rsidR="00910F6D" w:rsidRPr="00914CDD" w:rsidRDefault="00910F6D" w:rsidP="00914CDD">
      <w:pPr>
        <w:pStyle w:val="enumlev1"/>
        <w:jc w:val="both"/>
        <w:rPr>
          <w:rFonts w:cs="Calibri"/>
          <w:szCs w:val="24"/>
          <w:lang w:eastAsia="zh-CN"/>
        </w:rPr>
      </w:pPr>
      <w:r w:rsidRPr="00914CDD">
        <w:rPr>
          <w:rFonts w:cs="Calibri"/>
          <w:szCs w:val="24"/>
          <w:lang w:eastAsia="zh-CN"/>
        </w:rPr>
        <w:t>–</w:t>
      </w:r>
      <w:r w:rsidRPr="00914CDD">
        <w:rPr>
          <w:rFonts w:cs="Calibri"/>
          <w:szCs w:val="24"/>
          <w:lang w:eastAsia="zh-CN"/>
        </w:rPr>
        <w:tab/>
        <w:t xml:space="preserve">The session highlighted real-world initiatives such as the application of the ITU COP </w:t>
      </w:r>
      <w:r w:rsidRPr="00914CDD">
        <w:rPr>
          <w:rFonts w:eastAsia="Calibri"/>
          <w:spacing w:val="-2"/>
          <w:szCs w:val="24"/>
        </w:rPr>
        <w:t>Guidelines</w:t>
      </w:r>
      <w:r w:rsidRPr="00914CDD">
        <w:rPr>
          <w:rFonts w:cs="Calibri"/>
          <w:szCs w:val="24"/>
          <w:lang w:eastAsia="zh-CN"/>
        </w:rPr>
        <w:t xml:space="preserve"> in five European countries and the development of </w:t>
      </w:r>
      <w:proofErr w:type="spellStart"/>
      <w:r w:rsidRPr="00914CDD">
        <w:rPr>
          <w:rFonts w:cs="Calibri"/>
          <w:szCs w:val="24"/>
          <w:lang w:eastAsia="zh-CN"/>
        </w:rPr>
        <w:t>StopNCII.org</w:t>
      </w:r>
      <w:proofErr w:type="spellEnd"/>
      <w:r w:rsidRPr="00914CDD">
        <w:rPr>
          <w:rFonts w:cs="Calibri"/>
          <w:szCs w:val="24"/>
          <w:lang w:eastAsia="zh-CN"/>
        </w:rPr>
        <w:t>, a survivor-led platform to prevent non-consensual image abuse. Discussions emphasized cross-sector cooperation, platform accountability, and the need for ethical responses to emerging threats like AI-generated abuse.</w:t>
      </w:r>
    </w:p>
    <w:p w14:paraId="1F4205A2" w14:textId="7F9F52EF" w:rsidR="00910F6D" w:rsidRPr="00914CDD" w:rsidRDefault="00910F6D" w:rsidP="00097205">
      <w:pPr>
        <w:spacing w:before="86"/>
        <w:ind w:left="567" w:hanging="567"/>
        <w:jc w:val="both"/>
        <w:rPr>
          <w:rFonts w:cs="Calibri"/>
          <w:szCs w:val="24"/>
          <w:lang w:eastAsia="zh-CN"/>
        </w:rPr>
      </w:pPr>
      <w:r w:rsidRPr="00914CDD">
        <w:rPr>
          <w:rFonts w:cs="Calibri"/>
          <w:szCs w:val="24"/>
          <w:lang w:eastAsia="zh-CN"/>
        </w:rPr>
        <w:t>–</w:t>
      </w:r>
      <w:r w:rsidRPr="00914CDD">
        <w:rPr>
          <w:rFonts w:cs="Calibri"/>
          <w:szCs w:val="24"/>
          <w:lang w:eastAsia="zh-CN"/>
        </w:rPr>
        <w:tab/>
        <w:t>Framed by the WSIS Action Lines and SDGs 4, 5, and 16, the session underscored the urgency of embedding child protection and digital safety in global digital policy agendas, while calling for stronger global alignment on responses to technology-facilitated gender-based violence.</w:t>
      </w:r>
    </w:p>
    <w:p w14:paraId="42DED7FE" w14:textId="20164355" w:rsidR="00910F6D" w:rsidRPr="00914CDD" w:rsidRDefault="00910F6D" w:rsidP="006E7B84">
      <w:pPr>
        <w:pStyle w:val="Heading2"/>
      </w:pPr>
      <w:r w:rsidRPr="00914CDD">
        <w:rPr>
          <w:rFonts w:eastAsia="Calibri"/>
        </w:rPr>
        <w:t>2.</w:t>
      </w:r>
      <w:r w:rsidRPr="00914CDD">
        <w:t>4</w:t>
      </w:r>
      <w:r w:rsidR="006E7B84" w:rsidRPr="00914CDD">
        <w:rPr>
          <w:rFonts w:eastAsia="Calibri"/>
        </w:rPr>
        <w:tab/>
      </w:r>
      <w:r w:rsidRPr="00914CDD">
        <w:rPr>
          <w:rFonts w:eastAsia="Calibri"/>
        </w:rPr>
        <w:t>GO-SAFER Initiativ</w:t>
      </w:r>
      <w:r w:rsidRPr="00914CDD">
        <w:t>e for g</w:t>
      </w:r>
      <w:r w:rsidRPr="00914CDD">
        <w:rPr>
          <w:rFonts w:eastAsia="Calibri"/>
        </w:rPr>
        <w:t xml:space="preserve">lobal </w:t>
      </w:r>
      <w:r w:rsidRPr="00914CDD">
        <w:t>o</w:t>
      </w:r>
      <w:r w:rsidRPr="00914CDD">
        <w:rPr>
          <w:rFonts w:eastAsia="Calibri"/>
        </w:rPr>
        <w:t xml:space="preserve">nline </w:t>
      </w:r>
      <w:r w:rsidRPr="00914CDD">
        <w:t>s</w:t>
      </w:r>
      <w:r w:rsidRPr="00914CDD">
        <w:rPr>
          <w:rFonts w:eastAsia="Calibri"/>
        </w:rPr>
        <w:t xml:space="preserve">afety </w:t>
      </w:r>
      <w:r w:rsidRPr="00914CDD">
        <w:t>e</w:t>
      </w:r>
      <w:r w:rsidRPr="00914CDD">
        <w:rPr>
          <w:rFonts w:eastAsia="Calibri"/>
        </w:rPr>
        <w:t>ducation</w:t>
      </w:r>
      <w:r w:rsidRPr="00914CDD">
        <w:t xml:space="preserve"> </w:t>
      </w:r>
    </w:p>
    <w:p w14:paraId="7A10F154" w14:textId="5105D29A" w:rsidR="00910F6D" w:rsidRPr="00914CDD" w:rsidRDefault="00910F6D" w:rsidP="00914CDD">
      <w:pPr>
        <w:pStyle w:val="enumlev1"/>
        <w:jc w:val="both"/>
        <w:rPr>
          <w:rFonts w:cs="Calibri"/>
          <w:szCs w:val="24"/>
          <w:lang w:eastAsia="zh-CN"/>
        </w:rPr>
      </w:pPr>
      <w:r w:rsidRPr="00914CDD">
        <w:rPr>
          <w:rFonts w:eastAsia="Calibri" w:cs="Calibri"/>
          <w:szCs w:val="24"/>
        </w:rPr>
        <w:t>–</w:t>
      </w:r>
      <w:r w:rsidRPr="00914CDD">
        <w:tab/>
      </w:r>
      <w:r w:rsidRPr="00914CDD">
        <w:rPr>
          <w:rFonts w:cs="Calibri"/>
          <w:szCs w:val="24"/>
          <w:lang w:eastAsia="zh-CN"/>
        </w:rPr>
        <w:t xml:space="preserve">In </w:t>
      </w:r>
      <w:r w:rsidRPr="00914CDD">
        <w:rPr>
          <w:rFonts w:eastAsia="Calibri"/>
          <w:spacing w:val="-2"/>
          <w:szCs w:val="24"/>
        </w:rPr>
        <w:t>collaboration</w:t>
      </w:r>
      <w:r w:rsidRPr="00914CDD">
        <w:rPr>
          <w:rFonts w:cs="Calibri"/>
          <w:szCs w:val="24"/>
          <w:lang w:eastAsia="zh-CN"/>
        </w:rPr>
        <w:t xml:space="preserve"> with the World Health Organization (WHO), the University of New Hampshire (UNH), and supported by Safe Online, ITU-BDT leads a two-year global initiative running through the end of 2026, entitled GO-SAFER –Global Online Safety Alliance for Educational Resources. </w:t>
      </w:r>
    </w:p>
    <w:p w14:paraId="77071D59" w14:textId="77777777" w:rsidR="00910F6D" w:rsidRPr="00914CDD" w:rsidRDefault="00910F6D" w:rsidP="001419F6">
      <w:pPr>
        <w:spacing w:before="86"/>
        <w:ind w:left="567" w:hanging="567"/>
        <w:jc w:val="both"/>
        <w:rPr>
          <w:rFonts w:cs="Calibri"/>
          <w:lang w:eastAsia="zh-CN"/>
        </w:rPr>
      </w:pPr>
      <w:r w:rsidRPr="00914CDD">
        <w:rPr>
          <w:rFonts w:eastAsia="Calibri" w:cs="Calibri"/>
          <w:szCs w:val="24"/>
        </w:rPr>
        <w:t>–</w:t>
      </w:r>
      <w:r w:rsidRPr="00914CDD">
        <w:tab/>
      </w:r>
      <w:r w:rsidRPr="00914CDD">
        <w:rPr>
          <w:rFonts w:cs="Calibri"/>
          <w:lang w:eastAsia="zh-CN"/>
        </w:rPr>
        <w:t>The initiative aims to advance evidence-based prevention education to address online child sexual exploitation and abuse (</w:t>
      </w:r>
      <w:proofErr w:type="spellStart"/>
      <w:r w:rsidRPr="00914CDD">
        <w:rPr>
          <w:rFonts w:cs="Calibri"/>
          <w:lang w:eastAsia="zh-CN"/>
        </w:rPr>
        <w:t>OCSEA</w:t>
      </w:r>
      <w:proofErr w:type="spellEnd"/>
      <w:r w:rsidRPr="00914CDD">
        <w:rPr>
          <w:rFonts w:cs="Calibri"/>
          <w:lang w:eastAsia="zh-CN"/>
        </w:rPr>
        <w:t>), drawing on proven public health approaches and ITU’s global COP frameworks.</w:t>
      </w:r>
    </w:p>
    <w:p w14:paraId="66FDC6A8" w14:textId="77777777" w:rsidR="00910F6D" w:rsidRPr="00914CDD" w:rsidRDefault="00910F6D" w:rsidP="00914CDD">
      <w:pPr>
        <w:pStyle w:val="enumlev1"/>
        <w:jc w:val="both"/>
        <w:rPr>
          <w:rFonts w:cs="Calibri"/>
          <w:szCs w:val="24"/>
          <w:lang w:eastAsia="zh-CN"/>
        </w:rPr>
      </w:pPr>
      <w:r w:rsidRPr="00914CDD">
        <w:rPr>
          <w:rFonts w:eastAsia="Calibri" w:cs="Calibri"/>
          <w:szCs w:val="24"/>
        </w:rPr>
        <w:lastRenderedPageBreak/>
        <w:t>–</w:t>
      </w:r>
      <w:r w:rsidRPr="00914CDD">
        <w:tab/>
      </w:r>
      <w:r w:rsidRPr="00914CDD">
        <w:rPr>
          <w:rFonts w:cs="Calibri"/>
          <w:szCs w:val="24"/>
          <w:lang w:eastAsia="zh-CN"/>
        </w:rPr>
        <w:t xml:space="preserve">GO-SAFER focuses on strengthening global capacity, expanding multisectoral cooperation, </w:t>
      </w:r>
      <w:r w:rsidRPr="00914CDD">
        <w:rPr>
          <w:rFonts w:eastAsia="Calibri"/>
          <w:spacing w:val="-2"/>
          <w:szCs w:val="24"/>
        </w:rPr>
        <w:t>and</w:t>
      </w:r>
      <w:r w:rsidRPr="00914CDD">
        <w:rPr>
          <w:rFonts w:cs="Calibri"/>
          <w:szCs w:val="24"/>
          <w:lang w:eastAsia="zh-CN"/>
        </w:rPr>
        <w:t xml:space="preserve"> developing evidence-based educational resources. A centralized digital hub will be created to provide accessible tools to support standardized, effective online safety education worldwide.</w:t>
      </w:r>
    </w:p>
    <w:p w14:paraId="30BB0774" w14:textId="77777777" w:rsidR="00910F6D" w:rsidRPr="00914CDD" w:rsidRDefault="00910F6D" w:rsidP="00914CDD">
      <w:pPr>
        <w:pStyle w:val="enumlev1"/>
        <w:jc w:val="both"/>
        <w:rPr>
          <w:rFonts w:cs="Calibri"/>
          <w:szCs w:val="24"/>
          <w:lang w:eastAsia="zh-CN"/>
        </w:rPr>
      </w:pPr>
      <w:r w:rsidRPr="00914CDD">
        <w:rPr>
          <w:rFonts w:eastAsia="Calibri" w:cs="Calibri"/>
          <w:szCs w:val="24"/>
        </w:rPr>
        <w:t>–</w:t>
      </w:r>
      <w:r w:rsidRPr="00914CDD">
        <w:tab/>
      </w:r>
      <w:r w:rsidRPr="00914CDD">
        <w:rPr>
          <w:rFonts w:cs="Calibri"/>
          <w:szCs w:val="24"/>
          <w:lang w:eastAsia="zh-CN"/>
        </w:rPr>
        <w:t xml:space="preserve">Stakeholders are currently being invited to contribute educational resources and nominate experts to join the initiative’s governance and research structures. </w:t>
      </w:r>
    </w:p>
    <w:p w14:paraId="184E9DD8" w14:textId="77777777" w:rsidR="0023131E" w:rsidRPr="00914CDD" w:rsidRDefault="0023131E" w:rsidP="0032202E">
      <w:pPr>
        <w:pStyle w:val="Reasons"/>
      </w:pPr>
    </w:p>
    <w:p w14:paraId="44A23075" w14:textId="6A1A1B5C" w:rsidR="0023131E" w:rsidRPr="00914CDD" w:rsidRDefault="0023131E" w:rsidP="0023131E">
      <w:pPr>
        <w:jc w:val="center"/>
      </w:pPr>
      <w:r w:rsidRPr="00914CDD">
        <w:t>______________</w:t>
      </w:r>
    </w:p>
    <w:sectPr w:rsidR="0023131E" w:rsidRPr="00914CDD" w:rsidSect="00AD3606">
      <w:footerReference w:type="default" r:id="rId14"/>
      <w:headerReference w:type="first" r:id="rId15"/>
      <w:footerReference w:type="first" r:id="rId16"/>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C0BB6" w14:textId="77777777" w:rsidR="00C11580" w:rsidRDefault="00C11580">
      <w:r>
        <w:separator/>
      </w:r>
    </w:p>
  </w:endnote>
  <w:endnote w:type="continuationSeparator" w:id="0">
    <w:p w14:paraId="5334C7C4" w14:textId="77777777" w:rsidR="00C11580" w:rsidRDefault="00C11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B248BC" w14:paraId="2CF19609" w14:textId="77777777" w:rsidTr="0042469C">
      <w:trPr>
        <w:jc w:val="center"/>
      </w:trPr>
      <w:tc>
        <w:tcPr>
          <w:tcW w:w="1803" w:type="dxa"/>
          <w:vAlign w:val="center"/>
        </w:tcPr>
        <w:p w14:paraId="139C4226" w14:textId="77777777" w:rsidR="00EE49E8" w:rsidRDefault="00EE49E8" w:rsidP="00EE49E8">
          <w:pPr>
            <w:pStyle w:val="Header"/>
            <w:jc w:val="left"/>
            <w:rPr>
              <w:noProof/>
            </w:rPr>
          </w:pPr>
        </w:p>
      </w:tc>
      <w:tc>
        <w:tcPr>
          <w:tcW w:w="8261" w:type="dxa"/>
        </w:tcPr>
        <w:p w14:paraId="6CA26460" w14:textId="2C1AE01F" w:rsidR="00EE49E8" w:rsidRPr="004A581D" w:rsidRDefault="00EE49E8" w:rsidP="00301AEE">
          <w:pPr>
            <w:pStyle w:val="Header"/>
            <w:tabs>
              <w:tab w:val="left" w:pos="6025"/>
              <w:tab w:val="right" w:pos="8505"/>
              <w:tab w:val="right" w:pos="9639"/>
            </w:tabs>
            <w:jc w:val="left"/>
            <w:rPr>
              <w:rFonts w:ascii="Arial" w:hAnsi="Arial" w:cs="Arial"/>
              <w:b/>
              <w:bCs/>
              <w:szCs w:val="18"/>
            </w:rPr>
          </w:pPr>
          <w:r w:rsidRPr="005C13D4">
            <w:rPr>
              <w:bCs/>
              <w:lang w:val="fr-CH"/>
            </w:rPr>
            <w:tab/>
          </w:r>
          <w:r w:rsidR="00A52C84" w:rsidRPr="004A581D">
            <w:rPr>
              <w:bCs/>
            </w:rPr>
            <w:t>CWG-</w:t>
          </w:r>
          <w:r w:rsidR="0025570E" w:rsidRPr="004A581D">
            <w:rPr>
              <w:bCs/>
            </w:rPr>
            <w:t>COP</w:t>
          </w:r>
          <w:r w:rsidR="00A52C84" w:rsidRPr="004A581D">
            <w:rPr>
              <w:bCs/>
            </w:rPr>
            <w:t>-</w:t>
          </w:r>
          <w:r w:rsidR="00FD1713" w:rsidRPr="004A581D">
            <w:rPr>
              <w:bCs/>
            </w:rPr>
            <w:t>23</w:t>
          </w:r>
          <w:r w:rsidR="00A52C84" w:rsidRPr="004A581D">
            <w:rPr>
              <w:bCs/>
            </w:rPr>
            <w:t>/</w:t>
          </w:r>
          <w:r w:rsidR="00190E22">
            <w:rPr>
              <w:bCs/>
            </w:rPr>
            <w:t>2</w:t>
          </w:r>
          <w:r w:rsidR="00A52C84" w:rsidRPr="004A581D">
            <w:rPr>
              <w:bCs/>
            </w:rPr>
            <w:t>-E</w:t>
          </w:r>
          <w:r w:rsidRPr="004A581D">
            <w:rPr>
              <w:bCs/>
            </w:rPr>
            <w:tab/>
          </w:r>
          <w:r>
            <w:fldChar w:fldCharType="begin"/>
          </w:r>
          <w:r w:rsidRPr="004A581D">
            <w:instrText>PAGE</w:instrText>
          </w:r>
          <w:r>
            <w:fldChar w:fldCharType="separate"/>
          </w:r>
          <w:r w:rsidRPr="004A581D">
            <w:t>1</w:t>
          </w:r>
          <w:r>
            <w:rPr>
              <w:noProof/>
            </w:rPr>
            <w:fldChar w:fldCharType="end"/>
          </w:r>
        </w:p>
      </w:tc>
    </w:tr>
  </w:tbl>
  <w:p w14:paraId="4B15A51F" w14:textId="77777777" w:rsidR="00EE49E8" w:rsidRPr="004A581D"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B248BC" w14:paraId="58C2ADCA" w14:textId="77777777" w:rsidTr="00A52C84">
      <w:trPr>
        <w:jc w:val="center"/>
      </w:trPr>
      <w:tc>
        <w:tcPr>
          <w:tcW w:w="3107" w:type="dxa"/>
          <w:vAlign w:val="center"/>
        </w:tcPr>
        <w:p w14:paraId="03537AA8" w14:textId="3519F7C4" w:rsidR="00EE49E8" w:rsidRPr="00916EAB" w:rsidRDefault="00030F5C" w:rsidP="00EE49E8">
          <w:pPr>
            <w:pStyle w:val="Header"/>
            <w:jc w:val="left"/>
            <w:rPr>
              <w:noProof/>
            </w:rPr>
          </w:pPr>
          <w:hyperlink r:id="rId1" w:history="1">
            <w:proofErr w:type="spellStart"/>
            <w:r w:rsidRPr="000D7C39">
              <w:rPr>
                <w:rStyle w:val="Hyperlink"/>
                <w:u w:val="none"/>
              </w:rPr>
              <w:t>council.itu.int</w:t>
            </w:r>
            <w:proofErr w:type="spellEnd"/>
            <w:r w:rsidRPr="000D7C39">
              <w:rPr>
                <w:rStyle w:val="Hyperlink"/>
                <w:u w:val="none"/>
              </w:rPr>
              <w:t>/working-groups</w:t>
            </w:r>
          </w:hyperlink>
        </w:p>
      </w:tc>
      <w:tc>
        <w:tcPr>
          <w:tcW w:w="6957" w:type="dxa"/>
        </w:tcPr>
        <w:p w14:paraId="3495253F" w14:textId="51D3AF48" w:rsidR="00EE49E8" w:rsidRPr="004A581D" w:rsidRDefault="00EE49E8" w:rsidP="00F10B59">
          <w:pPr>
            <w:pStyle w:val="Header"/>
            <w:tabs>
              <w:tab w:val="left" w:pos="4724"/>
              <w:tab w:val="right" w:pos="8505"/>
              <w:tab w:val="right" w:pos="9639"/>
            </w:tabs>
            <w:jc w:val="left"/>
            <w:rPr>
              <w:rFonts w:ascii="Arial" w:hAnsi="Arial" w:cs="Arial"/>
              <w:b/>
              <w:bCs/>
              <w:szCs w:val="18"/>
            </w:rPr>
          </w:pPr>
          <w:r>
            <w:rPr>
              <w:bCs/>
            </w:rPr>
            <w:tab/>
          </w:r>
          <w:r w:rsidRPr="004A581D">
            <w:rPr>
              <w:bCs/>
            </w:rPr>
            <w:t>C</w:t>
          </w:r>
          <w:r w:rsidR="00A52C84" w:rsidRPr="004A581D">
            <w:rPr>
              <w:bCs/>
            </w:rPr>
            <w:t>WG-</w:t>
          </w:r>
          <w:r w:rsidR="0025570E" w:rsidRPr="004A581D">
            <w:rPr>
              <w:bCs/>
            </w:rPr>
            <w:t>COP</w:t>
          </w:r>
          <w:r w:rsidR="00A52C84" w:rsidRPr="004A581D">
            <w:rPr>
              <w:bCs/>
            </w:rPr>
            <w:t>-</w:t>
          </w:r>
          <w:r w:rsidR="00FD1713" w:rsidRPr="004A581D">
            <w:rPr>
              <w:bCs/>
            </w:rPr>
            <w:t>23</w:t>
          </w:r>
          <w:r w:rsidRPr="004A581D">
            <w:rPr>
              <w:bCs/>
            </w:rPr>
            <w:t>/</w:t>
          </w:r>
          <w:r w:rsidR="00190E22">
            <w:rPr>
              <w:bCs/>
            </w:rPr>
            <w:t>2</w:t>
          </w:r>
          <w:r w:rsidRPr="004A581D">
            <w:rPr>
              <w:bCs/>
            </w:rPr>
            <w:t>-E</w:t>
          </w:r>
          <w:r w:rsidRPr="004A581D">
            <w:rPr>
              <w:bCs/>
            </w:rPr>
            <w:tab/>
          </w:r>
          <w:r>
            <w:fldChar w:fldCharType="begin"/>
          </w:r>
          <w:r w:rsidRPr="004A581D">
            <w:instrText>PAGE</w:instrText>
          </w:r>
          <w:r>
            <w:fldChar w:fldCharType="separate"/>
          </w:r>
          <w:r w:rsidRPr="004A581D">
            <w:t>1</w:t>
          </w:r>
          <w:r>
            <w:rPr>
              <w:noProof/>
            </w:rPr>
            <w:fldChar w:fldCharType="end"/>
          </w:r>
        </w:p>
      </w:tc>
    </w:tr>
  </w:tbl>
  <w:p w14:paraId="3F920F4D" w14:textId="77777777" w:rsidR="00A514A4" w:rsidRPr="004A581D"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D91A6" w14:textId="77777777" w:rsidR="00C11580" w:rsidRDefault="00C11580">
      <w:r>
        <w:t>____________________</w:t>
      </w:r>
    </w:p>
  </w:footnote>
  <w:footnote w:type="continuationSeparator" w:id="0">
    <w:p w14:paraId="5C29AE22" w14:textId="77777777" w:rsidR="00C11580" w:rsidRDefault="00C11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076EDB24" w14:textId="77777777" w:rsidTr="00F74694">
      <w:trPr>
        <w:trHeight w:val="1304"/>
        <w:jc w:val="center"/>
      </w:trPr>
      <w:tc>
        <w:tcPr>
          <w:tcW w:w="6546" w:type="dxa"/>
        </w:tcPr>
        <w:bookmarkStart w:id="13" w:name="_Hlk133422111"/>
        <w:p w14:paraId="1180195B" w14:textId="77777777" w:rsidR="00AD3606" w:rsidRPr="009621F8" w:rsidRDefault="00E61395" w:rsidP="00130599">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58BF1B2A" wp14:editId="368201E2">
                    <wp:simplePos x="0" y="0"/>
                    <wp:positionH relativeFrom="column">
                      <wp:posOffset>1431925</wp:posOffset>
                    </wp:positionH>
                    <wp:positionV relativeFrom="paragraph">
                      <wp:posOffset>6929</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0E6B62F0" w14:textId="365208FF" w:rsidR="00130599" w:rsidRDefault="000120E4" w:rsidP="000120E4">
                                <w:pPr>
                                  <w:spacing w:before="0"/>
                                </w:pPr>
                                <w:r w:rsidRPr="00F74694">
                                  <w:rPr>
                                    <w:b/>
                                    <w:bCs/>
                                    <w:szCs w:val="24"/>
                                  </w:rPr>
                                  <w:t xml:space="preserve">Council Working Group </w:t>
                                </w:r>
                                <w:r w:rsidRPr="00F74694">
                                  <w:rPr>
                                    <w:b/>
                                    <w:bCs/>
                                    <w:szCs w:val="24"/>
                                  </w:rPr>
                                  <w:br/>
                                  <w:t xml:space="preserve">on </w:t>
                                </w:r>
                                <w:r>
                                  <w:rPr>
                                    <w:b/>
                                    <w:bCs/>
                                    <w:szCs w:val="24"/>
                                  </w:rPr>
                                  <w:t>child online protection</w:t>
                                </w:r>
                                <w:r>
                                  <w:br/>
                                </w:r>
                                <w:r>
                                  <w:rPr>
                                    <w:sz w:val="20"/>
                                  </w:rPr>
                                  <w:t>Twenty-</w:t>
                                </w:r>
                                <w:r w:rsidR="0023131E">
                                  <w:rPr>
                                    <w:sz w:val="20"/>
                                  </w:rPr>
                                  <w:t>third</w:t>
                                </w:r>
                                <w:r w:rsidRPr="00130599">
                                  <w:rPr>
                                    <w:sz w:val="20"/>
                                  </w:rPr>
                                  <w:t xml:space="preserve"> meeting </w:t>
                                </w:r>
                                <w:r>
                                  <w:rPr>
                                    <w:sz w:val="20"/>
                                  </w:rPr>
                                  <w:t xml:space="preserve">– </w:t>
                                </w:r>
                                <w:r w:rsidR="004A581D">
                                  <w:rPr>
                                    <w:sz w:val="20"/>
                                  </w:rPr>
                                  <w:t>16 September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8BF1B2A" id="_x0000_t202" coordsize="21600,21600" o:spt="202" path="m,l,21600r21600,l21600,xe">
                    <v:stroke joinstyle="miter"/>
                    <v:path gradientshapeok="t" o:connecttype="rect"/>
                  </v:shapetype>
                  <v:shape id="Text Box 2" o:spid="_x0000_s1026" type="#_x0000_t202" style="position:absolute;margin-left:112.75pt;margin-top:.55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" fillcolor="white [3212]" stroked="f">
                    <v:textbox style="mso-fit-shape-to-text:t" inset="1mm">
                      <w:txbxContent>
                        <w:p w14:paraId="0E6B62F0" w14:textId="365208FF" w:rsidR="00130599" w:rsidRDefault="000120E4" w:rsidP="000120E4">
                          <w:pPr>
                            <w:spacing w:before="0"/>
                          </w:pPr>
                          <w:r w:rsidRPr="00F74694">
                            <w:rPr>
                              <w:b/>
                              <w:bCs/>
                              <w:szCs w:val="24"/>
                            </w:rPr>
                            <w:t xml:space="preserve">Council Working Group </w:t>
                          </w:r>
                          <w:r w:rsidRPr="00F74694">
                            <w:rPr>
                              <w:b/>
                              <w:bCs/>
                              <w:szCs w:val="24"/>
                            </w:rPr>
                            <w:br/>
                            <w:t xml:space="preserve">on </w:t>
                          </w:r>
                          <w:r>
                            <w:rPr>
                              <w:b/>
                              <w:bCs/>
                              <w:szCs w:val="24"/>
                            </w:rPr>
                            <w:t>child online protection</w:t>
                          </w:r>
                          <w:r>
                            <w:br/>
                          </w:r>
                          <w:r>
                            <w:rPr>
                              <w:sz w:val="20"/>
                            </w:rPr>
                            <w:t>Twenty-</w:t>
                          </w:r>
                          <w:r w:rsidR="0023131E">
                            <w:rPr>
                              <w:sz w:val="20"/>
                            </w:rPr>
                            <w:t>third</w:t>
                          </w:r>
                          <w:r w:rsidRPr="00130599">
                            <w:rPr>
                              <w:sz w:val="20"/>
                            </w:rPr>
                            <w:t xml:space="preserve"> meeting </w:t>
                          </w:r>
                          <w:r>
                            <w:rPr>
                              <w:sz w:val="20"/>
                            </w:rPr>
                            <w:t xml:space="preserve">– </w:t>
                          </w:r>
                          <w:r w:rsidR="004A581D">
                            <w:rPr>
                              <w:sz w:val="20"/>
                            </w:rPr>
                            <w:t>16 September 2025</w:t>
                          </w:r>
                        </w:p>
                      </w:txbxContent>
                    </v:textbox>
                  </v:shape>
                </w:pict>
              </mc:Fallback>
            </mc:AlternateContent>
          </w:r>
          <w:r>
            <w:rPr>
              <w:rFonts w:ascii="Arial" w:hAnsi="Arial" w:cs="Arial"/>
              <w:b/>
              <w:bCs/>
              <w:noProof/>
              <w:color w:val="009CD6"/>
              <w:sz w:val="36"/>
              <w:szCs w:val="36"/>
            </w:rPr>
            <w:drawing>
              <wp:inline distT="0" distB="0" distL="0" distR="0" wp14:anchorId="348F1CF5" wp14:editId="7156C562">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7A5970B3" w14:textId="77777777" w:rsidR="00AD3606" w:rsidRDefault="00AD3606" w:rsidP="00AD3606">
          <w:pPr>
            <w:pStyle w:val="Header"/>
            <w:jc w:val="right"/>
            <w:rPr>
              <w:rFonts w:ascii="Arial" w:hAnsi="Arial" w:cs="Arial"/>
              <w:b/>
              <w:bCs/>
              <w:color w:val="009CD6"/>
              <w:szCs w:val="18"/>
            </w:rPr>
          </w:pPr>
        </w:p>
        <w:p w14:paraId="54458F84" w14:textId="77777777" w:rsidR="00AD3606" w:rsidRDefault="00AD3606" w:rsidP="00AD3606">
          <w:pPr>
            <w:pStyle w:val="Header"/>
            <w:jc w:val="right"/>
            <w:rPr>
              <w:rFonts w:ascii="Arial" w:hAnsi="Arial" w:cs="Arial"/>
              <w:b/>
              <w:bCs/>
              <w:color w:val="009CD6"/>
              <w:szCs w:val="18"/>
            </w:rPr>
          </w:pPr>
        </w:p>
        <w:p w14:paraId="0B9FAAF9"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3"/>
  <w:p w14:paraId="42D9AEE6"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28DF2D66" wp14:editId="14DD7202">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829DC"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580"/>
    <w:rsid w:val="000120E4"/>
    <w:rsid w:val="000210D4"/>
    <w:rsid w:val="00023CB6"/>
    <w:rsid w:val="00030F5C"/>
    <w:rsid w:val="00046146"/>
    <w:rsid w:val="00063016"/>
    <w:rsid w:val="00066795"/>
    <w:rsid w:val="00076AF6"/>
    <w:rsid w:val="00085CF2"/>
    <w:rsid w:val="0009034B"/>
    <w:rsid w:val="00097555"/>
    <w:rsid w:val="000B1705"/>
    <w:rsid w:val="000D174F"/>
    <w:rsid w:val="000D75B2"/>
    <w:rsid w:val="0010468B"/>
    <w:rsid w:val="001121F5"/>
    <w:rsid w:val="00130599"/>
    <w:rsid w:val="001400DC"/>
    <w:rsid w:val="00140CE1"/>
    <w:rsid w:val="00147C54"/>
    <w:rsid w:val="00150405"/>
    <w:rsid w:val="0017539C"/>
    <w:rsid w:val="00175AC2"/>
    <w:rsid w:val="0017609F"/>
    <w:rsid w:val="00190E22"/>
    <w:rsid w:val="001A7D1D"/>
    <w:rsid w:val="001B51DD"/>
    <w:rsid w:val="001C628E"/>
    <w:rsid w:val="001E0F7B"/>
    <w:rsid w:val="001E0FBE"/>
    <w:rsid w:val="001E5FE7"/>
    <w:rsid w:val="002119FD"/>
    <w:rsid w:val="002130E0"/>
    <w:rsid w:val="0023131E"/>
    <w:rsid w:val="00244F7F"/>
    <w:rsid w:val="0025197E"/>
    <w:rsid w:val="0025570E"/>
    <w:rsid w:val="00264425"/>
    <w:rsid w:val="00265875"/>
    <w:rsid w:val="0027303B"/>
    <w:rsid w:val="0028109B"/>
    <w:rsid w:val="002A2188"/>
    <w:rsid w:val="002B1F58"/>
    <w:rsid w:val="002C1C7A"/>
    <w:rsid w:val="002C54E2"/>
    <w:rsid w:val="002E0AC3"/>
    <w:rsid w:val="0030160F"/>
    <w:rsid w:val="00301AEE"/>
    <w:rsid w:val="003145DF"/>
    <w:rsid w:val="00320223"/>
    <w:rsid w:val="00322D0D"/>
    <w:rsid w:val="00361465"/>
    <w:rsid w:val="003877F5"/>
    <w:rsid w:val="003942D4"/>
    <w:rsid w:val="0039514F"/>
    <w:rsid w:val="003958A8"/>
    <w:rsid w:val="003B090D"/>
    <w:rsid w:val="003B29C2"/>
    <w:rsid w:val="003C20CA"/>
    <w:rsid w:val="003C2533"/>
    <w:rsid w:val="003D5A7F"/>
    <w:rsid w:val="003D635C"/>
    <w:rsid w:val="003F76BE"/>
    <w:rsid w:val="004016E2"/>
    <w:rsid w:val="0040435A"/>
    <w:rsid w:val="00406F32"/>
    <w:rsid w:val="00416A24"/>
    <w:rsid w:val="0042059E"/>
    <w:rsid w:val="00431D9E"/>
    <w:rsid w:val="00433CE8"/>
    <w:rsid w:val="00434A5C"/>
    <w:rsid w:val="004544D9"/>
    <w:rsid w:val="00472BAD"/>
    <w:rsid w:val="00484009"/>
    <w:rsid w:val="00490E72"/>
    <w:rsid w:val="00491157"/>
    <w:rsid w:val="004921C8"/>
    <w:rsid w:val="00495B0B"/>
    <w:rsid w:val="004A1B8B"/>
    <w:rsid w:val="004A581D"/>
    <w:rsid w:val="004C7E76"/>
    <w:rsid w:val="004D1851"/>
    <w:rsid w:val="004D599D"/>
    <w:rsid w:val="004E2EA5"/>
    <w:rsid w:val="004E3AEB"/>
    <w:rsid w:val="0050223C"/>
    <w:rsid w:val="00507002"/>
    <w:rsid w:val="00507750"/>
    <w:rsid w:val="005243FF"/>
    <w:rsid w:val="005311D6"/>
    <w:rsid w:val="00536422"/>
    <w:rsid w:val="00564FBC"/>
    <w:rsid w:val="005800BC"/>
    <w:rsid w:val="00582442"/>
    <w:rsid w:val="0058434E"/>
    <w:rsid w:val="00596DB2"/>
    <w:rsid w:val="005A335D"/>
    <w:rsid w:val="005C13D4"/>
    <w:rsid w:val="005C77C0"/>
    <w:rsid w:val="005E2BD5"/>
    <w:rsid w:val="005F3269"/>
    <w:rsid w:val="00615961"/>
    <w:rsid w:val="00623AE3"/>
    <w:rsid w:val="0064737F"/>
    <w:rsid w:val="006535F1"/>
    <w:rsid w:val="0065557D"/>
    <w:rsid w:val="00660D50"/>
    <w:rsid w:val="00662984"/>
    <w:rsid w:val="006716BB"/>
    <w:rsid w:val="006B1859"/>
    <w:rsid w:val="006B6680"/>
    <w:rsid w:val="006B6DCC"/>
    <w:rsid w:val="006E7B84"/>
    <w:rsid w:val="00701C70"/>
    <w:rsid w:val="00702DEF"/>
    <w:rsid w:val="00706861"/>
    <w:rsid w:val="00724FD3"/>
    <w:rsid w:val="0075051B"/>
    <w:rsid w:val="00751B6A"/>
    <w:rsid w:val="0077110E"/>
    <w:rsid w:val="0077153D"/>
    <w:rsid w:val="00775655"/>
    <w:rsid w:val="00793188"/>
    <w:rsid w:val="00794D34"/>
    <w:rsid w:val="00806E3C"/>
    <w:rsid w:val="00813E5E"/>
    <w:rsid w:val="008154F8"/>
    <w:rsid w:val="00816C2C"/>
    <w:rsid w:val="0083581B"/>
    <w:rsid w:val="00860EED"/>
    <w:rsid w:val="00863874"/>
    <w:rsid w:val="00864AFF"/>
    <w:rsid w:val="00865925"/>
    <w:rsid w:val="00891503"/>
    <w:rsid w:val="008B4A6A"/>
    <w:rsid w:val="008C7E27"/>
    <w:rsid w:val="008F3822"/>
    <w:rsid w:val="008F7448"/>
    <w:rsid w:val="0090147A"/>
    <w:rsid w:val="0090389B"/>
    <w:rsid w:val="00910F6D"/>
    <w:rsid w:val="00914CDD"/>
    <w:rsid w:val="00916EAB"/>
    <w:rsid w:val="009173EF"/>
    <w:rsid w:val="00932906"/>
    <w:rsid w:val="00961860"/>
    <w:rsid w:val="00961B0B"/>
    <w:rsid w:val="00962D33"/>
    <w:rsid w:val="0096440C"/>
    <w:rsid w:val="009B38C3"/>
    <w:rsid w:val="009E17BD"/>
    <w:rsid w:val="009E485A"/>
    <w:rsid w:val="009F6E25"/>
    <w:rsid w:val="00A04CEC"/>
    <w:rsid w:val="00A27F92"/>
    <w:rsid w:val="00A32257"/>
    <w:rsid w:val="00A36D20"/>
    <w:rsid w:val="00A46CD0"/>
    <w:rsid w:val="00A514A4"/>
    <w:rsid w:val="00A52C84"/>
    <w:rsid w:val="00A55622"/>
    <w:rsid w:val="00A83502"/>
    <w:rsid w:val="00AD15B3"/>
    <w:rsid w:val="00AD3606"/>
    <w:rsid w:val="00AD4A3D"/>
    <w:rsid w:val="00AF6E49"/>
    <w:rsid w:val="00B04A67"/>
    <w:rsid w:val="00B0583C"/>
    <w:rsid w:val="00B248BC"/>
    <w:rsid w:val="00B358B2"/>
    <w:rsid w:val="00B40A81"/>
    <w:rsid w:val="00B44910"/>
    <w:rsid w:val="00B72267"/>
    <w:rsid w:val="00B73DD1"/>
    <w:rsid w:val="00B76EB6"/>
    <w:rsid w:val="00B7737B"/>
    <w:rsid w:val="00B824C8"/>
    <w:rsid w:val="00B849D3"/>
    <w:rsid w:val="00B84B9D"/>
    <w:rsid w:val="00BA3A51"/>
    <w:rsid w:val="00BC251A"/>
    <w:rsid w:val="00BD032B"/>
    <w:rsid w:val="00BD0614"/>
    <w:rsid w:val="00BD094B"/>
    <w:rsid w:val="00BE2640"/>
    <w:rsid w:val="00C01189"/>
    <w:rsid w:val="00C11580"/>
    <w:rsid w:val="00C374DE"/>
    <w:rsid w:val="00C47AD4"/>
    <w:rsid w:val="00C52D81"/>
    <w:rsid w:val="00C55198"/>
    <w:rsid w:val="00C922C7"/>
    <w:rsid w:val="00CA6393"/>
    <w:rsid w:val="00CB18FF"/>
    <w:rsid w:val="00CD0C08"/>
    <w:rsid w:val="00CD3C91"/>
    <w:rsid w:val="00CE03FB"/>
    <w:rsid w:val="00CE433C"/>
    <w:rsid w:val="00CF0161"/>
    <w:rsid w:val="00CF33F3"/>
    <w:rsid w:val="00D06183"/>
    <w:rsid w:val="00D22C42"/>
    <w:rsid w:val="00D45669"/>
    <w:rsid w:val="00D464CC"/>
    <w:rsid w:val="00D522F6"/>
    <w:rsid w:val="00D56C71"/>
    <w:rsid w:val="00D65041"/>
    <w:rsid w:val="00DB00D5"/>
    <w:rsid w:val="00DB1936"/>
    <w:rsid w:val="00DB384B"/>
    <w:rsid w:val="00DE19C1"/>
    <w:rsid w:val="00DF0189"/>
    <w:rsid w:val="00E00845"/>
    <w:rsid w:val="00E06FD5"/>
    <w:rsid w:val="00E10E80"/>
    <w:rsid w:val="00E124F0"/>
    <w:rsid w:val="00E227F3"/>
    <w:rsid w:val="00E4728B"/>
    <w:rsid w:val="00E545C6"/>
    <w:rsid w:val="00E60F04"/>
    <w:rsid w:val="00E61395"/>
    <w:rsid w:val="00E65B24"/>
    <w:rsid w:val="00E854E4"/>
    <w:rsid w:val="00E86DBF"/>
    <w:rsid w:val="00EB0D6F"/>
    <w:rsid w:val="00EB2232"/>
    <w:rsid w:val="00EC5337"/>
    <w:rsid w:val="00EE49E8"/>
    <w:rsid w:val="00F10B59"/>
    <w:rsid w:val="00F16BAB"/>
    <w:rsid w:val="00F2150A"/>
    <w:rsid w:val="00F231D8"/>
    <w:rsid w:val="00F44C00"/>
    <w:rsid w:val="00F45D2C"/>
    <w:rsid w:val="00F46C5F"/>
    <w:rsid w:val="00F632C0"/>
    <w:rsid w:val="00F74694"/>
    <w:rsid w:val="00F86596"/>
    <w:rsid w:val="00F93FD4"/>
    <w:rsid w:val="00F94A63"/>
    <w:rsid w:val="00FA1C28"/>
    <w:rsid w:val="00FB1279"/>
    <w:rsid w:val="00FB6B76"/>
    <w:rsid w:val="00FB7596"/>
    <w:rsid w:val="00FC1682"/>
    <w:rsid w:val="00FC1B24"/>
    <w:rsid w:val="00FD1713"/>
    <w:rsid w:val="00FD4DFB"/>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F546F"/>
  <w15:docId w15:val="{C41F34C9-E7DA-4D2D-B4C9-33D89BDA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E61395"/>
    <w:rPr>
      <w:color w:val="666666"/>
    </w:rPr>
  </w:style>
  <w:style w:type="paragraph" w:customStyle="1" w:styleId="Reasons">
    <w:name w:val="Reasons"/>
    <w:basedOn w:val="Normal"/>
    <w:qFormat/>
    <w:rsid w:val="00231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en/ITU-D/Cybersecurity/Pages/COP/COP.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en/ITU-D/Cybersecurity/Pages/COP/COP.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cwg-cop/Pages/default.asp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cf676c-2816-4389-ad5d-0f2e7c7e67c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6B2CC4DF5F10149B2E37F08EDC3AC3A" ma:contentTypeVersion="12" ma:contentTypeDescription="Crear nuevo documento." ma:contentTypeScope="" ma:versionID="ef6a786f601f099a933374c36fe1a955">
  <xsd:schema xmlns:xsd="http://www.w3.org/2001/XMLSchema" xmlns:xs="http://www.w3.org/2001/XMLSchema" xmlns:p="http://schemas.microsoft.com/office/2006/metadata/properties" xmlns:ns2="a1cf676c-2816-4389-ad5d-0f2e7c7e67c4" targetNamespace="http://schemas.microsoft.com/office/2006/metadata/properties" ma:root="true" ma:fieldsID="f846d8c12b833df1453f09cb14926907"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AB0382C1-267A-4104-BC5B-DF274E217ECC}">
  <ds:schemaRefs>
    <ds:schemaRef ds:uri="http://purl.org/dc/dcmitype/"/>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a1cf676c-2816-4389-ad5d-0f2e7c7e67c4"/>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75D7116-ABFA-4569-BBA7-93F187DF2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489B23-B8CC-4105-A9BA-8F7CBBC299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1375</Words>
  <Characters>8499</Characters>
  <Application>Microsoft Office Word</Application>
  <DocSecurity>0</DocSecurity>
  <Lines>151</Lines>
  <Paragraphs>64</Paragraphs>
  <ScaleCrop>false</ScaleCrop>
  <HeadingPairs>
    <vt:vector size="2" baseType="variant">
      <vt:variant>
        <vt:lpstr>Title</vt:lpstr>
      </vt:variant>
      <vt:variant>
        <vt:i4>1</vt:i4>
      </vt:variant>
    </vt:vector>
  </HeadingPairs>
  <TitlesOfParts>
    <vt:vector size="1" baseType="lpstr">
      <vt:lpstr>Update on the ITU Child Online Protection Initiative and the COP Global Programme</vt:lpstr>
    </vt:vector>
  </TitlesOfParts>
  <Manager/>
  <Company/>
  <LinksUpToDate>false</LinksUpToDate>
  <CharactersWithSpaces>9810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on the ITU Child Online Protection Initiative and the COP Global Programme</dc:title>
  <dc:subject>ITU Council Working Group on child online protection</dc:subject>
  <cp:keywords>CWG-COP</cp:keywords>
  <dc:description/>
  <dcterms:created xsi:type="dcterms:W3CDTF">2025-08-08T10:18:00Z</dcterms:created>
  <dcterms:modified xsi:type="dcterms:W3CDTF">2025-08-08T10:18:00Z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a5af1daf87b2f7dfbe4d0cd78cfd308dbcf0c791832fba5a08f95f585863061b</vt:lpwstr>
  </property>
  <property fmtid="{D5CDD505-2E9C-101B-9397-08002B2CF9AE}" pid="3" name="ContentTypeId">
    <vt:lpwstr>0x01010096B2CC4DF5F10149B2E37F08EDC3AC3A</vt:lpwstr>
  </property>
</Properties>
</file>