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836B0" w14:paraId="10B86344" w14:textId="77777777" w:rsidTr="00AD3606">
        <w:trPr>
          <w:cantSplit/>
          <w:trHeight w:val="23"/>
        </w:trPr>
        <w:tc>
          <w:tcPr>
            <w:tcW w:w="3969" w:type="dxa"/>
            <w:vMerge w:val="restart"/>
            <w:tcMar>
              <w:left w:w="0" w:type="dxa"/>
            </w:tcMar>
          </w:tcPr>
          <w:p w14:paraId="4744521D" w14:textId="77777777" w:rsidR="00AD3606" w:rsidRPr="008836B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30EFACE" w14:textId="4C8027B8" w:rsidR="00AD3606" w:rsidRPr="008836B0" w:rsidRDefault="00AD3606" w:rsidP="00472BAD">
            <w:pPr>
              <w:tabs>
                <w:tab w:val="left" w:pos="851"/>
              </w:tabs>
              <w:spacing w:before="0" w:line="240" w:lineRule="atLeast"/>
              <w:jc w:val="right"/>
              <w:rPr>
                <w:b/>
              </w:rPr>
            </w:pPr>
            <w:r w:rsidRPr="008836B0">
              <w:rPr>
                <w:b/>
              </w:rPr>
              <w:t>Document C</w:t>
            </w:r>
            <w:r w:rsidR="00A52C84" w:rsidRPr="008836B0">
              <w:rPr>
                <w:b/>
              </w:rPr>
              <w:t>WG-</w:t>
            </w:r>
            <w:r w:rsidR="0025570E" w:rsidRPr="008836B0">
              <w:rPr>
                <w:b/>
              </w:rPr>
              <w:t>COP</w:t>
            </w:r>
            <w:r w:rsidR="00CA4B59" w:rsidRPr="008836B0">
              <w:rPr>
                <w:b/>
              </w:rPr>
              <w:t>-22/INF/</w:t>
            </w:r>
            <w:r w:rsidR="00680230" w:rsidRPr="008836B0">
              <w:rPr>
                <w:b/>
              </w:rPr>
              <w:t>19</w:t>
            </w:r>
          </w:p>
        </w:tc>
      </w:tr>
      <w:tr w:rsidR="00AD3606" w:rsidRPr="008836B0" w14:paraId="77E94E52" w14:textId="77777777" w:rsidTr="00AD3606">
        <w:trPr>
          <w:cantSplit/>
        </w:trPr>
        <w:tc>
          <w:tcPr>
            <w:tcW w:w="3969" w:type="dxa"/>
            <w:vMerge/>
          </w:tcPr>
          <w:p w14:paraId="0CC4E48C" w14:textId="77777777" w:rsidR="00AD3606" w:rsidRPr="008836B0" w:rsidRDefault="00AD3606" w:rsidP="00AD3606">
            <w:pPr>
              <w:tabs>
                <w:tab w:val="left" w:pos="851"/>
              </w:tabs>
              <w:spacing w:line="240" w:lineRule="atLeast"/>
              <w:rPr>
                <w:b/>
              </w:rPr>
            </w:pPr>
            <w:bookmarkStart w:id="6" w:name="ddate" w:colFirst="1" w:colLast="1"/>
            <w:bookmarkEnd w:id="0"/>
            <w:bookmarkEnd w:id="1"/>
          </w:p>
        </w:tc>
        <w:tc>
          <w:tcPr>
            <w:tcW w:w="5245" w:type="dxa"/>
          </w:tcPr>
          <w:p w14:paraId="78809537" w14:textId="03200BC9" w:rsidR="00AD3606" w:rsidRPr="008836B0" w:rsidRDefault="00222601" w:rsidP="00AD3606">
            <w:pPr>
              <w:tabs>
                <w:tab w:val="left" w:pos="851"/>
              </w:tabs>
              <w:spacing w:before="0"/>
              <w:jc w:val="right"/>
              <w:rPr>
                <w:b/>
              </w:rPr>
            </w:pPr>
            <w:r w:rsidRPr="008836B0">
              <w:rPr>
                <w:b/>
              </w:rPr>
              <w:t xml:space="preserve">31 </w:t>
            </w:r>
            <w:r w:rsidR="00BA0DDB" w:rsidRPr="008836B0">
              <w:rPr>
                <w:b/>
              </w:rPr>
              <w:t xml:space="preserve">January </w:t>
            </w:r>
            <w:r w:rsidR="00E50349" w:rsidRPr="008836B0">
              <w:rPr>
                <w:b/>
              </w:rPr>
              <w:t>2025</w:t>
            </w:r>
          </w:p>
        </w:tc>
      </w:tr>
      <w:tr w:rsidR="00AD3606" w:rsidRPr="008836B0" w14:paraId="1E53058D" w14:textId="77777777" w:rsidTr="00AD3606">
        <w:trPr>
          <w:cantSplit/>
          <w:trHeight w:val="23"/>
        </w:trPr>
        <w:tc>
          <w:tcPr>
            <w:tcW w:w="3969" w:type="dxa"/>
            <w:vMerge/>
          </w:tcPr>
          <w:p w14:paraId="4C6E9CFE" w14:textId="77777777" w:rsidR="00AD3606" w:rsidRPr="008836B0" w:rsidRDefault="00AD3606" w:rsidP="00AD3606">
            <w:pPr>
              <w:tabs>
                <w:tab w:val="left" w:pos="851"/>
              </w:tabs>
              <w:spacing w:line="240" w:lineRule="atLeast"/>
              <w:rPr>
                <w:b/>
              </w:rPr>
            </w:pPr>
            <w:bookmarkStart w:id="7" w:name="dorlang" w:colFirst="1" w:colLast="1"/>
            <w:bookmarkEnd w:id="6"/>
          </w:p>
        </w:tc>
        <w:tc>
          <w:tcPr>
            <w:tcW w:w="5245" w:type="dxa"/>
          </w:tcPr>
          <w:p w14:paraId="4A89AA31" w14:textId="77777777" w:rsidR="00AD3606" w:rsidRPr="008836B0" w:rsidRDefault="00891503" w:rsidP="00AD3606">
            <w:pPr>
              <w:tabs>
                <w:tab w:val="left" w:pos="851"/>
              </w:tabs>
              <w:spacing w:before="0" w:line="240" w:lineRule="atLeast"/>
              <w:jc w:val="right"/>
              <w:rPr>
                <w:b/>
              </w:rPr>
            </w:pPr>
            <w:r w:rsidRPr="008836B0">
              <w:rPr>
                <w:b/>
              </w:rPr>
              <w:t>English only</w:t>
            </w:r>
          </w:p>
        </w:tc>
      </w:tr>
      <w:tr w:rsidR="00472BAD" w:rsidRPr="008836B0" w14:paraId="508EFE44" w14:textId="77777777" w:rsidTr="00AD3606">
        <w:trPr>
          <w:cantSplit/>
          <w:trHeight w:val="23"/>
        </w:trPr>
        <w:tc>
          <w:tcPr>
            <w:tcW w:w="3969" w:type="dxa"/>
          </w:tcPr>
          <w:p w14:paraId="7208AD57" w14:textId="77777777" w:rsidR="00472BAD" w:rsidRPr="008836B0" w:rsidRDefault="00472BAD" w:rsidP="00AD3606">
            <w:pPr>
              <w:tabs>
                <w:tab w:val="left" w:pos="851"/>
              </w:tabs>
              <w:spacing w:line="240" w:lineRule="atLeast"/>
              <w:rPr>
                <w:b/>
              </w:rPr>
            </w:pPr>
          </w:p>
        </w:tc>
        <w:tc>
          <w:tcPr>
            <w:tcW w:w="5245" w:type="dxa"/>
          </w:tcPr>
          <w:p w14:paraId="51EEC882" w14:textId="77777777" w:rsidR="00472BAD" w:rsidRPr="008836B0" w:rsidRDefault="00472BAD" w:rsidP="00AD3606">
            <w:pPr>
              <w:tabs>
                <w:tab w:val="left" w:pos="851"/>
              </w:tabs>
              <w:spacing w:before="0" w:line="240" w:lineRule="atLeast"/>
              <w:jc w:val="right"/>
              <w:rPr>
                <w:b/>
              </w:rPr>
            </w:pPr>
          </w:p>
        </w:tc>
      </w:tr>
      <w:tr w:rsidR="00AD3606" w:rsidRPr="008836B0" w14:paraId="30046A79" w14:textId="77777777" w:rsidTr="00AD3606">
        <w:trPr>
          <w:cantSplit/>
        </w:trPr>
        <w:tc>
          <w:tcPr>
            <w:tcW w:w="9214" w:type="dxa"/>
            <w:gridSpan w:val="2"/>
            <w:tcMar>
              <w:left w:w="0" w:type="dxa"/>
            </w:tcMar>
          </w:tcPr>
          <w:p w14:paraId="18BD44C8" w14:textId="1D198CA9" w:rsidR="00AD3606" w:rsidRPr="008836B0" w:rsidRDefault="000C5FE0" w:rsidP="00773F91">
            <w:pPr>
              <w:pStyle w:val="Source"/>
              <w:framePr w:hSpace="0" w:wrap="auto" w:vAnchor="margin" w:hAnchor="text" w:xAlign="left" w:yAlign="inline"/>
            </w:pPr>
            <w:bookmarkStart w:id="8" w:name="dsource" w:colFirst="0" w:colLast="0"/>
            <w:bookmarkEnd w:id="7"/>
            <w:r w:rsidRPr="008836B0">
              <w:t xml:space="preserve">Contribution by </w:t>
            </w:r>
            <w:r w:rsidR="00773F91" w:rsidRPr="008836B0">
              <w:t>Bahamas (Commonwealth of the)</w:t>
            </w:r>
            <w:r w:rsidR="008A7724" w:rsidRPr="008836B0">
              <w:t xml:space="preserve">, </w:t>
            </w:r>
            <w:r w:rsidR="0009422A" w:rsidRPr="008836B0">
              <w:t>O</w:t>
            </w:r>
            <w:r w:rsidR="00E81639" w:rsidRPr="008836B0">
              <w:t xml:space="preserve">rganisation of </w:t>
            </w:r>
            <w:r w:rsidR="0009422A" w:rsidRPr="008836B0">
              <w:t>E</w:t>
            </w:r>
            <w:r w:rsidR="00E81639" w:rsidRPr="008836B0">
              <w:t xml:space="preserve">astern </w:t>
            </w:r>
            <w:r w:rsidR="0009422A" w:rsidRPr="008836B0">
              <w:t>C</w:t>
            </w:r>
            <w:r w:rsidR="00E81639" w:rsidRPr="008836B0">
              <w:t xml:space="preserve">aribbean </w:t>
            </w:r>
            <w:r w:rsidR="0009422A" w:rsidRPr="008836B0">
              <w:t>S</w:t>
            </w:r>
            <w:r w:rsidR="00E81639" w:rsidRPr="008836B0">
              <w:t>tates</w:t>
            </w:r>
            <w:r w:rsidR="008A7724" w:rsidRPr="008836B0">
              <w:t xml:space="preserve"> and C</w:t>
            </w:r>
            <w:r w:rsidR="00E81639" w:rsidRPr="008836B0">
              <w:t xml:space="preserve">aribbean </w:t>
            </w:r>
            <w:r w:rsidR="008A7724" w:rsidRPr="008836B0">
              <w:t>T</w:t>
            </w:r>
            <w:r w:rsidR="00E81639" w:rsidRPr="008836B0">
              <w:t xml:space="preserve">elecommunications </w:t>
            </w:r>
            <w:r w:rsidR="008A7724" w:rsidRPr="008836B0">
              <w:t>U</w:t>
            </w:r>
            <w:r w:rsidR="00E81639" w:rsidRPr="008836B0">
              <w:t>nion</w:t>
            </w:r>
          </w:p>
        </w:tc>
      </w:tr>
      <w:tr w:rsidR="00AD3606" w:rsidRPr="008836B0" w14:paraId="1990367C" w14:textId="77777777" w:rsidTr="00AD3606">
        <w:trPr>
          <w:cantSplit/>
        </w:trPr>
        <w:tc>
          <w:tcPr>
            <w:tcW w:w="9214" w:type="dxa"/>
            <w:gridSpan w:val="2"/>
            <w:tcMar>
              <w:left w:w="0" w:type="dxa"/>
            </w:tcMar>
          </w:tcPr>
          <w:p w14:paraId="3475782D" w14:textId="2C89A0E6" w:rsidR="00AD3606" w:rsidRPr="008836B0" w:rsidRDefault="00773F91" w:rsidP="00E76D00">
            <w:pPr>
              <w:pStyle w:val="Subtitle"/>
              <w:framePr w:hSpace="0" w:wrap="auto" w:xAlign="left" w:yAlign="inline"/>
              <w:spacing w:after="0"/>
            </w:pPr>
            <w:bookmarkStart w:id="9" w:name="_Hlk187164602"/>
            <w:bookmarkStart w:id="10" w:name="dtitle1" w:colFirst="0" w:colLast="0"/>
            <w:bookmarkEnd w:id="8"/>
            <w:r w:rsidRPr="008836B0">
              <w:t xml:space="preserve">UPDATE ON CHILD ONLINE PROTECTION INITIATIVES </w:t>
            </w:r>
            <w:bookmarkEnd w:id="9"/>
            <w:r w:rsidRPr="008836B0">
              <w:t>IN THE CARIBBEAN</w:t>
            </w:r>
          </w:p>
        </w:tc>
      </w:tr>
      <w:tr w:rsidR="00AD3606" w:rsidRPr="008836B0" w14:paraId="398CF9A1" w14:textId="77777777" w:rsidTr="00AD3606">
        <w:trPr>
          <w:cantSplit/>
        </w:trPr>
        <w:tc>
          <w:tcPr>
            <w:tcW w:w="9214" w:type="dxa"/>
            <w:gridSpan w:val="2"/>
            <w:tcBorders>
              <w:top w:val="single" w:sz="4" w:space="0" w:color="auto"/>
              <w:bottom w:val="single" w:sz="4" w:space="0" w:color="auto"/>
            </w:tcBorders>
            <w:tcMar>
              <w:left w:w="0" w:type="dxa"/>
            </w:tcMar>
          </w:tcPr>
          <w:p w14:paraId="4C86E83F" w14:textId="77777777" w:rsidR="00AD3606" w:rsidRPr="008836B0" w:rsidRDefault="00F16BAB" w:rsidP="00F16BAB">
            <w:pPr>
              <w:spacing w:before="160"/>
              <w:rPr>
                <w:b/>
                <w:bCs/>
                <w:sz w:val="26"/>
                <w:szCs w:val="26"/>
              </w:rPr>
            </w:pPr>
            <w:r w:rsidRPr="008836B0">
              <w:rPr>
                <w:b/>
                <w:bCs/>
                <w:sz w:val="26"/>
                <w:szCs w:val="26"/>
              </w:rPr>
              <w:t>Purpose</w:t>
            </w:r>
          </w:p>
          <w:p w14:paraId="6E889160" w14:textId="08CCAE57" w:rsidR="00AD3606" w:rsidRPr="008836B0" w:rsidRDefault="00C21B21" w:rsidP="00E50349">
            <w:r w:rsidRPr="008836B0">
              <w:t xml:space="preserve">The purpose of this document </w:t>
            </w:r>
            <w:r w:rsidR="00F10D40" w:rsidRPr="008836B0">
              <w:t xml:space="preserve">is </w:t>
            </w:r>
            <w:r w:rsidR="00266CCA" w:rsidRPr="008836B0">
              <w:t xml:space="preserve">to </w:t>
            </w:r>
            <w:r w:rsidR="00024E51" w:rsidRPr="008836B0">
              <w:t xml:space="preserve">provide an update </w:t>
            </w:r>
            <w:r w:rsidR="00972BD6" w:rsidRPr="008836B0">
              <w:t xml:space="preserve">on </w:t>
            </w:r>
            <w:r w:rsidR="007466B4" w:rsidRPr="008836B0">
              <w:t>c</w:t>
            </w:r>
            <w:r w:rsidR="00972BD6" w:rsidRPr="008836B0">
              <w:t xml:space="preserve">hild </w:t>
            </w:r>
            <w:r w:rsidR="007466B4" w:rsidRPr="008836B0">
              <w:t>o</w:t>
            </w:r>
            <w:r w:rsidR="00972BD6" w:rsidRPr="008836B0">
              <w:t xml:space="preserve">nline </w:t>
            </w:r>
            <w:r w:rsidR="0073013C" w:rsidRPr="008836B0">
              <w:t>protection initiatives</w:t>
            </w:r>
            <w:r w:rsidR="00972BD6" w:rsidRPr="008836B0">
              <w:t xml:space="preserve"> </w:t>
            </w:r>
            <w:r w:rsidR="002E0F5D" w:rsidRPr="008836B0">
              <w:t xml:space="preserve">being undertaken </w:t>
            </w:r>
            <w:r w:rsidR="00972BD6" w:rsidRPr="008836B0">
              <w:t xml:space="preserve">in the </w:t>
            </w:r>
            <w:r w:rsidR="00AF3DB3" w:rsidRPr="008836B0">
              <w:t>Caribbean in</w:t>
            </w:r>
            <w:r w:rsidR="00AB4325" w:rsidRPr="008836B0">
              <w:t xml:space="preserve"> line with Resolution 179 (Rev. Bucharest, 2022) of the Plenipotentiary Conference</w:t>
            </w:r>
            <w:r w:rsidR="00897F89" w:rsidRPr="008836B0">
              <w:t xml:space="preserve">. This document will focus on initiatives </w:t>
            </w:r>
            <w:r w:rsidR="00DE5999" w:rsidRPr="008836B0">
              <w:t xml:space="preserve">being undertaken </w:t>
            </w:r>
            <w:r w:rsidR="001C303B" w:rsidRPr="008836B0">
              <w:t>by the Caribbean Telecommunications Union,</w:t>
            </w:r>
            <w:r w:rsidR="00897F89" w:rsidRPr="008836B0">
              <w:t xml:space="preserve"> The Bahamas</w:t>
            </w:r>
            <w:r w:rsidR="00C61BE1" w:rsidRPr="008836B0">
              <w:t xml:space="preserve"> and the Eastern Caribbean. It will also highlight </w:t>
            </w:r>
            <w:r w:rsidR="00562FCD" w:rsidRPr="008836B0">
              <w:t xml:space="preserve">existing challenges with advancing child online protecting strategies </w:t>
            </w:r>
            <w:r w:rsidR="00C3100A" w:rsidRPr="008836B0">
              <w:t>in the region generally</w:t>
            </w:r>
            <w:r w:rsidR="00AF3DB3" w:rsidRPr="008836B0">
              <w:t xml:space="preserve">. </w:t>
            </w:r>
          </w:p>
          <w:p w14:paraId="083DFD93" w14:textId="77777777" w:rsidR="00AD3606" w:rsidRPr="008836B0" w:rsidRDefault="00AD3606" w:rsidP="00F16BAB">
            <w:pPr>
              <w:spacing w:before="160"/>
              <w:rPr>
                <w:b/>
                <w:bCs/>
                <w:sz w:val="26"/>
                <w:szCs w:val="26"/>
              </w:rPr>
            </w:pPr>
            <w:r w:rsidRPr="008836B0">
              <w:rPr>
                <w:b/>
                <w:bCs/>
                <w:sz w:val="26"/>
                <w:szCs w:val="26"/>
              </w:rPr>
              <w:t>Action required</w:t>
            </w:r>
          </w:p>
          <w:p w14:paraId="4D35A0E1" w14:textId="6B666A67" w:rsidR="0025570E" w:rsidRPr="008836B0" w:rsidRDefault="00935A53" w:rsidP="00E50349">
            <w:pPr>
              <w:spacing w:before="160"/>
            </w:pPr>
            <w:r w:rsidRPr="008836B0">
              <w:t xml:space="preserve">This report is transmitted to the Council Working Group on </w:t>
            </w:r>
            <w:r w:rsidR="0028683A" w:rsidRPr="008836B0">
              <w:t>c</w:t>
            </w:r>
            <w:r w:rsidRPr="008836B0">
              <w:t xml:space="preserve">hild </w:t>
            </w:r>
            <w:r w:rsidR="0028683A" w:rsidRPr="008836B0">
              <w:t>o</w:t>
            </w:r>
            <w:r w:rsidRPr="008836B0">
              <w:t xml:space="preserve">nline </w:t>
            </w:r>
            <w:r w:rsidR="0028683A" w:rsidRPr="008836B0">
              <w:t>p</w:t>
            </w:r>
            <w:r w:rsidRPr="008836B0">
              <w:t xml:space="preserve">rotection </w:t>
            </w:r>
            <w:r w:rsidRPr="008836B0">
              <w:rPr>
                <w:b/>
                <w:bCs/>
              </w:rPr>
              <w:t>for information</w:t>
            </w:r>
            <w:r w:rsidR="00EE4BDF" w:rsidRPr="008836B0">
              <w:rPr>
                <w:b/>
                <w:bCs/>
              </w:rPr>
              <w:t xml:space="preserve"> </w:t>
            </w:r>
            <w:r w:rsidR="00EE4BDF" w:rsidRPr="008836B0">
              <w:t xml:space="preserve">and </w:t>
            </w:r>
            <w:r w:rsidR="00EE4BDF" w:rsidRPr="008836B0">
              <w:rPr>
                <w:b/>
                <w:bCs/>
              </w:rPr>
              <w:t>consideration</w:t>
            </w:r>
            <w:r w:rsidRPr="008836B0">
              <w:t>.</w:t>
            </w:r>
          </w:p>
          <w:p w14:paraId="1D69C596" w14:textId="77777777" w:rsidR="00AD3606" w:rsidRPr="008836B0" w:rsidRDefault="00CD3C91" w:rsidP="00773F91">
            <w:r w:rsidRPr="008836B0">
              <w:t>_______________</w:t>
            </w:r>
          </w:p>
          <w:p w14:paraId="7DCDC9E7" w14:textId="77777777" w:rsidR="00AD3606" w:rsidRPr="008836B0" w:rsidRDefault="00AD3606" w:rsidP="00F16BAB">
            <w:pPr>
              <w:spacing w:before="160"/>
              <w:rPr>
                <w:b/>
                <w:bCs/>
                <w:sz w:val="26"/>
                <w:szCs w:val="26"/>
              </w:rPr>
            </w:pPr>
            <w:r w:rsidRPr="008836B0">
              <w:rPr>
                <w:b/>
                <w:bCs/>
                <w:sz w:val="26"/>
                <w:szCs w:val="26"/>
              </w:rPr>
              <w:t>References</w:t>
            </w:r>
          </w:p>
          <w:p w14:paraId="5AC7AEE2" w14:textId="352172D0" w:rsidR="00A403F8" w:rsidRPr="00E76D00" w:rsidRDefault="00765856" w:rsidP="00773F91">
            <w:pPr>
              <w:spacing w:after="160"/>
              <w:rPr>
                <w:i/>
                <w:iCs/>
                <w:sz w:val="22"/>
                <w:szCs w:val="22"/>
              </w:rPr>
            </w:pPr>
            <w:r w:rsidRPr="00E76D00">
              <w:rPr>
                <w:rFonts w:cs="Calibri"/>
                <w:i/>
                <w:iCs/>
                <w:sz w:val="22"/>
                <w:szCs w:val="22"/>
              </w:rPr>
              <w:t xml:space="preserve">Resolution </w:t>
            </w:r>
            <w:hyperlink r:id="rId11" w:history="1">
              <w:r w:rsidRPr="00E76D00">
                <w:rPr>
                  <w:rStyle w:val="Hyperlink"/>
                  <w:rFonts w:cs="Calibri"/>
                  <w:i/>
                  <w:iCs/>
                  <w:sz w:val="22"/>
                  <w:szCs w:val="22"/>
                </w:rPr>
                <w:t>179 (Rev. Bucharest, 2022)</w:t>
              </w:r>
            </w:hyperlink>
            <w:r w:rsidRPr="00E76D00">
              <w:rPr>
                <w:rFonts w:cs="Calibri"/>
                <w:i/>
                <w:iCs/>
                <w:sz w:val="22"/>
                <w:szCs w:val="22"/>
              </w:rPr>
              <w:t xml:space="preserve"> of the Plenipotentiary Conference on ITU's role in child online protection</w:t>
            </w:r>
            <w:r w:rsidR="00773F91" w:rsidRPr="00E76D00">
              <w:rPr>
                <w:rFonts w:cs="Calibri"/>
                <w:i/>
                <w:iCs/>
                <w:sz w:val="22"/>
                <w:szCs w:val="22"/>
              </w:rPr>
              <w:t xml:space="preserve">; </w:t>
            </w:r>
            <w:hyperlink r:id="rId12" w:history="1">
              <w:r w:rsidR="0025570E" w:rsidRPr="00E76D00">
                <w:rPr>
                  <w:rStyle w:val="Hyperlink"/>
                  <w:i/>
                  <w:iCs/>
                  <w:sz w:val="22"/>
                  <w:szCs w:val="22"/>
                </w:rPr>
                <w:t>CWG-COP website</w:t>
              </w:r>
            </w:hyperlink>
            <w:r w:rsidR="0025570E" w:rsidRPr="00E76D00">
              <w:rPr>
                <w:i/>
                <w:iCs/>
                <w:sz w:val="22"/>
                <w:szCs w:val="22"/>
              </w:rPr>
              <w:t xml:space="preserve">; </w:t>
            </w:r>
            <w:hyperlink r:id="rId13" w:history="1">
              <w:r w:rsidR="00E50349" w:rsidRPr="00E76D00">
                <w:rPr>
                  <w:rStyle w:val="Hyperlink"/>
                  <w:rFonts w:asciiTheme="minorHAnsi" w:hAnsiTheme="minorHAnsi" w:cstheme="minorHAnsi"/>
                  <w:i/>
                  <w:iCs/>
                  <w:sz w:val="22"/>
                  <w:szCs w:val="22"/>
                </w:rPr>
                <w:t>ITU-D Cybersecurity - COP</w:t>
              </w:r>
            </w:hyperlink>
            <w:r w:rsidR="00530393" w:rsidRPr="00E76D00">
              <w:rPr>
                <w:i/>
                <w:iCs/>
                <w:sz w:val="22"/>
                <w:szCs w:val="22"/>
              </w:rPr>
              <w:t xml:space="preserve">; </w:t>
            </w:r>
            <w:hyperlink r:id="rId14" w:history="1">
              <w:r w:rsidR="00530393" w:rsidRPr="00E76D00">
                <w:rPr>
                  <w:rStyle w:val="Hyperlink"/>
                  <w:i/>
                  <w:iCs/>
                  <w:sz w:val="22"/>
                  <w:szCs w:val="22"/>
                </w:rPr>
                <w:t>OECS COP Policy and Strategic Framework</w:t>
              </w:r>
            </w:hyperlink>
          </w:p>
        </w:tc>
      </w:tr>
    </w:tbl>
    <w:p w14:paraId="7051740C" w14:textId="77777777" w:rsidR="00E227F3" w:rsidRPr="008836B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7FDDD309" w14:textId="77777777" w:rsidR="0090147A" w:rsidRPr="008836B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836B0">
        <w:br w:type="page"/>
      </w:r>
    </w:p>
    <w:bookmarkEnd w:id="5"/>
    <w:bookmarkEnd w:id="11"/>
    <w:p w14:paraId="2A941185" w14:textId="49C6547D" w:rsidR="00C56D57" w:rsidRPr="008836B0" w:rsidRDefault="00C56D57" w:rsidP="008836B0">
      <w:pPr>
        <w:pStyle w:val="Headingb"/>
      </w:pPr>
      <w:r w:rsidRPr="008836B0">
        <w:lastRenderedPageBreak/>
        <w:t>Introduction</w:t>
      </w:r>
    </w:p>
    <w:p w14:paraId="39D1666A" w14:textId="1F7E7BF5" w:rsidR="00622A08" w:rsidRPr="008836B0" w:rsidRDefault="000B6E70" w:rsidP="008836B0">
      <w:pPr>
        <w:jc w:val="both"/>
      </w:pPr>
      <w:r w:rsidRPr="008836B0">
        <w:t xml:space="preserve">As a region characterized </w:t>
      </w:r>
      <w:r w:rsidR="001A1B0E" w:rsidRPr="008836B0">
        <w:t xml:space="preserve">by island nations and </w:t>
      </w:r>
      <w:r w:rsidRPr="008836B0">
        <w:t>remote communities</w:t>
      </w:r>
      <w:r w:rsidR="00414412" w:rsidRPr="008836B0">
        <w:t>, connectivity has remained a priority for national governments.</w:t>
      </w:r>
      <w:r w:rsidR="004D1D4F" w:rsidRPr="008836B0">
        <w:t xml:space="preserve"> </w:t>
      </w:r>
      <w:r w:rsidR="001E3194" w:rsidRPr="008836B0">
        <w:t>Prioritization of</w:t>
      </w:r>
      <w:r w:rsidR="0029184E" w:rsidRPr="008836B0">
        <w:t xml:space="preserve"> </w:t>
      </w:r>
      <w:r w:rsidR="004D1D4F" w:rsidRPr="008836B0">
        <w:t>connectivity in the region</w:t>
      </w:r>
      <w:r w:rsidR="0032562D" w:rsidRPr="008836B0">
        <w:t xml:space="preserve"> has created the opportunity</w:t>
      </w:r>
      <w:r w:rsidR="00673FFD" w:rsidRPr="008836B0">
        <w:t xml:space="preserve"> </w:t>
      </w:r>
      <w:r w:rsidR="004B195C" w:rsidRPr="008836B0">
        <w:t>for</w:t>
      </w:r>
      <w:r w:rsidR="0075546E" w:rsidRPr="008836B0">
        <w:t xml:space="preserve"> </w:t>
      </w:r>
      <w:r w:rsidR="004B195C" w:rsidRPr="008836B0">
        <w:t xml:space="preserve">young persons (including children) to </w:t>
      </w:r>
      <w:r w:rsidR="00673FFD" w:rsidRPr="008836B0">
        <w:t>i</w:t>
      </w:r>
      <w:r w:rsidR="00B00387" w:rsidRPr="008836B0">
        <w:t>ncreasingly</w:t>
      </w:r>
      <w:r w:rsidR="0075546E" w:rsidRPr="008836B0">
        <w:t xml:space="preserve"> engage online as a necessity in modern </w:t>
      </w:r>
      <w:r w:rsidR="00AB7FD8" w:rsidRPr="008836B0">
        <w:t>society via computers, tablets, smartphones</w:t>
      </w:r>
      <w:r w:rsidR="00F457B0" w:rsidRPr="008836B0">
        <w:t>,</w:t>
      </w:r>
      <w:r w:rsidR="00AB7FD8" w:rsidRPr="008836B0">
        <w:t xml:space="preserve"> and the like. Along with </w:t>
      </w:r>
      <w:r w:rsidR="00492703" w:rsidRPr="008836B0">
        <w:t>the benefits of increased connectivity</w:t>
      </w:r>
      <w:r w:rsidR="00E94348" w:rsidRPr="008836B0">
        <w:t xml:space="preserve">, Caribbean countries are also faced with the challenge of ensuring </w:t>
      </w:r>
      <w:r w:rsidR="00492703" w:rsidRPr="008836B0">
        <w:t xml:space="preserve">our youth </w:t>
      </w:r>
      <w:r w:rsidR="00F457B0" w:rsidRPr="008836B0">
        <w:t>can</w:t>
      </w:r>
      <w:r w:rsidR="00492703" w:rsidRPr="008836B0">
        <w:t xml:space="preserve"> </w:t>
      </w:r>
      <w:r w:rsidR="006E0027" w:rsidRPr="008836B0">
        <w:t>participate in online activities in a safe and secure manner.</w:t>
      </w:r>
      <w:r w:rsidR="007B6517" w:rsidRPr="008836B0">
        <w:t xml:space="preserve"> </w:t>
      </w:r>
      <w:r w:rsidR="00414782" w:rsidRPr="008836B0">
        <w:t>S</w:t>
      </w:r>
      <w:r w:rsidR="00605365" w:rsidRPr="008836B0">
        <w:t xml:space="preserve">ome Caribbean </w:t>
      </w:r>
      <w:r w:rsidR="008570D1" w:rsidRPr="008836B0">
        <w:t>countries</w:t>
      </w:r>
      <w:r w:rsidR="00ED39E9" w:rsidRPr="008836B0">
        <w:t xml:space="preserve"> </w:t>
      </w:r>
      <w:r w:rsidR="00256AA2" w:rsidRPr="008836B0">
        <w:t xml:space="preserve">have </w:t>
      </w:r>
      <w:r w:rsidR="000C2F48" w:rsidRPr="008836B0">
        <w:t xml:space="preserve">progressively </w:t>
      </w:r>
      <w:r w:rsidR="008570D1" w:rsidRPr="008836B0">
        <w:t xml:space="preserve">been </w:t>
      </w:r>
      <w:r w:rsidR="00623121" w:rsidRPr="008836B0">
        <w:t>undertaking initiatives</w:t>
      </w:r>
      <w:r w:rsidR="00B26B43" w:rsidRPr="008836B0">
        <w:t xml:space="preserve"> </w:t>
      </w:r>
      <w:r w:rsidR="00CC54A8" w:rsidRPr="008836B0">
        <w:t xml:space="preserve">to protect youth in various online </w:t>
      </w:r>
      <w:r w:rsidR="00F457B0" w:rsidRPr="008836B0">
        <w:t>forums</w:t>
      </w:r>
      <w:r w:rsidR="00F14BBA" w:rsidRPr="008836B0">
        <w:t xml:space="preserve">. </w:t>
      </w:r>
    </w:p>
    <w:p w14:paraId="6242CD68" w14:textId="2CCA1523" w:rsidR="00051C69" w:rsidRPr="008836B0" w:rsidRDefault="00051C69" w:rsidP="008836B0">
      <w:pPr>
        <w:jc w:val="both"/>
      </w:pPr>
      <w:r w:rsidRPr="008836B0">
        <w:t>More recently</w:t>
      </w:r>
      <w:r w:rsidR="004A0631" w:rsidRPr="008836B0">
        <w:t xml:space="preserve">, </w:t>
      </w:r>
      <w:r w:rsidR="005B5A89" w:rsidRPr="008836B0">
        <w:t>given increasing cyber threats</w:t>
      </w:r>
      <w:r w:rsidR="009844AD" w:rsidRPr="008836B0">
        <w:t xml:space="preserve"> and rising cases of </w:t>
      </w:r>
      <w:r w:rsidR="00944D7C" w:rsidRPr="008836B0">
        <w:t>cyberbullying</w:t>
      </w:r>
      <w:r w:rsidR="009844AD" w:rsidRPr="008836B0">
        <w:t xml:space="preserve"> and online exploitation, </w:t>
      </w:r>
      <w:r w:rsidR="007E0141" w:rsidRPr="008836B0">
        <w:t xml:space="preserve">Caribbean </w:t>
      </w:r>
      <w:r w:rsidR="00CB7FAF" w:rsidRPr="008836B0">
        <w:t>governments are acknowledging</w:t>
      </w:r>
      <w:r w:rsidR="00E63B2A" w:rsidRPr="008836B0">
        <w:t xml:space="preserve"> the need for </w:t>
      </w:r>
      <w:r w:rsidR="001D2B53" w:rsidRPr="008836B0">
        <w:t xml:space="preserve">a multi-stakeholder collaborative approach to </w:t>
      </w:r>
      <w:r w:rsidR="00944D7C" w:rsidRPr="008836B0">
        <w:t>develop</w:t>
      </w:r>
      <w:r w:rsidR="0067312C" w:rsidRPr="008836B0">
        <w:t xml:space="preserve"> and implement</w:t>
      </w:r>
      <w:r w:rsidR="00944D7C" w:rsidRPr="008836B0">
        <w:t xml:space="preserve"> national strategies and address</w:t>
      </w:r>
      <w:r w:rsidR="001D2B53" w:rsidRPr="008836B0">
        <w:t xml:space="preserve"> legislative and institutional gaps to </w:t>
      </w:r>
      <w:r w:rsidR="00EA532D" w:rsidRPr="008836B0">
        <w:t>deal with</w:t>
      </w:r>
      <w:r w:rsidR="001D2B53" w:rsidRPr="008836B0">
        <w:t xml:space="preserve"> this very important public policy issue.</w:t>
      </w:r>
    </w:p>
    <w:p w14:paraId="34F152DB" w14:textId="2708D2EA" w:rsidR="008F7E46" w:rsidRPr="008836B0" w:rsidRDefault="00B3633A" w:rsidP="008836B0">
      <w:pPr>
        <w:jc w:val="both"/>
      </w:pPr>
      <w:r w:rsidRPr="008836B0">
        <w:t xml:space="preserve">This document and its accompanying presentation provide an update on the child online protection strategies and activities at the regional level, supported by the Caribbean Telecommunications Union (CTU). It also delves into the activities being conducted by </w:t>
      </w:r>
      <w:r w:rsidR="006C0559" w:rsidRPr="008836B0">
        <w:t xml:space="preserve">a few </w:t>
      </w:r>
      <w:r w:rsidRPr="008836B0">
        <w:t>CTU member countries</w:t>
      </w:r>
      <w:r w:rsidR="006C0559" w:rsidRPr="008836B0">
        <w:t xml:space="preserve">, including </w:t>
      </w:r>
      <w:r w:rsidRPr="008836B0">
        <w:t>The Bahamas and the region represented by the Organization of Eastern Caribbean States (OECS).</w:t>
      </w:r>
    </w:p>
    <w:p w14:paraId="7A36DCFD" w14:textId="1BE2D98A" w:rsidR="00BA0DDB" w:rsidRPr="008836B0" w:rsidRDefault="00BA0DDB" w:rsidP="008836B0">
      <w:pPr>
        <w:pStyle w:val="Headingb"/>
      </w:pPr>
      <w:r w:rsidRPr="008836B0">
        <w:t>Chil</w:t>
      </w:r>
      <w:r w:rsidR="00B3633A" w:rsidRPr="008836B0">
        <w:t>d</w:t>
      </w:r>
      <w:r w:rsidRPr="008836B0">
        <w:t xml:space="preserve"> </w:t>
      </w:r>
      <w:r w:rsidR="008836B0" w:rsidRPr="008836B0">
        <w:t xml:space="preserve">online </w:t>
      </w:r>
      <w:r w:rsidR="00E76D00">
        <w:t>protection-related</w:t>
      </w:r>
      <w:r w:rsidR="008836B0" w:rsidRPr="008836B0">
        <w:t xml:space="preserve"> initiatives by the </w:t>
      </w:r>
      <w:r w:rsidRPr="008836B0">
        <w:t>Caribbean Telecommunications Union</w:t>
      </w:r>
    </w:p>
    <w:p w14:paraId="35B26071" w14:textId="06E150B8" w:rsidR="00FF355E" w:rsidRPr="008836B0" w:rsidRDefault="00FF355E" w:rsidP="008836B0">
      <w:pPr>
        <w:jc w:val="both"/>
      </w:pPr>
      <w:r w:rsidRPr="008836B0">
        <w:t xml:space="preserve">The CTU has been an active contributor to the </w:t>
      </w:r>
      <w:r w:rsidR="008836B0">
        <w:t>Caribbean-wide public policy efforts to combat abuses against</w:t>
      </w:r>
      <w:r w:rsidRPr="008836B0">
        <w:t xml:space="preserve"> children in the online environment</w:t>
      </w:r>
      <w:r w:rsidR="007925A8" w:rsidRPr="008836B0">
        <w:t xml:space="preserve">, </w:t>
      </w:r>
      <w:r w:rsidR="005B6BC6" w:rsidRPr="008836B0">
        <w:t xml:space="preserve">particularly with respect to </w:t>
      </w:r>
      <w:r w:rsidRPr="008836B0">
        <w:t>online child sexual abuse and exploitation (CSAM) in the region. Through its collaboration with the United Nations Office on Drugs and Crime (UNODC), the CTU has facilitated capacity-building initiatives for policymakers, regulators, and law enforcement, ensuring they are equipped with the necessary knowledge and tools to address CSAM. By advocating for harmonized legislative and regulatory frameworks, the CTU promotes a coordinated regional response, aligning Caribbean policies with international best practices.</w:t>
      </w:r>
    </w:p>
    <w:p w14:paraId="0A405700" w14:textId="1BB98D58" w:rsidR="00BA0DDB" w:rsidRPr="008836B0" w:rsidRDefault="00BA0DDB" w:rsidP="008836B0">
      <w:pPr>
        <w:jc w:val="both"/>
      </w:pPr>
      <w:r w:rsidRPr="008836B0">
        <w:t>Additionally, the CTU supports the integration of cybersecurity and child protection measures into national ICT policies, encouraging digital safety initiatives such as filtering technologies and secure digital identity systems. It plays a crucial role in multi-stakeholder engagement, bringing together governments, law enforcement agencies, telecommunications providers, and civil society to strengthen regional efforts against CSAM. Through these initiatives, the CTU helps shape public policy and reinforces the Caribbean’s commitment to combating online child exploitation.</w:t>
      </w:r>
    </w:p>
    <w:p w14:paraId="068C9CD0" w14:textId="17EE451C" w:rsidR="00BA0DDB" w:rsidRPr="00E76D00" w:rsidRDefault="00BA0DDB" w:rsidP="008836B0">
      <w:pPr>
        <w:jc w:val="both"/>
        <w:rPr>
          <w:spacing w:val="-2"/>
        </w:rPr>
      </w:pPr>
      <w:r w:rsidRPr="00E76D00">
        <w:rPr>
          <w:spacing w:val="-2"/>
        </w:rPr>
        <w:t>CTU is also supportive of the Get Safe Online campaign that has seen several Caribbean</w:t>
      </w:r>
      <w:r w:rsidR="00F66ACF" w:rsidRPr="00E76D00">
        <w:rPr>
          <w:spacing w:val="-2"/>
        </w:rPr>
        <w:t xml:space="preserve"> </w:t>
      </w:r>
      <w:r w:rsidRPr="00E76D00">
        <w:rPr>
          <w:spacing w:val="-2"/>
        </w:rPr>
        <w:t>countries, including The Bahamas, Barbados, Trinidad and Tobago, and Antigua and Barbuda, implement online resources to combat this issue. The Get Safe Online initiative can significantly support the Caribbean in addressing child online protection challenges by providing education, awareness, and practical cybersecurity guidance to parents, educators, and young internet users. Through its localized platform, it offers free, accessible resources on online safety, including how to recognize and prevent risks such as online grooming, cyberbullying, and exposure to harmful content. By partnering with governments and stakeholders, the initiative helps strengthen digital literacy and responsible internet use, aligning with broader efforts to create a safer online environment for children across the Caribbean.</w:t>
      </w:r>
    </w:p>
    <w:p w14:paraId="7CD530F2" w14:textId="490EE078" w:rsidR="00AA75EB" w:rsidRPr="008836B0" w:rsidRDefault="00BA5333" w:rsidP="008836B0">
      <w:pPr>
        <w:pStyle w:val="Headingb"/>
      </w:pPr>
      <w:r w:rsidRPr="008836B0">
        <w:lastRenderedPageBreak/>
        <w:t xml:space="preserve">Child </w:t>
      </w:r>
      <w:r w:rsidR="008836B0" w:rsidRPr="008836B0">
        <w:t xml:space="preserve">online protection initiatives </w:t>
      </w:r>
      <w:r w:rsidRPr="008836B0">
        <w:t>in The Bahamas</w:t>
      </w:r>
    </w:p>
    <w:p w14:paraId="000EF65A" w14:textId="3DAE9FCA" w:rsidR="00E60122" w:rsidRPr="008836B0" w:rsidRDefault="00E92820" w:rsidP="008836B0">
      <w:pPr>
        <w:jc w:val="both"/>
      </w:pPr>
      <w:r w:rsidRPr="008836B0">
        <w:t>In 202</w:t>
      </w:r>
      <w:r w:rsidR="008C57DD" w:rsidRPr="008836B0">
        <w:t>1, w</w:t>
      </w:r>
      <w:r w:rsidR="00D00459" w:rsidRPr="008836B0">
        <w:t>ith the support of the ITU, the Government of The Bahamas</w:t>
      </w:r>
      <w:r w:rsidR="008C57DD" w:rsidRPr="008836B0">
        <w:t xml:space="preserve"> initiated the process </w:t>
      </w:r>
      <w:r w:rsidR="00166C63" w:rsidRPr="008836B0">
        <w:t>of establishing</w:t>
      </w:r>
      <w:r w:rsidR="00F5550E" w:rsidRPr="008836B0">
        <w:t xml:space="preserve"> a National Computer Incident Response </w:t>
      </w:r>
      <w:r w:rsidR="00BB71CA" w:rsidRPr="008836B0">
        <w:t xml:space="preserve">Team (CIRT-BS) and a </w:t>
      </w:r>
      <w:r w:rsidR="003E4CB8" w:rsidRPr="008836B0">
        <w:t>National Cybersecurity Strategy</w:t>
      </w:r>
      <w:r w:rsidR="007502AA" w:rsidRPr="008836B0">
        <w:t xml:space="preserve"> </w:t>
      </w:r>
      <w:r w:rsidR="00444FBA" w:rsidRPr="008836B0">
        <w:t xml:space="preserve">(NCS) </w:t>
      </w:r>
      <w:r w:rsidR="00940FF6" w:rsidRPr="008836B0">
        <w:t>as part of an IDB-funded digital transformation project</w:t>
      </w:r>
      <w:r w:rsidR="008C57DD" w:rsidRPr="008836B0">
        <w:t xml:space="preserve">. The strategy, approved by </w:t>
      </w:r>
      <w:r w:rsidR="007502AA" w:rsidRPr="008836B0">
        <w:t xml:space="preserve">the </w:t>
      </w:r>
      <w:r w:rsidR="005B3A5C" w:rsidRPr="008836B0">
        <w:t xml:space="preserve">Government </w:t>
      </w:r>
      <w:r w:rsidR="00D27135" w:rsidRPr="008836B0">
        <w:t>in 2024</w:t>
      </w:r>
      <w:r w:rsidR="005B3A5C" w:rsidRPr="008836B0">
        <w:t xml:space="preserve">, </w:t>
      </w:r>
      <w:r w:rsidR="007D4CBB" w:rsidRPr="008836B0">
        <w:t>defines the responsibility of CIRT-BS and relevant ministries to develop cybersecurity tools and curricula</w:t>
      </w:r>
      <w:r w:rsidR="005B3A5C" w:rsidRPr="008836B0">
        <w:t xml:space="preserve">. </w:t>
      </w:r>
    </w:p>
    <w:p w14:paraId="25ED2D13" w14:textId="77777777" w:rsidR="00500F2C" w:rsidRPr="008836B0" w:rsidRDefault="00E60122" w:rsidP="008836B0">
      <w:pPr>
        <w:jc w:val="both"/>
      </w:pPr>
      <w:r w:rsidRPr="008836B0">
        <w:t xml:space="preserve">For example, the country has already committed to embedding </w:t>
      </w:r>
      <w:r w:rsidRPr="008836B0">
        <w:rPr>
          <w:rStyle w:val="Strong"/>
          <w:b w:val="0"/>
          <w:bCs w:val="0"/>
        </w:rPr>
        <w:t>cybersecurity education</w:t>
      </w:r>
      <w:r w:rsidRPr="008836B0">
        <w:rPr>
          <w:b/>
          <w:bCs/>
        </w:rPr>
        <w:t xml:space="preserve"> </w:t>
      </w:r>
      <w:r w:rsidRPr="008836B0">
        <w:t>in</w:t>
      </w:r>
      <w:r w:rsidRPr="008836B0">
        <w:rPr>
          <w:b/>
          <w:bCs/>
        </w:rPr>
        <w:t xml:space="preserve"> </w:t>
      </w:r>
      <w:r w:rsidRPr="008836B0">
        <w:t>its national curriculum, which helps raise awareness among children, parents, and educators about online risks. Additionally, The Royal Bahamas Police Force Cyber Crime Unit has undergone specialized training to handle cybercrimes targeting minors, building institutional capacity to investigate online exploitation and abuse cases effectively.</w:t>
      </w:r>
      <w:r w:rsidR="00500F2C" w:rsidRPr="008836B0">
        <w:t xml:space="preserve"> </w:t>
      </w:r>
      <w:r w:rsidR="00444FBA" w:rsidRPr="008836B0">
        <w:t xml:space="preserve">The NCS, however, </w:t>
      </w:r>
      <w:r w:rsidR="005B3A5C" w:rsidRPr="008836B0">
        <w:t xml:space="preserve">does </w:t>
      </w:r>
      <w:r w:rsidR="00E92820" w:rsidRPr="008836B0">
        <w:t xml:space="preserve">not currently </w:t>
      </w:r>
      <w:r w:rsidR="007D4CBB" w:rsidRPr="008836B0">
        <w:t>address cyberbullying, grooming, and child data privacy.</w:t>
      </w:r>
      <w:r w:rsidR="00D5730A" w:rsidRPr="008836B0">
        <w:t xml:space="preserve"> </w:t>
      </w:r>
    </w:p>
    <w:p w14:paraId="07EB8292" w14:textId="592F4119" w:rsidR="00005173" w:rsidRPr="008836B0" w:rsidRDefault="007768B2" w:rsidP="008836B0">
      <w:pPr>
        <w:jc w:val="both"/>
      </w:pPr>
      <w:r w:rsidRPr="008836B0">
        <w:t xml:space="preserve">In The Bahamas, </w:t>
      </w:r>
      <w:r w:rsidR="00500F2C" w:rsidRPr="008836B0">
        <w:t>c</w:t>
      </w:r>
      <w:r w:rsidRPr="008836B0">
        <w:t xml:space="preserve">hild </w:t>
      </w:r>
      <w:r w:rsidR="00500F2C" w:rsidRPr="008836B0">
        <w:t>o</w:t>
      </w:r>
      <w:r w:rsidRPr="008836B0">
        <w:t xml:space="preserve">nline </w:t>
      </w:r>
      <w:r w:rsidR="00500F2C" w:rsidRPr="008836B0">
        <w:t>p</w:t>
      </w:r>
      <w:r w:rsidRPr="008836B0">
        <w:t>rotection</w:t>
      </w:r>
      <w:r w:rsidR="00142498" w:rsidRPr="008836B0">
        <w:t>, like cybersecurity,</w:t>
      </w:r>
      <w:r w:rsidRPr="008836B0">
        <w:t xml:space="preserve"> has been recognized as a whole-of-society concern requiring collaboration, dedication, and active participation from all sectors of society.</w:t>
      </w:r>
      <w:r w:rsidR="00BC426F" w:rsidRPr="008836B0">
        <w:t xml:space="preserve"> </w:t>
      </w:r>
      <w:r w:rsidR="00AB753C" w:rsidRPr="008836B0">
        <w:t xml:space="preserve">As a result, and again with the support of the ITU, </w:t>
      </w:r>
      <w:r w:rsidR="00483DF3" w:rsidRPr="008836B0">
        <w:t xml:space="preserve">the CIRT-BS </w:t>
      </w:r>
      <w:r w:rsidR="007C1344" w:rsidRPr="008836B0">
        <w:t xml:space="preserve">recently undertook </w:t>
      </w:r>
      <w:r w:rsidR="00355172" w:rsidRPr="008836B0">
        <w:t>a</w:t>
      </w:r>
      <w:r w:rsidR="00EF44CF" w:rsidRPr="008836B0">
        <w:t xml:space="preserve"> </w:t>
      </w:r>
      <w:r w:rsidR="00C411D7" w:rsidRPr="008836B0">
        <w:t xml:space="preserve">preliminary </w:t>
      </w:r>
      <w:r w:rsidR="00EF44CF" w:rsidRPr="008836B0">
        <w:t>situational</w:t>
      </w:r>
      <w:r w:rsidR="00457A03" w:rsidRPr="008836B0">
        <w:t xml:space="preserve"> </w:t>
      </w:r>
      <w:r w:rsidR="00EF44CF" w:rsidRPr="008836B0">
        <w:t xml:space="preserve">analysis and gap assessment of </w:t>
      </w:r>
      <w:r w:rsidR="00457A03" w:rsidRPr="008836B0">
        <w:t xml:space="preserve">the </w:t>
      </w:r>
      <w:r w:rsidR="00B15007" w:rsidRPr="008836B0">
        <w:t>child online protection framework in the country.</w:t>
      </w:r>
      <w:r w:rsidR="00355172" w:rsidRPr="008836B0">
        <w:t xml:space="preserve"> </w:t>
      </w:r>
    </w:p>
    <w:p w14:paraId="3904143A" w14:textId="0468406F" w:rsidR="00E50349" w:rsidRPr="008836B0" w:rsidRDefault="00686425" w:rsidP="008836B0">
      <w:pPr>
        <w:jc w:val="both"/>
      </w:pPr>
      <w:r w:rsidRPr="008836B0">
        <w:t>A</w:t>
      </w:r>
      <w:r w:rsidR="00004926" w:rsidRPr="008836B0">
        <w:t xml:space="preserve"> stakeholder analysis identified civil society, public institutions, children, parents, and industry (Internet Service Providers and social media creators) as having a role in promoting and ensuring COP.</w:t>
      </w:r>
      <w:r w:rsidR="00444FBA" w:rsidRPr="008836B0">
        <w:t xml:space="preserve"> </w:t>
      </w:r>
      <w:r w:rsidR="00004926" w:rsidRPr="008836B0">
        <w:t xml:space="preserve">Civil society </w:t>
      </w:r>
      <w:r w:rsidR="006A215F" w:rsidRPr="008836B0">
        <w:t xml:space="preserve">initiatives </w:t>
      </w:r>
      <w:r w:rsidR="00004926" w:rsidRPr="008836B0">
        <w:t xml:space="preserve">complement </w:t>
      </w:r>
      <w:r w:rsidR="00DA10DA" w:rsidRPr="008836B0">
        <w:t xml:space="preserve">ongoing </w:t>
      </w:r>
      <w:r w:rsidR="00004926" w:rsidRPr="008836B0">
        <w:t xml:space="preserve">government efforts </w:t>
      </w:r>
      <w:r w:rsidR="006A215F" w:rsidRPr="008836B0">
        <w:t>to identify and address gaps</w:t>
      </w:r>
      <w:r w:rsidR="002D5944" w:rsidRPr="008836B0">
        <w:t xml:space="preserve"> a</w:t>
      </w:r>
      <w:r w:rsidR="006A215F" w:rsidRPr="008836B0">
        <w:t>nd raise</w:t>
      </w:r>
      <w:r w:rsidR="00004926" w:rsidRPr="008836B0">
        <w:t xml:space="preserve"> awareness through training programs, advocacy campaigns, and collaborations with international organizations.</w:t>
      </w:r>
    </w:p>
    <w:p w14:paraId="6F2DD6B2" w14:textId="3C06A564" w:rsidR="00D64269" w:rsidRPr="008836B0" w:rsidRDefault="00D64269" w:rsidP="008836B0">
      <w:pPr>
        <w:jc w:val="both"/>
      </w:pPr>
      <w:r w:rsidRPr="008836B0">
        <w:t xml:space="preserve">The </w:t>
      </w:r>
      <w:r w:rsidR="00DA10DA" w:rsidRPr="008836B0">
        <w:t xml:space="preserve">existing </w:t>
      </w:r>
      <w:r w:rsidRPr="008836B0">
        <w:t>legal framework was assessed to have a low to medium maturity with base-level protection for children online.</w:t>
      </w:r>
      <w:r w:rsidR="00B44096" w:rsidRPr="008836B0">
        <w:t xml:space="preserve"> </w:t>
      </w:r>
      <w:r w:rsidRPr="008836B0">
        <w:t xml:space="preserve">The exercise revealed the inclusion of basic cyber-hygiene in </w:t>
      </w:r>
      <w:r w:rsidR="00DA10DA" w:rsidRPr="008836B0">
        <w:t>elementary and junior high school curricula</w:t>
      </w:r>
      <w:r w:rsidRPr="008836B0">
        <w:t xml:space="preserve"> but weak legal protections against emerging online threats.</w:t>
      </w:r>
      <w:r w:rsidR="00B44096" w:rsidRPr="008836B0">
        <w:t xml:space="preserve"> </w:t>
      </w:r>
      <w:r w:rsidRPr="008836B0">
        <w:t>The need for technical capacity building, greater inter-agency coordination, and improved international cooperation was also noted.</w:t>
      </w:r>
    </w:p>
    <w:p w14:paraId="0F9ED687" w14:textId="38E25DC5" w:rsidR="00B3156F" w:rsidRPr="00E76D00" w:rsidRDefault="005831F3" w:rsidP="008836B0">
      <w:pPr>
        <w:jc w:val="both"/>
        <w:rPr>
          <w:spacing w:val="-2"/>
        </w:rPr>
      </w:pPr>
      <w:r w:rsidRPr="00E76D00">
        <w:rPr>
          <w:spacing w:val="-2"/>
        </w:rPr>
        <w:t xml:space="preserve">A </w:t>
      </w:r>
      <w:r w:rsidR="00AF7E46" w:rsidRPr="00E76D00">
        <w:rPr>
          <w:spacing w:val="-2"/>
        </w:rPr>
        <w:t xml:space="preserve">preliminary </w:t>
      </w:r>
      <w:r w:rsidRPr="00E76D00">
        <w:rPr>
          <w:spacing w:val="-2"/>
        </w:rPr>
        <w:t xml:space="preserve">draft </w:t>
      </w:r>
      <w:r w:rsidR="005C3235" w:rsidRPr="00E76D00">
        <w:rPr>
          <w:spacing w:val="-2"/>
        </w:rPr>
        <w:t xml:space="preserve">COP policy and action plan </w:t>
      </w:r>
      <w:r w:rsidR="00B538F4" w:rsidRPr="00E76D00">
        <w:rPr>
          <w:spacing w:val="-2"/>
        </w:rPr>
        <w:t>has also been prepared</w:t>
      </w:r>
      <w:r w:rsidR="003652D5" w:rsidRPr="00E76D00">
        <w:rPr>
          <w:spacing w:val="-2"/>
        </w:rPr>
        <w:t>,</w:t>
      </w:r>
      <w:r w:rsidR="00B538F4" w:rsidRPr="00E76D00">
        <w:rPr>
          <w:spacing w:val="-2"/>
        </w:rPr>
        <w:t xml:space="preserve"> </w:t>
      </w:r>
      <w:r w:rsidR="0033085D" w:rsidRPr="00E76D00">
        <w:rPr>
          <w:spacing w:val="-2"/>
        </w:rPr>
        <w:t>and initial stakeholder consultations are ongoing</w:t>
      </w:r>
      <w:r w:rsidR="005870B4" w:rsidRPr="00E76D00">
        <w:rPr>
          <w:spacing w:val="-2"/>
        </w:rPr>
        <w:t xml:space="preserve">. </w:t>
      </w:r>
      <w:r w:rsidR="00AA6E73" w:rsidRPr="00E76D00">
        <w:rPr>
          <w:spacing w:val="-2"/>
        </w:rPr>
        <w:t xml:space="preserve">The </w:t>
      </w:r>
      <w:r w:rsidR="00CC3E2C" w:rsidRPr="00E76D00">
        <w:rPr>
          <w:spacing w:val="-2"/>
        </w:rPr>
        <w:t xml:space="preserve">draft </w:t>
      </w:r>
      <w:r w:rsidR="00AA6E73" w:rsidRPr="00E76D00">
        <w:rPr>
          <w:spacing w:val="-2"/>
        </w:rPr>
        <w:t>policy will be refined through a series of</w:t>
      </w:r>
      <w:r w:rsidR="00E73BF6" w:rsidRPr="00E76D00">
        <w:rPr>
          <w:spacing w:val="-2"/>
        </w:rPr>
        <w:t xml:space="preserve"> </w:t>
      </w:r>
      <w:r w:rsidR="00AA6E73" w:rsidRPr="00E76D00">
        <w:rPr>
          <w:spacing w:val="-2"/>
        </w:rPr>
        <w:t xml:space="preserve">stakeholder </w:t>
      </w:r>
      <w:r w:rsidR="001D4356" w:rsidRPr="00E76D00">
        <w:rPr>
          <w:spacing w:val="-2"/>
        </w:rPr>
        <w:t>consultations and</w:t>
      </w:r>
      <w:r w:rsidR="00E73BF6" w:rsidRPr="00E76D00">
        <w:rPr>
          <w:spacing w:val="-2"/>
        </w:rPr>
        <w:t xml:space="preserve"> </w:t>
      </w:r>
      <w:r w:rsidR="00EB14C6" w:rsidRPr="00E76D00">
        <w:rPr>
          <w:spacing w:val="-2"/>
        </w:rPr>
        <w:t xml:space="preserve">informed by </w:t>
      </w:r>
      <w:r w:rsidR="005362A7" w:rsidRPr="00E76D00">
        <w:rPr>
          <w:spacing w:val="-2"/>
        </w:rPr>
        <w:t xml:space="preserve">a </w:t>
      </w:r>
      <w:r w:rsidR="00C411D7" w:rsidRPr="00E76D00">
        <w:rPr>
          <w:spacing w:val="-2"/>
        </w:rPr>
        <w:t xml:space="preserve">more </w:t>
      </w:r>
      <w:r w:rsidR="005362A7" w:rsidRPr="00E76D00">
        <w:rPr>
          <w:spacing w:val="-2"/>
        </w:rPr>
        <w:t xml:space="preserve">in-depth </w:t>
      </w:r>
      <w:r w:rsidR="00C411D7" w:rsidRPr="00E76D00">
        <w:rPr>
          <w:spacing w:val="-2"/>
        </w:rPr>
        <w:t>stud</w:t>
      </w:r>
      <w:r w:rsidR="00EB14C6" w:rsidRPr="00E76D00">
        <w:rPr>
          <w:spacing w:val="-2"/>
        </w:rPr>
        <w:t xml:space="preserve">y to </w:t>
      </w:r>
      <w:r w:rsidR="00645714" w:rsidRPr="00E76D00">
        <w:rPr>
          <w:spacing w:val="-2"/>
        </w:rPr>
        <w:t xml:space="preserve">validate preliminary findings. </w:t>
      </w:r>
      <w:r w:rsidR="009050A1" w:rsidRPr="00E76D00">
        <w:rPr>
          <w:spacing w:val="-2"/>
        </w:rPr>
        <w:t>Stakeholders will include government agencies, civil society, educational institutions, industry representatives, parents, and children. Through a series of consultation workshops, criteria for prioritization will be developed, consensus built, and activities prioritized</w:t>
      </w:r>
      <w:r w:rsidR="005A3DBA" w:rsidRPr="00E76D00">
        <w:rPr>
          <w:spacing w:val="-2"/>
        </w:rPr>
        <w:t xml:space="preserve"> for </w:t>
      </w:r>
      <w:r w:rsidR="00B3156F" w:rsidRPr="00E76D00">
        <w:rPr>
          <w:spacing w:val="-2"/>
        </w:rPr>
        <w:t xml:space="preserve">action planning. </w:t>
      </w:r>
    </w:p>
    <w:p w14:paraId="5205FCB0" w14:textId="399519B1" w:rsidR="00280557" w:rsidRPr="008836B0" w:rsidRDefault="00645714" w:rsidP="008836B0">
      <w:pPr>
        <w:jc w:val="both"/>
      </w:pPr>
      <w:r w:rsidRPr="008836B0">
        <w:t xml:space="preserve">A steering committee of experts will provide the leadership, expertise, and coordination needed to develop </w:t>
      </w:r>
      <w:r w:rsidR="00694827" w:rsidRPr="008836B0">
        <w:t xml:space="preserve">an </w:t>
      </w:r>
      <w:r w:rsidRPr="008836B0">
        <w:t>effective and comprehensive polic</w:t>
      </w:r>
      <w:r w:rsidR="00694827" w:rsidRPr="008836B0">
        <w:t xml:space="preserve">y and advise </w:t>
      </w:r>
      <w:r w:rsidR="00106ECC" w:rsidRPr="008836B0">
        <w:t xml:space="preserve">the </w:t>
      </w:r>
      <w:r w:rsidR="00694827" w:rsidRPr="008836B0">
        <w:t xml:space="preserve">Government on the </w:t>
      </w:r>
      <w:r w:rsidRPr="008836B0">
        <w:t>legisl</w:t>
      </w:r>
      <w:r w:rsidR="00694827" w:rsidRPr="008836B0">
        <w:t>ative and institutional changes that will be needed</w:t>
      </w:r>
      <w:r w:rsidR="00B3156F" w:rsidRPr="008836B0">
        <w:t>.</w:t>
      </w:r>
      <w:r w:rsidR="00DC7B2A" w:rsidRPr="008836B0">
        <w:t xml:space="preserve"> </w:t>
      </w:r>
      <w:r w:rsidR="00280557" w:rsidRPr="008836B0">
        <w:t xml:space="preserve">A coordinated national public awareness campaign will be </w:t>
      </w:r>
      <w:r w:rsidR="00DC7B2A" w:rsidRPr="008836B0">
        <w:t xml:space="preserve">critical in </w:t>
      </w:r>
      <w:r w:rsidR="00280557" w:rsidRPr="008836B0">
        <w:t>ensur</w:t>
      </w:r>
      <w:r w:rsidR="00DC7B2A" w:rsidRPr="008836B0">
        <w:t xml:space="preserve">ing </w:t>
      </w:r>
      <w:r w:rsidR="00280557" w:rsidRPr="008836B0">
        <w:t>community buy-in</w:t>
      </w:r>
      <w:r w:rsidR="00A5064A" w:rsidRPr="008836B0">
        <w:t xml:space="preserve">, </w:t>
      </w:r>
      <w:r w:rsidR="00280557" w:rsidRPr="008836B0">
        <w:t>support for any resultant policy or legislation</w:t>
      </w:r>
      <w:r w:rsidR="00A93D02" w:rsidRPr="008836B0">
        <w:t>, and a</w:t>
      </w:r>
      <w:r w:rsidR="00E245D5" w:rsidRPr="008836B0">
        <w:t xml:space="preserve"> deeper</w:t>
      </w:r>
      <w:r w:rsidR="00A93D02" w:rsidRPr="008836B0">
        <w:t xml:space="preserve"> understanding of </w:t>
      </w:r>
      <w:r w:rsidR="00345360" w:rsidRPr="008836B0">
        <w:t xml:space="preserve">the </w:t>
      </w:r>
      <w:r w:rsidR="008908B0" w:rsidRPr="008836B0">
        <w:t xml:space="preserve">symptoms </w:t>
      </w:r>
      <w:r w:rsidR="00E245D5" w:rsidRPr="008836B0">
        <w:t>of online predatory practices across the age spectrum</w:t>
      </w:r>
      <w:r w:rsidR="00280557" w:rsidRPr="008836B0">
        <w:t>.</w:t>
      </w:r>
      <w:r w:rsidR="002141C1" w:rsidRPr="008836B0">
        <w:t xml:space="preserve"> </w:t>
      </w:r>
    </w:p>
    <w:p w14:paraId="7F528D0E" w14:textId="6DC4FAD7" w:rsidR="000428CB" w:rsidRPr="008836B0" w:rsidRDefault="000428CB" w:rsidP="008836B0">
      <w:pPr>
        <w:pStyle w:val="Headingb"/>
      </w:pPr>
      <w:r w:rsidRPr="008836B0">
        <w:t xml:space="preserve">Child </w:t>
      </w:r>
      <w:r w:rsidR="008836B0" w:rsidRPr="008836B0">
        <w:t xml:space="preserve">online protection initiatives </w:t>
      </w:r>
      <w:r w:rsidRPr="008836B0">
        <w:t>in the Eastern Caribbean</w:t>
      </w:r>
      <w:r w:rsidR="00EA5E62" w:rsidRPr="008836B0">
        <w:t xml:space="preserve"> (OECS Region)</w:t>
      </w:r>
    </w:p>
    <w:p w14:paraId="1A53B2A7" w14:textId="79737FE0" w:rsidR="00AA75EB" w:rsidRPr="008836B0" w:rsidRDefault="00827193" w:rsidP="008836B0">
      <w:pPr>
        <w:jc w:val="both"/>
      </w:pPr>
      <w:r w:rsidRPr="008836B0">
        <w:t xml:space="preserve">With support from the ITU and UNICEF, the OECS </w:t>
      </w:r>
      <w:r w:rsidR="006D7037" w:rsidRPr="008836B0">
        <w:t xml:space="preserve">Commission </w:t>
      </w:r>
      <w:r w:rsidRPr="008836B0">
        <w:t xml:space="preserve">released </w:t>
      </w:r>
      <w:r w:rsidR="00CE4173" w:rsidRPr="008836B0">
        <w:t xml:space="preserve">its Policy and Strategic Framework for Child Online Protection (COP) in the OECS in May 2022. </w:t>
      </w:r>
      <w:r w:rsidR="00BA4788" w:rsidRPr="008836B0">
        <w:t xml:space="preserve">This comprehensive </w:t>
      </w:r>
      <w:r w:rsidR="00E04EF7" w:rsidRPr="008836B0">
        <w:t xml:space="preserve">policy and strategic framework was prepared in response to the increased threat of </w:t>
      </w:r>
      <w:r w:rsidR="00276634" w:rsidRPr="008836B0">
        <w:t xml:space="preserve">physical, </w:t>
      </w:r>
      <w:r w:rsidR="00276634" w:rsidRPr="008836B0">
        <w:lastRenderedPageBreak/>
        <w:t>emotional</w:t>
      </w:r>
      <w:r w:rsidR="00CC6E8E" w:rsidRPr="008836B0">
        <w:t>,</w:t>
      </w:r>
      <w:r w:rsidR="00276634" w:rsidRPr="008836B0">
        <w:t xml:space="preserve"> and social harms </w:t>
      </w:r>
      <w:r w:rsidR="00CC6E8E" w:rsidRPr="008836B0">
        <w:t>faced by youth since the onset of the COVID-19 pandemic and the shift to internet-based learning modalities</w:t>
      </w:r>
      <w:r w:rsidR="00276634" w:rsidRPr="008836B0">
        <w:t xml:space="preserve">. </w:t>
      </w:r>
    </w:p>
    <w:p w14:paraId="57977930" w14:textId="39C3DE5B" w:rsidR="00AA75EB" w:rsidRPr="008836B0" w:rsidRDefault="002C6893" w:rsidP="008836B0">
      <w:pPr>
        <w:jc w:val="both"/>
      </w:pPr>
      <w:r w:rsidRPr="008836B0">
        <w:t xml:space="preserve">The </w:t>
      </w:r>
      <w:r w:rsidR="00C561EF" w:rsidRPr="008836B0">
        <w:t xml:space="preserve">policy provides a framework covering nine (9) countries in the </w:t>
      </w:r>
      <w:r w:rsidR="00A46FF5" w:rsidRPr="008836B0">
        <w:t>E</w:t>
      </w:r>
      <w:r w:rsidR="00C561EF" w:rsidRPr="008836B0">
        <w:t xml:space="preserve">astern Caribbean: </w:t>
      </w:r>
      <w:r w:rsidR="002F29B0" w:rsidRPr="008836B0">
        <w:t>Antigua and Barbuda, the Commonwealth of Dominica, Grenada, Montserrat, Saint Kitts and Nevis, Saint Lucia, Saint Vincent and the Grenadines, the British Virgin Islands, and Anguilla</w:t>
      </w:r>
      <w:r w:rsidR="007E50BD" w:rsidRPr="008836B0">
        <w:t xml:space="preserve">; all recognized as SIDS. The </w:t>
      </w:r>
      <w:r w:rsidR="00A46FF5" w:rsidRPr="008836B0">
        <w:t xml:space="preserve">policy framework </w:t>
      </w:r>
      <w:r w:rsidR="001C6D40" w:rsidRPr="008836B0">
        <w:t>provides</w:t>
      </w:r>
      <w:r w:rsidR="00391630" w:rsidRPr="008836B0">
        <w:t xml:space="preserve"> </w:t>
      </w:r>
      <w:r w:rsidR="009E1DEE" w:rsidRPr="008836B0">
        <w:t xml:space="preserve">guidelines to the Ministries of Education and Ministries responsible for ICT in </w:t>
      </w:r>
      <w:r w:rsidR="00391630" w:rsidRPr="008836B0">
        <w:t>the respective OECS M</w:t>
      </w:r>
      <w:r w:rsidR="009E1DEE" w:rsidRPr="008836B0">
        <w:t xml:space="preserve">ember </w:t>
      </w:r>
      <w:r w:rsidR="00391630" w:rsidRPr="008836B0">
        <w:t xml:space="preserve">Countries </w:t>
      </w:r>
      <w:r w:rsidR="00766638" w:rsidRPr="008836B0">
        <w:t xml:space="preserve">to </w:t>
      </w:r>
      <w:r w:rsidR="001C6D40" w:rsidRPr="008836B0">
        <w:t xml:space="preserve">facilitate the protection of </w:t>
      </w:r>
      <w:r w:rsidR="00766638" w:rsidRPr="008836B0">
        <w:t xml:space="preserve">youth and children in online environments. </w:t>
      </w:r>
    </w:p>
    <w:p w14:paraId="358697BF" w14:textId="0A0D0F34" w:rsidR="005167B6" w:rsidRPr="008836B0" w:rsidRDefault="00D661DF" w:rsidP="008836B0">
      <w:pPr>
        <w:jc w:val="both"/>
      </w:pPr>
      <w:r w:rsidRPr="008836B0">
        <w:t xml:space="preserve">Early in the development of the COP policy for the region, </w:t>
      </w:r>
      <w:r w:rsidR="005167B6" w:rsidRPr="008836B0">
        <w:t>diagnostic</w:t>
      </w:r>
      <w:r w:rsidR="003377C0" w:rsidRPr="008836B0">
        <w:t xml:space="preserve"> studies identified</w:t>
      </w:r>
      <w:r w:rsidR="005167B6" w:rsidRPr="008836B0">
        <w:t xml:space="preserve"> several </w:t>
      </w:r>
      <w:r w:rsidR="00C64E6A" w:rsidRPr="008836B0">
        <w:t>challenges</w:t>
      </w:r>
      <w:r w:rsidR="002936D5" w:rsidRPr="008836B0">
        <w:t>, including</w:t>
      </w:r>
      <w:r w:rsidR="003377C0" w:rsidRPr="008836B0">
        <w:t xml:space="preserve">: </w:t>
      </w:r>
    </w:p>
    <w:p w14:paraId="40EECAA9" w14:textId="4391A54D" w:rsidR="007A493F" w:rsidRPr="008836B0" w:rsidRDefault="008836B0" w:rsidP="008836B0">
      <w:pPr>
        <w:pStyle w:val="enumlev1"/>
      </w:pPr>
      <w:r w:rsidRPr="008836B0">
        <w:t>–</w:t>
      </w:r>
      <w:r w:rsidRPr="008836B0">
        <w:tab/>
      </w:r>
      <w:r w:rsidR="002248B0" w:rsidRPr="008836B0">
        <w:t xml:space="preserve">general lack of supervision for children’s online activity, </w:t>
      </w:r>
    </w:p>
    <w:p w14:paraId="1FA27E13" w14:textId="004856B1" w:rsidR="007A493F" w:rsidRPr="008836B0" w:rsidRDefault="008836B0" w:rsidP="008836B0">
      <w:pPr>
        <w:pStyle w:val="enumlev1"/>
      </w:pPr>
      <w:r w:rsidRPr="008836B0">
        <w:t>–</w:t>
      </w:r>
      <w:r w:rsidRPr="008836B0">
        <w:tab/>
      </w:r>
      <w:r w:rsidR="002248B0" w:rsidRPr="008836B0">
        <w:t xml:space="preserve">increasing cyberbullying reports, </w:t>
      </w:r>
    </w:p>
    <w:p w14:paraId="18B968CA" w14:textId="750B550E" w:rsidR="007A493F" w:rsidRPr="008836B0" w:rsidRDefault="008836B0" w:rsidP="008836B0">
      <w:pPr>
        <w:pStyle w:val="enumlev1"/>
      </w:pPr>
      <w:r w:rsidRPr="008836B0">
        <w:t>–</w:t>
      </w:r>
      <w:r w:rsidRPr="008836B0">
        <w:tab/>
      </w:r>
      <w:r w:rsidR="002248B0" w:rsidRPr="008836B0">
        <w:t>growing harmful online</w:t>
      </w:r>
      <w:r w:rsidR="007A493F" w:rsidRPr="008836B0">
        <w:t xml:space="preserve"> </w:t>
      </w:r>
      <w:r w:rsidR="002248B0" w:rsidRPr="008836B0">
        <w:t xml:space="preserve">content, </w:t>
      </w:r>
    </w:p>
    <w:p w14:paraId="42587707" w14:textId="4ADF46BE" w:rsidR="007A493F" w:rsidRPr="008836B0" w:rsidRDefault="008836B0" w:rsidP="008836B0">
      <w:pPr>
        <w:pStyle w:val="enumlev1"/>
      </w:pPr>
      <w:r w:rsidRPr="008836B0">
        <w:t>–</w:t>
      </w:r>
      <w:r w:rsidRPr="008836B0">
        <w:tab/>
      </w:r>
      <w:r w:rsidR="002248B0" w:rsidRPr="008836B0">
        <w:t xml:space="preserve">limited or no privacy, and </w:t>
      </w:r>
    </w:p>
    <w:p w14:paraId="60BCF72C" w14:textId="6624E92D" w:rsidR="005167B6" w:rsidRPr="008836B0" w:rsidRDefault="008836B0" w:rsidP="008836B0">
      <w:pPr>
        <w:pStyle w:val="enumlev1"/>
      </w:pPr>
      <w:r w:rsidRPr="008836B0">
        <w:t>–</w:t>
      </w:r>
      <w:r w:rsidRPr="008836B0">
        <w:tab/>
      </w:r>
      <w:r w:rsidR="002248B0" w:rsidRPr="008836B0">
        <w:t>a lack of awareness of local laws addressing COP issues</w:t>
      </w:r>
      <w:r w:rsidR="007E3696" w:rsidRPr="008836B0">
        <w:t>.</w:t>
      </w:r>
    </w:p>
    <w:p w14:paraId="101F267A" w14:textId="3A7B6558" w:rsidR="007E3696" w:rsidRPr="008836B0" w:rsidRDefault="007E3696" w:rsidP="008836B0">
      <w:pPr>
        <w:jc w:val="both"/>
      </w:pPr>
      <w:r w:rsidRPr="008836B0">
        <w:t>To address these challenges, the policy framework and accompanying child online protection strategy</w:t>
      </w:r>
      <w:r w:rsidR="0000196A" w:rsidRPr="008836B0">
        <w:t xml:space="preserve"> </w:t>
      </w:r>
      <w:r w:rsidR="000D6E7D" w:rsidRPr="008836B0">
        <w:t xml:space="preserve">proposes </w:t>
      </w:r>
      <w:r w:rsidR="00A407D0" w:rsidRPr="008836B0">
        <w:t xml:space="preserve">that Member Countries do </w:t>
      </w:r>
      <w:r w:rsidR="000D6E7D" w:rsidRPr="008836B0">
        <w:t>the following</w:t>
      </w:r>
      <w:r w:rsidR="00657299" w:rsidRPr="008836B0">
        <w:t>, among other things</w:t>
      </w:r>
      <w:r w:rsidR="0000196A" w:rsidRPr="008836B0">
        <w:t>:</w:t>
      </w:r>
    </w:p>
    <w:p w14:paraId="395977A8" w14:textId="220909C8" w:rsidR="00583BA8" w:rsidRPr="008836B0" w:rsidRDefault="008836B0" w:rsidP="008836B0">
      <w:pPr>
        <w:pStyle w:val="enumlev1"/>
        <w:jc w:val="both"/>
      </w:pPr>
      <w:r w:rsidRPr="008836B0">
        <w:t>–</w:t>
      </w:r>
      <w:r w:rsidRPr="008836B0">
        <w:tab/>
      </w:r>
      <w:r w:rsidRPr="008836B0">
        <w:t xml:space="preserve">establish </w:t>
      </w:r>
      <w:r w:rsidR="00EA34A7" w:rsidRPr="008836B0">
        <w:t>g</w:t>
      </w:r>
      <w:r w:rsidR="00583BA8" w:rsidRPr="008836B0">
        <w:t xml:space="preserve">overnance and </w:t>
      </w:r>
      <w:r w:rsidR="00EA34A7" w:rsidRPr="008836B0">
        <w:t>i</w:t>
      </w:r>
      <w:r w:rsidR="00583BA8" w:rsidRPr="008836B0">
        <w:t xml:space="preserve">nstitutional </w:t>
      </w:r>
      <w:r w:rsidR="00EA34A7" w:rsidRPr="008836B0">
        <w:t>f</w:t>
      </w:r>
      <w:r w:rsidR="00583BA8" w:rsidRPr="008836B0">
        <w:t>ramework</w:t>
      </w:r>
      <w:r w:rsidR="00EA34A7" w:rsidRPr="008836B0">
        <w:t xml:space="preserve"> via the creation of a multistakeholder gr</w:t>
      </w:r>
      <w:r w:rsidR="00E465FD" w:rsidRPr="008836B0">
        <w:t>oup</w:t>
      </w:r>
      <w:r>
        <w:t>,</w:t>
      </w:r>
    </w:p>
    <w:p w14:paraId="4A012F6F" w14:textId="3F683987" w:rsidR="00583BA8" w:rsidRPr="008836B0" w:rsidRDefault="008836B0" w:rsidP="008836B0">
      <w:pPr>
        <w:pStyle w:val="enumlev1"/>
        <w:jc w:val="both"/>
      </w:pPr>
      <w:r w:rsidRPr="008836B0">
        <w:t>–</w:t>
      </w:r>
      <w:r w:rsidRPr="008836B0">
        <w:tab/>
      </w:r>
      <w:r w:rsidRPr="008836B0">
        <w:t xml:space="preserve">strengthen </w:t>
      </w:r>
      <w:r w:rsidR="00E465FD" w:rsidRPr="008836B0">
        <w:t>the l</w:t>
      </w:r>
      <w:r w:rsidR="00583BA8" w:rsidRPr="008836B0">
        <w:t xml:space="preserve">egal and </w:t>
      </w:r>
      <w:r w:rsidR="00E465FD" w:rsidRPr="008836B0">
        <w:t>r</w:t>
      </w:r>
      <w:r w:rsidR="00583BA8" w:rsidRPr="008836B0">
        <w:t xml:space="preserve">egulatory </w:t>
      </w:r>
      <w:r w:rsidR="00E465FD" w:rsidRPr="008836B0">
        <w:t xml:space="preserve">environment </w:t>
      </w:r>
      <w:r w:rsidR="0099432C" w:rsidRPr="008836B0">
        <w:t>by r</w:t>
      </w:r>
      <w:r w:rsidR="00583BA8" w:rsidRPr="008836B0">
        <w:t>eview</w:t>
      </w:r>
      <w:r w:rsidR="0099432C" w:rsidRPr="008836B0">
        <w:t>ing</w:t>
      </w:r>
      <w:r w:rsidR="00583BA8" w:rsidRPr="008836B0">
        <w:t xml:space="preserve"> and updat</w:t>
      </w:r>
      <w:r w:rsidR="0099432C" w:rsidRPr="008836B0">
        <w:t>ing</w:t>
      </w:r>
      <w:r w:rsidR="00583BA8" w:rsidRPr="008836B0">
        <w:t xml:space="preserve"> national laws to align with international COP standards</w:t>
      </w:r>
      <w:r>
        <w:t>,</w:t>
      </w:r>
    </w:p>
    <w:p w14:paraId="3F011323" w14:textId="01DE88FE" w:rsidR="00583BA8" w:rsidRPr="008836B0" w:rsidRDefault="008836B0" w:rsidP="008836B0">
      <w:pPr>
        <w:pStyle w:val="enumlev1"/>
        <w:jc w:val="both"/>
      </w:pPr>
      <w:r w:rsidRPr="008836B0">
        <w:t>–</w:t>
      </w:r>
      <w:r w:rsidRPr="008836B0">
        <w:tab/>
      </w:r>
      <w:r w:rsidRPr="008836B0">
        <w:t xml:space="preserve">capacity </w:t>
      </w:r>
      <w:r w:rsidR="007B3CA0" w:rsidRPr="008836B0">
        <w:t>b</w:t>
      </w:r>
      <w:r w:rsidR="00583BA8" w:rsidRPr="008836B0">
        <w:t xml:space="preserve">uilding and </w:t>
      </w:r>
      <w:r w:rsidR="007B3CA0" w:rsidRPr="008836B0">
        <w:t>t</w:t>
      </w:r>
      <w:r w:rsidR="00583BA8" w:rsidRPr="008836B0">
        <w:t>raining</w:t>
      </w:r>
      <w:r w:rsidR="007B3CA0" w:rsidRPr="008836B0">
        <w:t xml:space="preserve"> of stakeholders supported by </w:t>
      </w:r>
      <w:r w:rsidR="007E4196" w:rsidRPr="008836B0">
        <w:t>public</w:t>
      </w:r>
      <w:r w:rsidR="007B3CA0" w:rsidRPr="008836B0">
        <w:t xml:space="preserve"> awareness </w:t>
      </w:r>
      <w:r w:rsidR="007E4196" w:rsidRPr="008836B0">
        <w:t>and educational campaigns</w:t>
      </w:r>
      <w:r>
        <w:t>,</w:t>
      </w:r>
    </w:p>
    <w:p w14:paraId="0D0CEF3F" w14:textId="26064936" w:rsidR="00934021" w:rsidRPr="008836B0" w:rsidRDefault="008836B0" w:rsidP="008836B0">
      <w:pPr>
        <w:pStyle w:val="enumlev1"/>
        <w:jc w:val="both"/>
      </w:pPr>
      <w:r w:rsidRPr="008836B0">
        <w:t>–</w:t>
      </w:r>
      <w:r w:rsidRPr="008836B0">
        <w:tab/>
      </w:r>
      <w:r w:rsidRPr="008836B0">
        <w:t xml:space="preserve">establish </w:t>
      </w:r>
      <w:r w:rsidR="00583BA8" w:rsidRPr="008836B0">
        <w:t>protocols for reporting and responding to online threats</w:t>
      </w:r>
      <w:r w:rsidR="008357B3" w:rsidRPr="008836B0">
        <w:t xml:space="preserve"> along with relevant moni</w:t>
      </w:r>
      <w:r w:rsidR="00934021" w:rsidRPr="008836B0">
        <w:t>toring and evaluation mechanisms</w:t>
      </w:r>
      <w:r>
        <w:t>,</w:t>
      </w:r>
      <w:r w:rsidR="00934021" w:rsidRPr="008836B0">
        <w:t xml:space="preserve"> and</w:t>
      </w:r>
    </w:p>
    <w:p w14:paraId="5831BB65" w14:textId="05328FBC" w:rsidR="00583BA8" w:rsidRPr="008836B0" w:rsidRDefault="008836B0" w:rsidP="008836B0">
      <w:pPr>
        <w:pStyle w:val="enumlev1"/>
        <w:jc w:val="both"/>
      </w:pPr>
      <w:r w:rsidRPr="008836B0">
        <w:t>–</w:t>
      </w:r>
      <w:r w:rsidRPr="008836B0">
        <w:tab/>
      </w:r>
      <w:r w:rsidRPr="008836B0">
        <w:t xml:space="preserve">integrate </w:t>
      </w:r>
      <w:r w:rsidR="00934021" w:rsidRPr="008836B0">
        <w:t xml:space="preserve">COP mechanisms </w:t>
      </w:r>
      <w:r w:rsidR="00583BA8" w:rsidRPr="008836B0">
        <w:t xml:space="preserve">into </w:t>
      </w:r>
      <w:r w:rsidR="00934021" w:rsidRPr="008836B0">
        <w:t>the national e</w:t>
      </w:r>
      <w:r w:rsidR="00583BA8" w:rsidRPr="008836B0">
        <w:t xml:space="preserve">ducational </w:t>
      </w:r>
      <w:r w:rsidR="00934021" w:rsidRPr="008836B0">
        <w:t>c</w:t>
      </w:r>
      <w:r w:rsidR="00583BA8" w:rsidRPr="008836B0">
        <w:t>urriculum at primary and secondary levels</w:t>
      </w:r>
      <w:r w:rsidR="001E3194" w:rsidRPr="008836B0">
        <w:t>.</w:t>
      </w:r>
    </w:p>
    <w:p w14:paraId="484AA2B9" w14:textId="6967241E" w:rsidR="00106ECC" w:rsidRPr="008836B0" w:rsidRDefault="00445092" w:rsidP="008836B0">
      <w:pPr>
        <w:pStyle w:val="Headingb"/>
      </w:pPr>
      <w:r w:rsidRPr="008836B0">
        <w:t xml:space="preserve">Implementation </w:t>
      </w:r>
      <w:r w:rsidR="008836B0" w:rsidRPr="008836B0">
        <w:t>challenges</w:t>
      </w:r>
    </w:p>
    <w:p w14:paraId="7933FBD4" w14:textId="3F861AAF" w:rsidR="002D1D15" w:rsidRPr="008836B0" w:rsidRDefault="00771574" w:rsidP="008836B0">
      <w:pPr>
        <w:jc w:val="both"/>
      </w:pPr>
      <w:r w:rsidRPr="008836B0">
        <w:t>O</w:t>
      </w:r>
      <w:r w:rsidR="00357AC1" w:rsidRPr="008836B0">
        <w:t xml:space="preserve">nline predators are employing more sophisticated methods to circumvent </w:t>
      </w:r>
      <w:r w:rsidRPr="008836B0">
        <w:t>existing online</w:t>
      </w:r>
      <w:r w:rsidR="00357AC1" w:rsidRPr="008836B0">
        <w:t xml:space="preserve"> protections. </w:t>
      </w:r>
      <w:r w:rsidR="00AA4DC8" w:rsidRPr="008836B0">
        <w:t>Governments must</w:t>
      </w:r>
      <w:r w:rsidR="00591129" w:rsidRPr="008836B0">
        <w:t xml:space="preserve">, therefore, keep pace and be able to respond quickly to </w:t>
      </w:r>
      <w:r w:rsidR="007B42F2" w:rsidRPr="008836B0">
        <w:t xml:space="preserve">nefarious technology </w:t>
      </w:r>
      <w:r w:rsidR="00591129" w:rsidRPr="008836B0">
        <w:t>advancements</w:t>
      </w:r>
      <w:r w:rsidR="00357AC1" w:rsidRPr="008836B0">
        <w:t xml:space="preserve">. </w:t>
      </w:r>
      <w:r w:rsidR="002402B2" w:rsidRPr="008836B0">
        <w:t>As such, it</w:t>
      </w:r>
      <w:r w:rsidR="005604DD" w:rsidRPr="008836B0">
        <w:t xml:space="preserve"> is important to acknowledge </w:t>
      </w:r>
      <w:r w:rsidR="002C3411" w:rsidRPr="008836B0">
        <w:t xml:space="preserve">challenges that impact the pace at which </w:t>
      </w:r>
      <w:r w:rsidR="008E775D" w:rsidRPr="008836B0">
        <w:t xml:space="preserve">national </w:t>
      </w:r>
      <w:r w:rsidR="002C3411" w:rsidRPr="008836B0">
        <w:t xml:space="preserve">child online protection </w:t>
      </w:r>
      <w:r w:rsidR="008E775D" w:rsidRPr="008836B0">
        <w:t xml:space="preserve">strategies are being advanced in the </w:t>
      </w:r>
      <w:r w:rsidR="00A20F12" w:rsidRPr="008836B0">
        <w:t xml:space="preserve">Caribbean </w:t>
      </w:r>
      <w:r w:rsidR="008E775D" w:rsidRPr="008836B0">
        <w:t xml:space="preserve">so that appropriate </w:t>
      </w:r>
      <w:r w:rsidR="00F26347" w:rsidRPr="008836B0">
        <w:t xml:space="preserve">solutions can be designed to support </w:t>
      </w:r>
      <w:r w:rsidR="00BD04C9" w:rsidRPr="008836B0">
        <w:t xml:space="preserve">Member States who may need them. </w:t>
      </w:r>
      <w:r w:rsidR="0010568A" w:rsidRPr="008836B0">
        <w:t>Challenges include:</w:t>
      </w:r>
    </w:p>
    <w:p w14:paraId="3A2EDC7D" w14:textId="516223EC" w:rsidR="001A6089" w:rsidRPr="008836B0" w:rsidRDefault="008836B0" w:rsidP="008836B0">
      <w:pPr>
        <w:pStyle w:val="enumlev1"/>
      </w:pPr>
      <w:r w:rsidRPr="008836B0">
        <w:t>–</w:t>
      </w:r>
      <w:r w:rsidRPr="008836B0">
        <w:tab/>
      </w:r>
      <w:r w:rsidRPr="008836B0">
        <w:t xml:space="preserve">limited </w:t>
      </w:r>
      <w:r w:rsidR="001A6089" w:rsidRPr="008836B0">
        <w:t>funding, human capacity, and competing national priorities</w:t>
      </w:r>
      <w:r>
        <w:t>,</w:t>
      </w:r>
    </w:p>
    <w:p w14:paraId="10C4A759" w14:textId="1B8CEFF5" w:rsidR="001A6089" w:rsidRPr="008836B0" w:rsidRDefault="008836B0" w:rsidP="008836B0">
      <w:pPr>
        <w:pStyle w:val="enumlev1"/>
      </w:pPr>
      <w:r w:rsidRPr="008836B0">
        <w:t>–</w:t>
      </w:r>
      <w:r w:rsidRPr="008836B0">
        <w:tab/>
      </w:r>
      <w:r w:rsidRPr="008836B0">
        <w:t xml:space="preserve">fragmented </w:t>
      </w:r>
      <w:r w:rsidR="001A6089" w:rsidRPr="008836B0">
        <w:t>institutional and legal frameworks</w:t>
      </w:r>
      <w:r>
        <w:t>,</w:t>
      </w:r>
      <w:r w:rsidR="005A2806" w:rsidRPr="008836B0">
        <w:t xml:space="preserve"> and</w:t>
      </w:r>
    </w:p>
    <w:p w14:paraId="483252E4" w14:textId="2DA22DF3" w:rsidR="001A6089" w:rsidRPr="008836B0" w:rsidRDefault="008836B0" w:rsidP="008836B0">
      <w:pPr>
        <w:pStyle w:val="enumlev1"/>
        <w:jc w:val="both"/>
      </w:pPr>
      <w:r w:rsidRPr="008836B0">
        <w:t>–</w:t>
      </w:r>
      <w:r w:rsidRPr="008836B0">
        <w:tab/>
      </w:r>
      <w:r w:rsidRPr="008836B0">
        <w:t>time</w:t>
      </w:r>
      <w:r w:rsidR="001A6089" w:rsidRPr="008836B0">
        <w:t xml:space="preserve">-consuming bureaucratic policy and legislative processes, exacerbated by the cyclical nature of political transitions, often pose challenges in maintaining momentum for long-term strategic initiatives. </w:t>
      </w:r>
    </w:p>
    <w:p w14:paraId="195BAC50" w14:textId="523BF2E6" w:rsidR="00E50349" w:rsidRPr="008836B0" w:rsidRDefault="00EC1975" w:rsidP="008836B0">
      <w:pPr>
        <w:pStyle w:val="Headingb"/>
      </w:pPr>
      <w:r w:rsidRPr="008836B0">
        <w:lastRenderedPageBreak/>
        <w:t>Conclusion</w:t>
      </w:r>
      <w:r w:rsidR="00AF1D89" w:rsidRPr="008836B0">
        <w:t xml:space="preserve">s </w:t>
      </w:r>
      <w:r w:rsidR="008836B0">
        <w:t>and</w:t>
      </w:r>
      <w:r w:rsidR="00AF1D89" w:rsidRPr="008836B0">
        <w:t xml:space="preserve"> </w:t>
      </w:r>
      <w:r w:rsidR="008836B0" w:rsidRPr="008836B0">
        <w:t>key takeaways</w:t>
      </w:r>
    </w:p>
    <w:p w14:paraId="49A38CD5" w14:textId="184D1B1C" w:rsidR="00EC1975" w:rsidRPr="008836B0" w:rsidRDefault="00812E6F" w:rsidP="008836B0">
      <w:pPr>
        <w:jc w:val="both"/>
      </w:pPr>
      <w:r w:rsidRPr="008836B0">
        <w:t>Whi</w:t>
      </w:r>
      <w:r w:rsidR="00615142" w:rsidRPr="008836B0">
        <w:t>le advancements in technology</w:t>
      </w:r>
      <w:r w:rsidR="005C09DE" w:rsidRPr="008836B0">
        <w:t xml:space="preserve"> have improved connectivity in Small Island Development States (SIDS)</w:t>
      </w:r>
      <w:r w:rsidR="008836B0">
        <w:t>, allowing for improved delivery of health, education,</w:t>
      </w:r>
      <w:r w:rsidR="00B11142" w:rsidRPr="008836B0">
        <w:t xml:space="preserve"> and other services to remote communities</w:t>
      </w:r>
      <w:r w:rsidR="0015650A" w:rsidRPr="008836B0">
        <w:t xml:space="preserve">, it also presents risks, particularly to youth, when not properly monitored. </w:t>
      </w:r>
      <w:r w:rsidR="00775828" w:rsidRPr="008836B0">
        <w:t xml:space="preserve">Post-COVID-19, </w:t>
      </w:r>
      <w:r w:rsidR="00583B03" w:rsidRPr="008836B0">
        <w:t>with increased reliance on</w:t>
      </w:r>
      <w:r w:rsidR="00304039" w:rsidRPr="008836B0">
        <w:t xml:space="preserve"> the </w:t>
      </w:r>
      <w:r w:rsidR="008836B0" w:rsidRPr="008836B0">
        <w:t xml:space="preserve">Internet </w:t>
      </w:r>
      <w:r w:rsidR="00304039" w:rsidRPr="008836B0">
        <w:t xml:space="preserve">for communication and service delivery, Caribbean countries have found their youth </w:t>
      </w:r>
      <w:r w:rsidR="009D5807" w:rsidRPr="008836B0">
        <w:t xml:space="preserve">more susceptible to threats of physical, emotional, and social </w:t>
      </w:r>
      <w:r w:rsidR="008836B0">
        <w:t>harm</w:t>
      </w:r>
      <w:r w:rsidR="009D5807" w:rsidRPr="008836B0">
        <w:t xml:space="preserve"> in the online environment. </w:t>
      </w:r>
      <w:r w:rsidR="00036EEF" w:rsidRPr="008836B0">
        <w:t xml:space="preserve">While </w:t>
      </w:r>
      <w:r w:rsidR="00145E55" w:rsidRPr="008836B0">
        <w:t>many Caribbean countries have developed COP strategies to combat these challenges, implementation challenges</w:t>
      </w:r>
      <w:r w:rsidR="00F93AE9" w:rsidRPr="008836B0">
        <w:t xml:space="preserve">, particularly in the areas of limited funding </w:t>
      </w:r>
      <w:r w:rsidR="007E4D9C" w:rsidRPr="008836B0">
        <w:t>and fragmented frameworks for implementation</w:t>
      </w:r>
      <w:r w:rsidR="008836B0">
        <w:t>,</w:t>
      </w:r>
      <w:r w:rsidR="00385495" w:rsidRPr="008836B0">
        <w:t xml:space="preserve"> continue to pose challenges</w:t>
      </w:r>
      <w:r w:rsidR="00F346F9" w:rsidRPr="008836B0">
        <w:t xml:space="preserve"> </w:t>
      </w:r>
      <w:r w:rsidR="008836B0">
        <w:t>that</w:t>
      </w:r>
      <w:r w:rsidR="00F346F9" w:rsidRPr="008836B0">
        <w:t xml:space="preserve"> are being overcome on a country-by-country basis.</w:t>
      </w:r>
      <w:r w:rsidR="00190CAB" w:rsidRPr="008836B0">
        <w:t xml:space="preserve"> Hence, greater efforts will be placed on regional cooperation and harmonization of policies and strategies within the Caribbean Community, through institutions such as the CTU.</w:t>
      </w:r>
    </w:p>
    <w:p w14:paraId="7BF60903" w14:textId="515752DF" w:rsidR="00A514A4" w:rsidRPr="008836B0" w:rsidRDefault="00E50349" w:rsidP="001900E6">
      <w:pPr>
        <w:spacing w:before="720"/>
        <w:jc w:val="center"/>
      </w:pPr>
      <w:r w:rsidRPr="008836B0">
        <w:t>______________</w:t>
      </w:r>
    </w:p>
    <w:sectPr w:rsidR="00A514A4" w:rsidRPr="008836B0"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B472" w14:textId="77777777" w:rsidR="00694C80" w:rsidRDefault="00694C80">
      <w:r>
        <w:separator/>
      </w:r>
    </w:p>
  </w:endnote>
  <w:endnote w:type="continuationSeparator" w:id="0">
    <w:p w14:paraId="616DB225" w14:textId="77777777" w:rsidR="00694C80" w:rsidRDefault="00694C80">
      <w:r>
        <w:continuationSeparator/>
      </w:r>
    </w:p>
  </w:endnote>
  <w:endnote w:type="continuationNotice" w:id="1">
    <w:p w14:paraId="7879AA5B" w14:textId="77777777" w:rsidR="00694C80" w:rsidRDefault="00694C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8221C36" w14:textId="77777777" w:rsidTr="0042469C">
      <w:trPr>
        <w:jc w:val="center"/>
      </w:trPr>
      <w:tc>
        <w:tcPr>
          <w:tcW w:w="1803" w:type="dxa"/>
          <w:vAlign w:val="center"/>
        </w:tcPr>
        <w:p w14:paraId="2EEAAC71" w14:textId="77777777" w:rsidR="00EE49E8" w:rsidRDefault="00EE49E8" w:rsidP="00EE49E8">
          <w:pPr>
            <w:pStyle w:val="Header"/>
            <w:jc w:val="left"/>
            <w:rPr>
              <w:noProof/>
            </w:rPr>
          </w:pPr>
        </w:p>
      </w:tc>
      <w:tc>
        <w:tcPr>
          <w:tcW w:w="8261" w:type="dxa"/>
        </w:tcPr>
        <w:p w14:paraId="7BE62B90" w14:textId="5176ED1D" w:rsidR="00EE49E8" w:rsidRPr="00BA3A51" w:rsidRDefault="00EE49E8" w:rsidP="0025570E">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5348C9">
            <w:rPr>
              <w:bCs/>
              <w:lang w:val="fr-CH"/>
            </w:rPr>
            <w:t>19</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FA128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8A593DA" w14:textId="77777777" w:rsidTr="00A52C84">
      <w:trPr>
        <w:jc w:val="center"/>
      </w:trPr>
      <w:tc>
        <w:tcPr>
          <w:tcW w:w="3107" w:type="dxa"/>
          <w:vAlign w:val="center"/>
        </w:tcPr>
        <w:p w14:paraId="2AD600F6" w14:textId="4A85E0D1" w:rsidR="00EE49E8" w:rsidRPr="00D6261A" w:rsidRDefault="00680230" w:rsidP="00EE49E8">
          <w:pPr>
            <w:pStyle w:val="Header"/>
            <w:jc w:val="left"/>
            <w:rPr>
              <w:noProof/>
            </w:rPr>
          </w:pPr>
          <w:hyperlink r:id="rId1" w:history="1">
            <w:r w:rsidRPr="00CE2360">
              <w:rPr>
                <w:rStyle w:val="Hyperlink"/>
              </w:rPr>
              <w:t>https://council.itu.int/working-groups</w:t>
            </w:r>
          </w:hyperlink>
        </w:p>
      </w:tc>
      <w:tc>
        <w:tcPr>
          <w:tcW w:w="6957" w:type="dxa"/>
        </w:tcPr>
        <w:p w14:paraId="6EEF97F5" w14:textId="6C50483E" w:rsidR="00EE49E8" w:rsidRPr="00BA3A51" w:rsidRDefault="00680230" w:rsidP="0025570E">
          <w:pPr>
            <w:pStyle w:val="Header"/>
            <w:tabs>
              <w:tab w:val="left" w:pos="5008"/>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COP</w:t>
          </w:r>
          <w:r w:rsidRPr="00BA3A51">
            <w:rPr>
              <w:bCs/>
              <w:lang w:val="fr-CH"/>
            </w:rPr>
            <w:t>-</w:t>
          </w:r>
          <w:r>
            <w:rPr>
              <w:bCs/>
              <w:lang w:val="fr-CH"/>
            </w:rPr>
            <w:t>22</w:t>
          </w:r>
          <w:r w:rsidRPr="00BA3A51">
            <w:rPr>
              <w:bCs/>
              <w:lang w:val="fr-CH"/>
            </w:rPr>
            <w:t>/</w:t>
          </w:r>
          <w:r w:rsidR="005348C9">
            <w:rPr>
              <w:bCs/>
              <w:lang w:val="fr-CH"/>
            </w:rPr>
            <w:t>19</w:t>
          </w:r>
          <w:r w:rsidRPr="00BA3A51">
            <w:rPr>
              <w:bCs/>
              <w:lang w:val="fr-CH"/>
            </w:rPr>
            <w:t>-E</w:t>
          </w:r>
          <w:r w:rsidRPr="00BA3A51">
            <w:rPr>
              <w:bCs/>
              <w:lang w:val="fr-CH"/>
            </w:rPr>
            <w:tab/>
          </w:r>
          <w:r>
            <w:fldChar w:fldCharType="begin"/>
          </w:r>
          <w:r w:rsidRPr="00BA3A51">
            <w:rPr>
              <w:lang w:val="fr-CH"/>
            </w:rPr>
            <w:instrText>PAGE</w:instrText>
          </w:r>
          <w:r>
            <w:fldChar w:fldCharType="separate"/>
          </w:r>
          <w:r>
            <w:t>2</w:t>
          </w:r>
          <w:r>
            <w:rPr>
              <w:noProof/>
            </w:rPr>
            <w:fldChar w:fldCharType="end"/>
          </w:r>
        </w:p>
      </w:tc>
    </w:tr>
  </w:tbl>
  <w:p w14:paraId="03260A2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9325E" w14:textId="77777777" w:rsidR="00694C80" w:rsidRDefault="00694C80">
      <w:r>
        <w:t>____________________</w:t>
      </w:r>
    </w:p>
  </w:footnote>
  <w:footnote w:type="continuationSeparator" w:id="0">
    <w:p w14:paraId="1E0BD079" w14:textId="77777777" w:rsidR="00694C80" w:rsidRDefault="00694C80">
      <w:r>
        <w:continuationSeparator/>
      </w:r>
    </w:p>
  </w:footnote>
  <w:footnote w:type="continuationNotice" w:id="1">
    <w:p w14:paraId="0915A161" w14:textId="77777777" w:rsidR="00694C80" w:rsidRDefault="00694C8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8991027" w14:textId="77777777" w:rsidTr="00F74694">
      <w:trPr>
        <w:trHeight w:val="1304"/>
        <w:jc w:val="center"/>
      </w:trPr>
      <w:tc>
        <w:tcPr>
          <w:tcW w:w="6546" w:type="dxa"/>
        </w:tcPr>
        <w:bookmarkStart w:id="12" w:name="_Hlk133422111"/>
        <w:p w14:paraId="1B2DEE1F" w14:textId="77777777" w:rsidR="00AD3606" w:rsidRPr="009621F8" w:rsidRDefault="00D6261A"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19D9522F" wp14:editId="30C4224D">
                    <wp:simplePos x="0" y="0"/>
                    <wp:positionH relativeFrom="column">
                      <wp:posOffset>1438331</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D9522F" id="_x0000_t202" coordsize="21600,21600" o:spt="202" path="m,l,21600r21600,l21600,xe">
                    <v:stroke joinstyle="miter"/>
                    <v:path gradientshapeok="t" o:connecttype="rect"/>
                  </v:shapetype>
                  <v:shape id="Text Box 2" o:spid="_x0000_s1026" type="#_x0000_t202" style="position:absolute;margin-left:113.25pt;margin-top:-.0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" fillcolor="white [3212]" stroked="f">
                    <v:textbox style="mso-fit-shape-to-text:t" inset="1mm">
                      <w:txbxContent>
                        <w:p w14:paraId="6951596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4D92F987" wp14:editId="1A7B946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C14D5B5" w14:textId="77777777" w:rsidR="00AD3606" w:rsidRDefault="00AD3606" w:rsidP="00AD3606">
          <w:pPr>
            <w:pStyle w:val="Header"/>
            <w:jc w:val="right"/>
            <w:rPr>
              <w:rFonts w:ascii="Arial" w:hAnsi="Arial" w:cs="Arial"/>
              <w:b/>
              <w:bCs/>
              <w:color w:val="009CD6"/>
              <w:szCs w:val="18"/>
            </w:rPr>
          </w:pPr>
        </w:p>
        <w:p w14:paraId="56574E4E" w14:textId="77777777" w:rsidR="00AD3606" w:rsidRDefault="00AD3606" w:rsidP="00AD3606">
          <w:pPr>
            <w:pStyle w:val="Header"/>
            <w:jc w:val="right"/>
            <w:rPr>
              <w:rFonts w:ascii="Arial" w:hAnsi="Arial" w:cs="Arial"/>
              <w:b/>
              <w:bCs/>
              <w:color w:val="009CD6"/>
              <w:szCs w:val="18"/>
            </w:rPr>
          </w:pPr>
        </w:p>
        <w:p w14:paraId="6E63E01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30D5F6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1F7E2AC" wp14:editId="6DBF9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A684"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414D6B"/>
    <w:multiLevelType w:val="hybridMultilevel"/>
    <w:tmpl w:val="8A84824A"/>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71673"/>
    <w:multiLevelType w:val="hybridMultilevel"/>
    <w:tmpl w:val="FDE26744"/>
    <w:lvl w:ilvl="0" w:tplc="8084D9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01B2C"/>
    <w:multiLevelType w:val="hybridMultilevel"/>
    <w:tmpl w:val="41CC9D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661A98"/>
    <w:multiLevelType w:val="hybridMultilevel"/>
    <w:tmpl w:val="BC0244F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87638A"/>
    <w:multiLevelType w:val="hybridMultilevel"/>
    <w:tmpl w:val="F1C6E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791B85"/>
    <w:multiLevelType w:val="hybridMultilevel"/>
    <w:tmpl w:val="DFF080EC"/>
    <w:lvl w:ilvl="0" w:tplc="FFFFFFFF">
      <w:start w:val="1"/>
      <w:numFmt w:val="decimal"/>
      <w:lvlText w:val="%1."/>
      <w:lvlJc w:val="left"/>
      <w:pPr>
        <w:ind w:left="5760" w:hanging="360"/>
      </w:pPr>
    </w:lvl>
    <w:lvl w:ilvl="1" w:tplc="8084D9D2">
      <w:start w:val="1"/>
      <w:numFmt w:val="decimal"/>
      <w:lvlText w:val="%2."/>
      <w:lvlJc w:val="left"/>
      <w:pPr>
        <w:ind w:left="6480" w:hanging="360"/>
      </w:pPr>
      <w:rPr>
        <w:rFonts w:hint="default"/>
        <w:color w:val="auto"/>
      </w:rPr>
    </w:lvl>
    <w:lvl w:ilvl="2" w:tplc="FFFFFFFF">
      <w:start w:val="1"/>
      <w:numFmt w:val="lowerRoman"/>
      <w:lvlText w:val="%3."/>
      <w:lvlJc w:val="right"/>
      <w:pPr>
        <w:ind w:left="7200" w:hanging="180"/>
      </w:pPr>
    </w:lvl>
    <w:lvl w:ilvl="3" w:tplc="FFFFFFFF">
      <w:start w:val="1"/>
      <w:numFmt w:val="decimal"/>
      <w:lvlText w:val="%4."/>
      <w:lvlJc w:val="left"/>
      <w:pPr>
        <w:ind w:left="7920" w:hanging="360"/>
      </w:pPr>
    </w:lvl>
    <w:lvl w:ilvl="4" w:tplc="FFFFFFFF">
      <w:start w:val="1"/>
      <w:numFmt w:val="lowerLetter"/>
      <w:lvlText w:val="%5."/>
      <w:lvlJc w:val="left"/>
      <w:pPr>
        <w:ind w:left="8640" w:hanging="360"/>
      </w:pPr>
    </w:lvl>
    <w:lvl w:ilvl="5" w:tplc="FFFFFFFF">
      <w:start w:val="1"/>
      <w:numFmt w:val="lowerRoman"/>
      <w:lvlText w:val="%6."/>
      <w:lvlJc w:val="right"/>
      <w:pPr>
        <w:ind w:left="9360" w:hanging="180"/>
      </w:pPr>
    </w:lvl>
    <w:lvl w:ilvl="6" w:tplc="FFFFFFFF">
      <w:start w:val="1"/>
      <w:numFmt w:val="decimal"/>
      <w:lvlText w:val="%7."/>
      <w:lvlJc w:val="left"/>
      <w:pPr>
        <w:ind w:left="10080" w:hanging="360"/>
      </w:pPr>
    </w:lvl>
    <w:lvl w:ilvl="7" w:tplc="FFFFFFFF">
      <w:start w:val="1"/>
      <w:numFmt w:val="lowerLetter"/>
      <w:lvlText w:val="%8."/>
      <w:lvlJc w:val="left"/>
      <w:pPr>
        <w:ind w:left="10800" w:hanging="360"/>
      </w:pPr>
    </w:lvl>
    <w:lvl w:ilvl="8" w:tplc="FFFFFFFF">
      <w:start w:val="1"/>
      <w:numFmt w:val="lowerRoman"/>
      <w:lvlText w:val="%9."/>
      <w:lvlJc w:val="right"/>
      <w:pPr>
        <w:ind w:left="11520" w:hanging="180"/>
      </w:pPr>
    </w:lvl>
  </w:abstractNum>
  <w:abstractNum w:abstractNumId="7" w15:restartNumberingAfterBreak="0">
    <w:nsid w:val="791F77B5"/>
    <w:multiLevelType w:val="hybridMultilevel"/>
    <w:tmpl w:val="6338E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4816267">
    <w:abstractNumId w:val="0"/>
  </w:num>
  <w:num w:numId="2" w16cid:durableId="1666855489">
    <w:abstractNumId w:val="3"/>
  </w:num>
  <w:num w:numId="3" w16cid:durableId="1291548071">
    <w:abstractNumId w:val="5"/>
  </w:num>
  <w:num w:numId="4" w16cid:durableId="105006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91808">
    <w:abstractNumId w:val="7"/>
  </w:num>
  <w:num w:numId="6" w16cid:durableId="1932542435">
    <w:abstractNumId w:val="6"/>
  </w:num>
  <w:num w:numId="7" w16cid:durableId="1774669472">
    <w:abstractNumId w:val="2"/>
  </w:num>
  <w:num w:numId="8" w16cid:durableId="1550915307">
    <w:abstractNumId w:val="4"/>
  </w:num>
  <w:num w:numId="9" w16cid:durableId="106190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5"/>
    <w:rsid w:val="0000196A"/>
    <w:rsid w:val="00002794"/>
    <w:rsid w:val="00004926"/>
    <w:rsid w:val="00005173"/>
    <w:rsid w:val="00007074"/>
    <w:rsid w:val="000120E4"/>
    <w:rsid w:val="000158E2"/>
    <w:rsid w:val="000210D4"/>
    <w:rsid w:val="00024E51"/>
    <w:rsid w:val="00026A4B"/>
    <w:rsid w:val="00036EEF"/>
    <w:rsid w:val="000428CB"/>
    <w:rsid w:val="00051C69"/>
    <w:rsid w:val="00063016"/>
    <w:rsid w:val="00066795"/>
    <w:rsid w:val="00076AF6"/>
    <w:rsid w:val="000830D8"/>
    <w:rsid w:val="00085CF2"/>
    <w:rsid w:val="0009422A"/>
    <w:rsid w:val="000B1705"/>
    <w:rsid w:val="000B6E70"/>
    <w:rsid w:val="000C2F48"/>
    <w:rsid w:val="000C5FE0"/>
    <w:rsid w:val="000D2131"/>
    <w:rsid w:val="000D6E7D"/>
    <w:rsid w:val="000D75B2"/>
    <w:rsid w:val="000E65E8"/>
    <w:rsid w:val="0010568A"/>
    <w:rsid w:val="00106ECC"/>
    <w:rsid w:val="00110DE9"/>
    <w:rsid w:val="001121F5"/>
    <w:rsid w:val="00120342"/>
    <w:rsid w:val="00124E87"/>
    <w:rsid w:val="00125D80"/>
    <w:rsid w:val="00130599"/>
    <w:rsid w:val="001312F8"/>
    <w:rsid w:val="001400DC"/>
    <w:rsid w:val="00140CE1"/>
    <w:rsid w:val="00142498"/>
    <w:rsid w:val="00144A09"/>
    <w:rsid w:val="00145E55"/>
    <w:rsid w:val="00147C54"/>
    <w:rsid w:val="0015650A"/>
    <w:rsid w:val="00161181"/>
    <w:rsid w:val="00166C63"/>
    <w:rsid w:val="0017539C"/>
    <w:rsid w:val="00175AC2"/>
    <w:rsid w:val="0017609F"/>
    <w:rsid w:val="0017636D"/>
    <w:rsid w:val="0018024B"/>
    <w:rsid w:val="001900E6"/>
    <w:rsid w:val="00190CAB"/>
    <w:rsid w:val="00192DB2"/>
    <w:rsid w:val="0019308F"/>
    <w:rsid w:val="001A1B0E"/>
    <w:rsid w:val="001A6089"/>
    <w:rsid w:val="001A7D1D"/>
    <w:rsid w:val="001B0AE9"/>
    <w:rsid w:val="001B51DD"/>
    <w:rsid w:val="001B63CB"/>
    <w:rsid w:val="001C303B"/>
    <w:rsid w:val="001C628E"/>
    <w:rsid w:val="001C6D40"/>
    <w:rsid w:val="001D2B53"/>
    <w:rsid w:val="001D42F4"/>
    <w:rsid w:val="001D4356"/>
    <w:rsid w:val="001E0F7B"/>
    <w:rsid w:val="001E0FBE"/>
    <w:rsid w:val="001E3194"/>
    <w:rsid w:val="001E5FE7"/>
    <w:rsid w:val="001F021D"/>
    <w:rsid w:val="002119FD"/>
    <w:rsid w:val="002130E0"/>
    <w:rsid w:val="002141C1"/>
    <w:rsid w:val="00221614"/>
    <w:rsid w:val="00222601"/>
    <w:rsid w:val="002248B0"/>
    <w:rsid w:val="002266A7"/>
    <w:rsid w:val="002402B2"/>
    <w:rsid w:val="00244F7F"/>
    <w:rsid w:val="0025570E"/>
    <w:rsid w:val="00256AA2"/>
    <w:rsid w:val="0026287F"/>
    <w:rsid w:val="00264425"/>
    <w:rsid w:val="00265875"/>
    <w:rsid w:val="00266CCA"/>
    <w:rsid w:val="0027303B"/>
    <w:rsid w:val="00276634"/>
    <w:rsid w:val="00280557"/>
    <w:rsid w:val="0028109B"/>
    <w:rsid w:val="0028683A"/>
    <w:rsid w:val="00290564"/>
    <w:rsid w:val="0029184E"/>
    <w:rsid w:val="002936D5"/>
    <w:rsid w:val="002A2188"/>
    <w:rsid w:val="002B1F58"/>
    <w:rsid w:val="002C1C7A"/>
    <w:rsid w:val="002C3411"/>
    <w:rsid w:val="002C54E2"/>
    <w:rsid w:val="002C6543"/>
    <w:rsid w:val="002C6893"/>
    <w:rsid w:val="002C6AA7"/>
    <w:rsid w:val="002D1D15"/>
    <w:rsid w:val="002D496E"/>
    <w:rsid w:val="002D5944"/>
    <w:rsid w:val="002E0AC3"/>
    <w:rsid w:val="002E0F5D"/>
    <w:rsid w:val="002F29B0"/>
    <w:rsid w:val="002F5EAC"/>
    <w:rsid w:val="0030160F"/>
    <w:rsid w:val="00304039"/>
    <w:rsid w:val="00306898"/>
    <w:rsid w:val="003073AD"/>
    <w:rsid w:val="003145DF"/>
    <w:rsid w:val="00317C33"/>
    <w:rsid w:val="00320223"/>
    <w:rsid w:val="00322D0D"/>
    <w:rsid w:val="0032562D"/>
    <w:rsid w:val="0033085D"/>
    <w:rsid w:val="0033555E"/>
    <w:rsid w:val="0033703C"/>
    <w:rsid w:val="003377C0"/>
    <w:rsid w:val="00345360"/>
    <w:rsid w:val="00345BDD"/>
    <w:rsid w:val="0035240A"/>
    <w:rsid w:val="00355172"/>
    <w:rsid w:val="00357AC1"/>
    <w:rsid w:val="00361465"/>
    <w:rsid w:val="003652D5"/>
    <w:rsid w:val="00385495"/>
    <w:rsid w:val="003877F5"/>
    <w:rsid w:val="00391630"/>
    <w:rsid w:val="003942D4"/>
    <w:rsid w:val="0039514F"/>
    <w:rsid w:val="003958A8"/>
    <w:rsid w:val="003B29C2"/>
    <w:rsid w:val="003C20CA"/>
    <w:rsid w:val="003C2533"/>
    <w:rsid w:val="003D5A7F"/>
    <w:rsid w:val="003D635C"/>
    <w:rsid w:val="003E4CB8"/>
    <w:rsid w:val="003E63D7"/>
    <w:rsid w:val="004016E2"/>
    <w:rsid w:val="00402142"/>
    <w:rsid w:val="0040435A"/>
    <w:rsid w:val="00414412"/>
    <w:rsid w:val="00414782"/>
    <w:rsid w:val="00416A24"/>
    <w:rsid w:val="0042059E"/>
    <w:rsid w:val="004225D4"/>
    <w:rsid w:val="00431D9E"/>
    <w:rsid w:val="00433CE8"/>
    <w:rsid w:val="00434A5C"/>
    <w:rsid w:val="0044395E"/>
    <w:rsid w:val="00444FBA"/>
    <w:rsid w:val="00445092"/>
    <w:rsid w:val="004544D9"/>
    <w:rsid w:val="00457A03"/>
    <w:rsid w:val="00472BAD"/>
    <w:rsid w:val="00474094"/>
    <w:rsid w:val="00483DF3"/>
    <w:rsid w:val="00484009"/>
    <w:rsid w:val="00490E72"/>
    <w:rsid w:val="00491157"/>
    <w:rsid w:val="00491615"/>
    <w:rsid w:val="004921C8"/>
    <w:rsid w:val="00492703"/>
    <w:rsid w:val="00495B0B"/>
    <w:rsid w:val="004A0631"/>
    <w:rsid w:val="004A1B8B"/>
    <w:rsid w:val="004B195C"/>
    <w:rsid w:val="004D1851"/>
    <w:rsid w:val="004D1D4F"/>
    <w:rsid w:val="004D599D"/>
    <w:rsid w:val="004E2EA5"/>
    <w:rsid w:val="004E338E"/>
    <w:rsid w:val="004E3AEB"/>
    <w:rsid w:val="004E49AF"/>
    <w:rsid w:val="00500F2C"/>
    <w:rsid w:val="0050223C"/>
    <w:rsid w:val="00502A04"/>
    <w:rsid w:val="005167B6"/>
    <w:rsid w:val="00521F50"/>
    <w:rsid w:val="0052376A"/>
    <w:rsid w:val="005243FF"/>
    <w:rsid w:val="00530393"/>
    <w:rsid w:val="005311D6"/>
    <w:rsid w:val="005348C9"/>
    <w:rsid w:val="005362A7"/>
    <w:rsid w:val="00536422"/>
    <w:rsid w:val="005604DD"/>
    <w:rsid w:val="00562FCD"/>
    <w:rsid w:val="00563008"/>
    <w:rsid w:val="00564FBC"/>
    <w:rsid w:val="005800BC"/>
    <w:rsid w:val="00582442"/>
    <w:rsid w:val="005831F3"/>
    <w:rsid w:val="00583B03"/>
    <w:rsid w:val="00583BA8"/>
    <w:rsid w:val="005870B4"/>
    <w:rsid w:val="0058742A"/>
    <w:rsid w:val="00591129"/>
    <w:rsid w:val="00594959"/>
    <w:rsid w:val="005A2806"/>
    <w:rsid w:val="005A335D"/>
    <w:rsid w:val="005A3DBA"/>
    <w:rsid w:val="005B3A5C"/>
    <w:rsid w:val="005B5A89"/>
    <w:rsid w:val="005B6BC6"/>
    <w:rsid w:val="005C09DE"/>
    <w:rsid w:val="005C13D4"/>
    <w:rsid w:val="005C3235"/>
    <w:rsid w:val="005D7353"/>
    <w:rsid w:val="005E2BD5"/>
    <w:rsid w:val="005F3269"/>
    <w:rsid w:val="00605365"/>
    <w:rsid w:val="00611508"/>
    <w:rsid w:val="00615142"/>
    <w:rsid w:val="00622A08"/>
    <w:rsid w:val="00623121"/>
    <w:rsid w:val="00623AE3"/>
    <w:rsid w:val="00626E0A"/>
    <w:rsid w:val="00645714"/>
    <w:rsid w:val="0064737F"/>
    <w:rsid w:val="0064788C"/>
    <w:rsid w:val="006535F1"/>
    <w:rsid w:val="0065557D"/>
    <w:rsid w:val="00657299"/>
    <w:rsid w:val="00660D50"/>
    <w:rsid w:val="00662984"/>
    <w:rsid w:val="006716BB"/>
    <w:rsid w:val="0067312C"/>
    <w:rsid w:val="00673FFD"/>
    <w:rsid w:val="00680230"/>
    <w:rsid w:val="00686425"/>
    <w:rsid w:val="00691B06"/>
    <w:rsid w:val="00692B49"/>
    <w:rsid w:val="00694827"/>
    <w:rsid w:val="00694C80"/>
    <w:rsid w:val="006A215F"/>
    <w:rsid w:val="006A6A1A"/>
    <w:rsid w:val="006B1859"/>
    <w:rsid w:val="006B6680"/>
    <w:rsid w:val="006B6DCC"/>
    <w:rsid w:val="006C0559"/>
    <w:rsid w:val="006D1CA5"/>
    <w:rsid w:val="006D7037"/>
    <w:rsid w:val="006E0027"/>
    <w:rsid w:val="00701C70"/>
    <w:rsid w:val="00702DEF"/>
    <w:rsid w:val="00706861"/>
    <w:rsid w:val="00715CA9"/>
    <w:rsid w:val="0073013C"/>
    <w:rsid w:val="00737A2E"/>
    <w:rsid w:val="00737EE2"/>
    <w:rsid w:val="007466B4"/>
    <w:rsid w:val="007502AA"/>
    <w:rsid w:val="0075051B"/>
    <w:rsid w:val="0075546E"/>
    <w:rsid w:val="007647FC"/>
    <w:rsid w:val="00765856"/>
    <w:rsid w:val="00766638"/>
    <w:rsid w:val="00771574"/>
    <w:rsid w:val="00773F91"/>
    <w:rsid w:val="00775655"/>
    <w:rsid w:val="00775828"/>
    <w:rsid w:val="007768B2"/>
    <w:rsid w:val="00785052"/>
    <w:rsid w:val="007925A8"/>
    <w:rsid w:val="00793188"/>
    <w:rsid w:val="00794D34"/>
    <w:rsid w:val="007A1B53"/>
    <w:rsid w:val="007A493F"/>
    <w:rsid w:val="007A5F46"/>
    <w:rsid w:val="007B277E"/>
    <w:rsid w:val="007B3CA0"/>
    <w:rsid w:val="007B42F2"/>
    <w:rsid w:val="007B619D"/>
    <w:rsid w:val="007B6517"/>
    <w:rsid w:val="007C1344"/>
    <w:rsid w:val="007D3EE0"/>
    <w:rsid w:val="007D4CBB"/>
    <w:rsid w:val="007E0141"/>
    <w:rsid w:val="007E3696"/>
    <w:rsid w:val="007E4196"/>
    <w:rsid w:val="007E4D9C"/>
    <w:rsid w:val="007E50BD"/>
    <w:rsid w:val="007F694E"/>
    <w:rsid w:val="008038F6"/>
    <w:rsid w:val="00806E3C"/>
    <w:rsid w:val="00812E6F"/>
    <w:rsid w:val="00813E5E"/>
    <w:rsid w:val="00816C2C"/>
    <w:rsid w:val="0082119C"/>
    <w:rsid w:val="008252A4"/>
    <w:rsid w:val="00827193"/>
    <w:rsid w:val="008357B3"/>
    <w:rsid w:val="0083581B"/>
    <w:rsid w:val="00837F35"/>
    <w:rsid w:val="00842F84"/>
    <w:rsid w:val="008570D1"/>
    <w:rsid w:val="00860EED"/>
    <w:rsid w:val="00863874"/>
    <w:rsid w:val="00864AFF"/>
    <w:rsid w:val="00865925"/>
    <w:rsid w:val="008836B0"/>
    <w:rsid w:val="0088714B"/>
    <w:rsid w:val="008908B0"/>
    <w:rsid w:val="00891503"/>
    <w:rsid w:val="00897F89"/>
    <w:rsid w:val="008A4A5D"/>
    <w:rsid w:val="008A6D22"/>
    <w:rsid w:val="008A7724"/>
    <w:rsid w:val="008B4A6A"/>
    <w:rsid w:val="008C57DD"/>
    <w:rsid w:val="008C7E27"/>
    <w:rsid w:val="008E18FD"/>
    <w:rsid w:val="008E775D"/>
    <w:rsid w:val="008F1A23"/>
    <w:rsid w:val="008F3822"/>
    <w:rsid w:val="008F3BF2"/>
    <w:rsid w:val="008F3EBF"/>
    <w:rsid w:val="008F7448"/>
    <w:rsid w:val="008F7E46"/>
    <w:rsid w:val="0090147A"/>
    <w:rsid w:val="0090389B"/>
    <w:rsid w:val="009050A1"/>
    <w:rsid w:val="009173EF"/>
    <w:rsid w:val="00932906"/>
    <w:rsid w:val="00934021"/>
    <w:rsid w:val="00935A53"/>
    <w:rsid w:val="0093717D"/>
    <w:rsid w:val="00940FF6"/>
    <w:rsid w:val="00941EAC"/>
    <w:rsid w:val="00944D7C"/>
    <w:rsid w:val="00953D20"/>
    <w:rsid w:val="00961860"/>
    <w:rsid w:val="00961B0B"/>
    <w:rsid w:val="00962D33"/>
    <w:rsid w:val="00972BD6"/>
    <w:rsid w:val="00975148"/>
    <w:rsid w:val="00975D2E"/>
    <w:rsid w:val="009844AD"/>
    <w:rsid w:val="0099432C"/>
    <w:rsid w:val="009A3596"/>
    <w:rsid w:val="009A44C7"/>
    <w:rsid w:val="009A6BEC"/>
    <w:rsid w:val="009B38C3"/>
    <w:rsid w:val="009C308A"/>
    <w:rsid w:val="009C41E7"/>
    <w:rsid w:val="009C6616"/>
    <w:rsid w:val="009D5807"/>
    <w:rsid w:val="009E1735"/>
    <w:rsid w:val="009E17BD"/>
    <w:rsid w:val="009E1DEE"/>
    <w:rsid w:val="009E3C68"/>
    <w:rsid w:val="009E485A"/>
    <w:rsid w:val="00A021E8"/>
    <w:rsid w:val="00A04CEC"/>
    <w:rsid w:val="00A07652"/>
    <w:rsid w:val="00A20F12"/>
    <w:rsid w:val="00A27F92"/>
    <w:rsid w:val="00A32257"/>
    <w:rsid w:val="00A36D20"/>
    <w:rsid w:val="00A403F8"/>
    <w:rsid w:val="00A407D0"/>
    <w:rsid w:val="00A46CD0"/>
    <w:rsid w:val="00A46D98"/>
    <w:rsid w:val="00A46FF5"/>
    <w:rsid w:val="00A4795F"/>
    <w:rsid w:val="00A5064A"/>
    <w:rsid w:val="00A514A4"/>
    <w:rsid w:val="00A52C84"/>
    <w:rsid w:val="00A55622"/>
    <w:rsid w:val="00A83502"/>
    <w:rsid w:val="00A93D02"/>
    <w:rsid w:val="00AA0D95"/>
    <w:rsid w:val="00AA4DC8"/>
    <w:rsid w:val="00AA6E73"/>
    <w:rsid w:val="00AA75EB"/>
    <w:rsid w:val="00AB4325"/>
    <w:rsid w:val="00AB753C"/>
    <w:rsid w:val="00AB7FD8"/>
    <w:rsid w:val="00AD15B3"/>
    <w:rsid w:val="00AD3606"/>
    <w:rsid w:val="00AD4A3D"/>
    <w:rsid w:val="00AF1D89"/>
    <w:rsid w:val="00AF3DB3"/>
    <w:rsid w:val="00AF6E49"/>
    <w:rsid w:val="00AF7E46"/>
    <w:rsid w:val="00B00387"/>
    <w:rsid w:val="00B04A67"/>
    <w:rsid w:val="00B0583C"/>
    <w:rsid w:val="00B11142"/>
    <w:rsid w:val="00B14002"/>
    <w:rsid w:val="00B15007"/>
    <w:rsid w:val="00B248BC"/>
    <w:rsid w:val="00B26B43"/>
    <w:rsid w:val="00B3156F"/>
    <w:rsid w:val="00B358B2"/>
    <w:rsid w:val="00B3633A"/>
    <w:rsid w:val="00B37B60"/>
    <w:rsid w:val="00B40A81"/>
    <w:rsid w:val="00B4327F"/>
    <w:rsid w:val="00B44096"/>
    <w:rsid w:val="00B44910"/>
    <w:rsid w:val="00B47B43"/>
    <w:rsid w:val="00B538F4"/>
    <w:rsid w:val="00B67C18"/>
    <w:rsid w:val="00B71F23"/>
    <w:rsid w:val="00B72267"/>
    <w:rsid w:val="00B73DD1"/>
    <w:rsid w:val="00B76EB6"/>
    <w:rsid w:val="00B7737B"/>
    <w:rsid w:val="00B824C8"/>
    <w:rsid w:val="00B849D3"/>
    <w:rsid w:val="00B84B9D"/>
    <w:rsid w:val="00BA0DDB"/>
    <w:rsid w:val="00BA3A51"/>
    <w:rsid w:val="00BA3A68"/>
    <w:rsid w:val="00BA4788"/>
    <w:rsid w:val="00BA5333"/>
    <w:rsid w:val="00BB71CA"/>
    <w:rsid w:val="00BC251A"/>
    <w:rsid w:val="00BC426F"/>
    <w:rsid w:val="00BD032B"/>
    <w:rsid w:val="00BD04C9"/>
    <w:rsid w:val="00BD0614"/>
    <w:rsid w:val="00BD094B"/>
    <w:rsid w:val="00BE2640"/>
    <w:rsid w:val="00BF1B44"/>
    <w:rsid w:val="00C01189"/>
    <w:rsid w:val="00C21B21"/>
    <w:rsid w:val="00C3100A"/>
    <w:rsid w:val="00C33ED2"/>
    <w:rsid w:val="00C374DE"/>
    <w:rsid w:val="00C411D7"/>
    <w:rsid w:val="00C44AD9"/>
    <w:rsid w:val="00C47AD4"/>
    <w:rsid w:val="00C52D81"/>
    <w:rsid w:val="00C55198"/>
    <w:rsid w:val="00C561EF"/>
    <w:rsid w:val="00C56BCD"/>
    <w:rsid w:val="00C56D57"/>
    <w:rsid w:val="00C61BE1"/>
    <w:rsid w:val="00C64E6A"/>
    <w:rsid w:val="00C91BBB"/>
    <w:rsid w:val="00C922C7"/>
    <w:rsid w:val="00CA4B59"/>
    <w:rsid w:val="00CA6393"/>
    <w:rsid w:val="00CB18FF"/>
    <w:rsid w:val="00CB2D56"/>
    <w:rsid w:val="00CB350E"/>
    <w:rsid w:val="00CB7FAF"/>
    <w:rsid w:val="00CC3E2C"/>
    <w:rsid w:val="00CC54A8"/>
    <w:rsid w:val="00CC6E8E"/>
    <w:rsid w:val="00CC7A7B"/>
    <w:rsid w:val="00CD0C08"/>
    <w:rsid w:val="00CD3C91"/>
    <w:rsid w:val="00CE03FB"/>
    <w:rsid w:val="00CE4173"/>
    <w:rsid w:val="00CE433C"/>
    <w:rsid w:val="00CF0161"/>
    <w:rsid w:val="00CF33F3"/>
    <w:rsid w:val="00D00459"/>
    <w:rsid w:val="00D06183"/>
    <w:rsid w:val="00D20729"/>
    <w:rsid w:val="00D22C42"/>
    <w:rsid w:val="00D27135"/>
    <w:rsid w:val="00D33210"/>
    <w:rsid w:val="00D45669"/>
    <w:rsid w:val="00D464CC"/>
    <w:rsid w:val="00D522F6"/>
    <w:rsid w:val="00D5730A"/>
    <w:rsid w:val="00D57BEA"/>
    <w:rsid w:val="00D61248"/>
    <w:rsid w:val="00D6261A"/>
    <w:rsid w:val="00D64269"/>
    <w:rsid w:val="00D65041"/>
    <w:rsid w:val="00D65A1D"/>
    <w:rsid w:val="00D661DF"/>
    <w:rsid w:val="00D769EE"/>
    <w:rsid w:val="00D828F2"/>
    <w:rsid w:val="00D87AD6"/>
    <w:rsid w:val="00DA10DA"/>
    <w:rsid w:val="00DA5273"/>
    <w:rsid w:val="00DB00D5"/>
    <w:rsid w:val="00DB1936"/>
    <w:rsid w:val="00DB384B"/>
    <w:rsid w:val="00DC7B2A"/>
    <w:rsid w:val="00DD5174"/>
    <w:rsid w:val="00DE075C"/>
    <w:rsid w:val="00DE5999"/>
    <w:rsid w:val="00DE6F5C"/>
    <w:rsid w:val="00DF0189"/>
    <w:rsid w:val="00DF4513"/>
    <w:rsid w:val="00E03FA7"/>
    <w:rsid w:val="00E04EF7"/>
    <w:rsid w:val="00E05A68"/>
    <w:rsid w:val="00E06FD5"/>
    <w:rsid w:val="00E10E80"/>
    <w:rsid w:val="00E124F0"/>
    <w:rsid w:val="00E177E5"/>
    <w:rsid w:val="00E227F3"/>
    <w:rsid w:val="00E245D5"/>
    <w:rsid w:val="00E40D51"/>
    <w:rsid w:val="00E465FD"/>
    <w:rsid w:val="00E4728B"/>
    <w:rsid w:val="00E50349"/>
    <w:rsid w:val="00E545C6"/>
    <w:rsid w:val="00E60122"/>
    <w:rsid w:val="00E60F04"/>
    <w:rsid w:val="00E63B2A"/>
    <w:rsid w:val="00E65B24"/>
    <w:rsid w:val="00E73BF6"/>
    <w:rsid w:val="00E76D00"/>
    <w:rsid w:val="00E81639"/>
    <w:rsid w:val="00E837A1"/>
    <w:rsid w:val="00E85115"/>
    <w:rsid w:val="00E854E4"/>
    <w:rsid w:val="00E86DBF"/>
    <w:rsid w:val="00E92820"/>
    <w:rsid w:val="00E94348"/>
    <w:rsid w:val="00EA34A7"/>
    <w:rsid w:val="00EA532D"/>
    <w:rsid w:val="00EA5E62"/>
    <w:rsid w:val="00EB0D6F"/>
    <w:rsid w:val="00EB14C6"/>
    <w:rsid w:val="00EB2232"/>
    <w:rsid w:val="00EC1975"/>
    <w:rsid w:val="00EC5337"/>
    <w:rsid w:val="00ED39E9"/>
    <w:rsid w:val="00EE28D5"/>
    <w:rsid w:val="00EE49E8"/>
    <w:rsid w:val="00EE4BDF"/>
    <w:rsid w:val="00EF44CF"/>
    <w:rsid w:val="00F10D40"/>
    <w:rsid w:val="00F14BBA"/>
    <w:rsid w:val="00F16BAB"/>
    <w:rsid w:val="00F2150A"/>
    <w:rsid w:val="00F231D8"/>
    <w:rsid w:val="00F26347"/>
    <w:rsid w:val="00F346F9"/>
    <w:rsid w:val="00F37C24"/>
    <w:rsid w:val="00F44C00"/>
    <w:rsid w:val="00F457B0"/>
    <w:rsid w:val="00F45D2C"/>
    <w:rsid w:val="00F46C5F"/>
    <w:rsid w:val="00F5550E"/>
    <w:rsid w:val="00F55888"/>
    <w:rsid w:val="00F632C0"/>
    <w:rsid w:val="00F66ACF"/>
    <w:rsid w:val="00F73EF7"/>
    <w:rsid w:val="00F74694"/>
    <w:rsid w:val="00F86596"/>
    <w:rsid w:val="00F93AE9"/>
    <w:rsid w:val="00F93FD4"/>
    <w:rsid w:val="00F94A63"/>
    <w:rsid w:val="00FA1C28"/>
    <w:rsid w:val="00FB1279"/>
    <w:rsid w:val="00FB6B76"/>
    <w:rsid w:val="00FB7596"/>
    <w:rsid w:val="00FC73AD"/>
    <w:rsid w:val="00FE4077"/>
    <w:rsid w:val="00FE4321"/>
    <w:rsid w:val="00FE4439"/>
    <w:rsid w:val="00FE500D"/>
    <w:rsid w:val="00FE77D2"/>
    <w:rsid w:val="00FF3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8BEB"/>
  <w15:docId w15:val="{63D9AD8D-3090-4D88-824F-0695445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6261A"/>
    <w:rPr>
      <w:color w:val="666666"/>
    </w:rPr>
  </w:style>
  <w:style w:type="character" w:customStyle="1" w:styleId="Heading2Char">
    <w:name w:val="Heading 2 Char"/>
    <w:basedOn w:val="DefaultParagraphFont"/>
    <w:link w:val="Heading2"/>
    <w:rsid w:val="00E50349"/>
    <w:rPr>
      <w:rFonts w:ascii="Calibri" w:hAnsi="Calibri"/>
      <w:b/>
      <w:sz w:val="24"/>
      <w:lang w:val="en-GB" w:eastAsia="en-US"/>
    </w:rPr>
  </w:style>
  <w:style w:type="paragraph" w:styleId="Revision">
    <w:name w:val="Revision"/>
    <w:hidden/>
    <w:uiPriority w:val="99"/>
    <w:semiHidden/>
    <w:rsid w:val="00837F35"/>
    <w:rPr>
      <w:rFonts w:ascii="Calibri" w:hAnsi="Calibri"/>
      <w:sz w:val="24"/>
      <w:lang w:val="en-GB" w:eastAsia="en-US"/>
    </w:rPr>
  </w:style>
  <w:style w:type="paragraph" w:styleId="NormalWeb">
    <w:name w:val="Normal (Web)"/>
    <w:basedOn w:val="Normal"/>
    <w:uiPriority w:val="99"/>
    <w:unhideWhenUsed/>
    <w:rsid w:val="00E6012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E60122"/>
    <w:rPr>
      <w:b/>
      <w:bCs/>
    </w:rPr>
  </w:style>
  <w:style w:type="paragraph" w:styleId="ListParagraph">
    <w:name w:val="List Paragraph"/>
    <w:basedOn w:val="Normal"/>
    <w:uiPriority w:val="34"/>
    <w:qFormat/>
    <w:rsid w:val="002D1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16407">
      <w:bodyDiv w:val="1"/>
      <w:marLeft w:val="0"/>
      <w:marRight w:val="0"/>
      <w:marTop w:val="0"/>
      <w:marBottom w:val="0"/>
      <w:divBdr>
        <w:top w:val="none" w:sz="0" w:space="0" w:color="auto"/>
        <w:left w:val="none" w:sz="0" w:space="0" w:color="auto"/>
        <w:bottom w:val="none" w:sz="0" w:space="0" w:color="auto"/>
        <w:right w:val="none" w:sz="0" w:space="0" w:color="auto"/>
      </w:divBdr>
    </w:div>
    <w:div w:id="726681639">
      <w:bodyDiv w:val="1"/>
      <w:marLeft w:val="0"/>
      <w:marRight w:val="0"/>
      <w:marTop w:val="0"/>
      <w:marBottom w:val="0"/>
      <w:divBdr>
        <w:top w:val="none" w:sz="0" w:space="0" w:color="auto"/>
        <w:left w:val="none" w:sz="0" w:space="0" w:color="auto"/>
        <w:bottom w:val="none" w:sz="0" w:space="0" w:color="auto"/>
        <w:right w:val="none" w:sz="0" w:space="0" w:color="auto"/>
      </w:divBdr>
    </w:div>
    <w:div w:id="1159032290">
      <w:bodyDiv w:val="1"/>
      <w:marLeft w:val="0"/>
      <w:marRight w:val="0"/>
      <w:marTop w:val="0"/>
      <w:marBottom w:val="0"/>
      <w:divBdr>
        <w:top w:val="none" w:sz="0" w:space="0" w:color="auto"/>
        <w:left w:val="none" w:sz="0" w:space="0" w:color="auto"/>
        <w:bottom w:val="none" w:sz="0" w:space="0" w:color="auto"/>
        <w:right w:val="none" w:sz="0" w:space="0" w:color="auto"/>
      </w:divBdr>
    </w:div>
    <w:div w:id="1352537632">
      <w:bodyDiv w:val="1"/>
      <w:marLeft w:val="0"/>
      <w:marRight w:val="0"/>
      <w:marTop w:val="0"/>
      <w:marBottom w:val="0"/>
      <w:divBdr>
        <w:top w:val="none" w:sz="0" w:space="0" w:color="auto"/>
        <w:left w:val="none" w:sz="0" w:space="0" w:color="auto"/>
        <w:bottom w:val="none" w:sz="0" w:space="0" w:color="auto"/>
        <w:right w:val="none" w:sz="0" w:space="0" w:color="auto"/>
      </w:divBdr>
    </w:div>
    <w:div w:id="1871726345">
      <w:bodyDiv w:val="1"/>
      <w:marLeft w:val="0"/>
      <w:marRight w:val="0"/>
      <w:marTop w:val="0"/>
      <w:marBottom w:val="0"/>
      <w:divBdr>
        <w:top w:val="none" w:sz="0" w:space="0" w:color="auto"/>
        <w:left w:val="none" w:sz="0" w:space="0" w:color="auto"/>
        <w:bottom w:val="none" w:sz="0" w:space="0" w:color="auto"/>
        <w:right w:val="none" w:sz="0" w:space="0" w:color="auto"/>
      </w:divBdr>
    </w:div>
    <w:div w:id="19194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COP.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cwg-cop/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cs.int/en/our-work/knowledge/library/education/oecs-policy-and-strategic-framework-for-child-online-protection-cop-in-the-oec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1B2A0-0257-46B8-9C4E-A255CC86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93EA-586C-4CBD-ACD4-AFC7B54EAFC0}">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a1cf676c-2816-4389-ad5d-0f2e7c7e67c4"/>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EAD507F-A3F1-4EBD-9877-4507CFBE7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1637</Words>
  <Characters>10319</Characters>
  <Application>Microsoft Office Word</Application>
  <DocSecurity>0</DocSecurity>
  <Lines>168</Lines>
  <Paragraphs>51</Paragraphs>
  <ScaleCrop>false</ScaleCrop>
  <HeadingPairs>
    <vt:vector size="2" baseType="variant">
      <vt:variant>
        <vt:lpstr>Title</vt:lpstr>
      </vt:variant>
      <vt:variant>
        <vt:i4>1</vt:i4>
      </vt:variant>
    </vt:vector>
  </HeadingPairs>
  <TitlesOfParts>
    <vt:vector size="1" baseType="lpstr">
      <vt:lpstr>Update on child online protection initiatives in the Caribbean</vt:lpstr>
    </vt:vector>
  </TitlesOfParts>
  <Manager/>
  <Company/>
  <LinksUpToDate>false</LinksUpToDate>
  <CharactersWithSpaces>11933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child online protection initiatives in the Caribbean</dc:title>
  <dc:subject>ITU Council Working Group on child online protection</dc:subject>
  <cp:keywords>CWG-COP</cp:keywords>
  <dc:description/>
  <dcterms:created xsi:type="dcterms:W3CDTF">2025-02-03T09:21:00Z</dcterms:created>
  <dcterms:modified xsi:type="dcterms:W3CDTF">2025-02-03T09:30:00Z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22bacf6973805b34f46f3010fde306f01445755a89ebee40be5782b972b8c850</vt:lpwstr>
  </property>
</Properties>
</file>