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2695E" w14:paraId="5500E5C5" w14:textId="77777777" w:rsidTr="00AD3606">
        <w:trPr>
          <w:cantSplit/>
          <w:trHeight w:val="23"/>
        </w:trPr>
        <w:tc>
          <w:tcPr>
            <w:tcW w:w="3969" w:type="dxa"/>
            <w:vMerge w:val="restart"/>
            <w:tcMar>
              <w:left w:w="0" w:type="dxa"/>
            </w:tcMar>
          </w:tcPr>
          <w:p w14:paraId="2D802C94" w14:textId="77777777" w:rsidR="00AD3606" w:rsidRPr="0082695E"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3AEF73" w14:textId="29A81301" w:rsidR="00AD3606" w:rsidRPr="0082695E" w:rsidRDefault="00AD3606" w:rsidP="00472BAD">
            <w:pPr>
              <w:tabs>
                <w:tab w:val="left" w:pos="851"/>
              </w:tabs>
              <w:spacing w:before="0" w:line="240" w:lineRule="atLeast"/>
              <w:jc w:val="right"/>
              <w:rPr>
                <w:b/>
              </w:rPr>
            </w:pPr>
            <w:r w:rsidRPr="0082695E">
              <w:rPr>
                <w:b/>
              </w:rPr>
              <w:t>Document C</w:t>
            </w:r>
            <w:r w:rsidR="00A52C84" w:rsidRPr="0082695E">
              <w:rPr>
                <w:b/>
              </w:rPr>
              <w:t>WG-</w:t>
            </w:r>
            <w:r w:rsidR="0025570E" w:rsidRPr="0082695E">
              <w:rPr>
                <w:b/>
              </w:rPr>
              <w:t>COP</w:t>
            </w:r>
            <w:r w:rsidR="00A52C84" w:rsidRPr="0082695E">
              <w:rPr>
                <w:b/>
              </w:rPr>
              <w:t>-</w:t>
            </w:r>
            <w:r w:rsidR="0025570E" w:rsidRPr="0082695E">
              <w:rPr>
                <w:b/>
              </w:rPr>
              <w:t>22</w:t>
            </w:r>
            <w:r w:rsidRPr="0082695E">
              <w:rPr>
                <w:b/>
              </w:rPr>
              <w:t>/</w:t>
            </w:r>
            <w:r w:rsidR="00301AEE" w:rsidRPr="0082695E">
              <w:rPr>
                <w:b/>
              </w:rPr>
              <w:t>INF/</w:t>
            </w:r>
            <w:r w:rsidR="00511E1F" w:rsidRPr="0082695E">
              <w:rPr>
                <w:b/>
              </w:rPr>
              <w:t>9</w:t>
            </w:r>
          </w:p>
        </w:tc>
      </w:tr>
      <w:tr w:rsidR="00AD3606" w:rsidRPr="0082695E" w14:paraId="59D34EFB" w14:textId="77777777" w:rsidTr="00AD3606">
        <w:trPr>
          <w:cantSplit/>
        </w:trPr>
        <w:tc>
          <w:tcPr>
            <w:tcW w:w="3969" w:type="dxa"/>
            <w:vMerge/>
          </w:tcPr>
          <w:p w14:paraId="1E7B8BFD" w14:textId="77777777" w:rsidR="00AD3606" w:rsidRPr="0082695E" w:rsidRDefault="00AD3606" w:rsidP="00AD3606">
            <w:pPr>
              <w:tabs>
                <w:tab w:val="left" w:pos="851"/>
              </w:tabs>
              <w:spacing w:line="240" w:lineRule="atLeast"/>
              <w:rPr>
                <w:b/>
              </w:rPr>
            </w:pPr>
            <w:bookmarkStart w:id="6" w:name="ddate" w:colFirst="1" w:colLast="1"/>
            <w:bookmarkEnd w:id="0"/>
            <w:bookmarkEnd w:id="1"/>
          </w:p>
        </w:tc>
        <w:tc>
          <w:tcPr>
            <w:tcW w:w="5245" w:type="dxa"/>
          </w:tcPr>
          <w:p w14:paraId="04B61F16" w14:textId="559602CF" w:rsidR="00AD3606" w:rsidRPr="0082695E" w:rsidRDefault="00511E1F" w:rsidP="00AD3606">
            <w:pPr>
              <w:tabs>
                <w:tab w:val="left" w:pos="851"/>
              </w:tabs>
              <w:spacing w:before="0"/>
              <w:jc w:val="right"/>
              <w:rPr>
                <w:b/>
              </w:rPr>
            </w:pPr>
            <w:r w:rsidRPr="0082695E">
              <w:rPr>
                <w:b/>
              </w:rPr>
              <w:t>30 January 2025</w:t>
            </w:r>
          </w:p>
        </w:tc>
      </w:tr>
      <w:tr w:rsidR="00AD3606" w:rsidRPr="0082695E" w14:paraId="32EB99CF" w14:textId="77777777" w:rsidTr="00AD3606">
        <w:trPr>
          <w:cantSplit/>
          <w:trHeight w:val="23"/>
        </w:trPr>
        <w:tc>
          <w:tcPr>
            <w:tcW w:w="3969" w:type="dxa"/>
            <w:vMerge/>
          </w:tcPr>
          <w:p w14:paraId="1A89D1AC" w14:textId="77777777" w:rsidR="00AD3606" w:rsidRPr="0082695E" w:rsidRDefault="00AD3606" w:rsidP="00AD3606">
            <w:pPr>
              <w:tabs>
                <w:tab w:val="left" w:pos="851"/>
              </w:tabs>
              <w:spacing w:line="240" w:lineRule="atLeast"/>
              <w:rPr>
                <w:b/>
              </w:rPr>
            </w:pPr>
            <w:bookmarkStart w:id="7" w:name="dorlang" w:colFirst="1" w:colLast="1"/>
            <w:bookmarkEnd w:id="6"/>
          </w:p>
        </w:tc>
        <w:tc>
          <w:tcPr>
            <w:tcW w:w="5245" w:type="dxa"/>
          </w:tcPr>
          <w:p w14:paraId="343D68D6" w14:textId="77777777" w:rsidR="00AD3606" w:rsidRPr="0082695E" w:rsidRDefault="00891503" w:rsidP="00AD3606">
            <w:pPr>
              <w:tabs>
                <w:tab w:val="left" w:pos="851"/>
              </w:tabs>
              <w:spacing w:before="0" w:line="240" w:lineRule="atLeast"/>
              <w:jc w:val="right"/>
              <w:rPr>
                <w:b/>
              </w:rPr>
            </w:pPr>
            <w:r w:rsidRPr="0082695E">
              <w:rPr>
                <w:b/>
              </w:rPr>
              <w:t>English only</w:t>
            </w:r>
          </w:p>
        </w:tc>
      </w:tr>
      <w:tr w:rsidR="00472BAD" w:rsidRPr="0082695E" w14:paraId="0A575FC3" w14:textId="77777777" w:rsidTr="00AD3606">
        <w:trPr>
          <w:cantSplit/>
          <w:trHeight w:val="23"/>
        </w:trPr>
        <w:tc>
          <w:tcPr>
            <w:tcW w:w="3969" w:type="dxa"/>
          </w:tcPr>
          <w:p w14:paraId="1378594B" w14:textId="77777777" w:rsidR="00472BAD" w:rsidRPr="0082695E" w:rsidRDefault="00472BAD" w:rsidP="00AD3606">
            <w:pPr>
              <w:tabs>
                <w:tab w:val="left" w:pos="851"/>
              </w:tabs>
              <w:spacing w:line="240" w:lineRule="atLeast"/>
              <w:rPr>
                <w:b/>
              </w:rPr>
            </w:pPr>
          </w:p>
        </w:tc>
        <w:tc>
          <w:tcPr>
            <w:tcW w:w="5245" w:type="dxa"/>
          </w:tcPr>
          <w:p w14:paraId="0B06437A" w14:textId="77777777" w:rsidR="00472BAD" w:rsidRPr="0082695E" w:rsidRDefault="00472BAD" w:rsidP="00AD3606">
            <w:pPr>
              <w:tabs>
                <w:tab w:val="left" w:pos="851"/>
              </w:tabs>
              <w:spacing w:before="0" w:line="240" w:lineRule="atLeast"/>
              <w:jc w:val="right"/>
              <w:rPr>
                <w:b/>
              </w:rPr>
            </w:pPr>
          </w:p>
        </w:tc>
      </w:tr>
      <w:tr w:rsidR="00AD3606" w:rsidRPr="0082695E" w14:paraId="344EBA22" w14:textId="77777777" w:rsidTr="00AD3606">
        <w:trPr>
          <w:cantSplit/>
        </w:trPr>
        <w:tc>
          <w:tcPr>
            <w:tcW w:w="9214" w:type="dxa"/>
            <w:gridSpan w:val="2"/>
            <w:tcMar>
              <w:left w:w="0" w:type="dxa"/>
            </w:tcMar>
          </w:tcPr>
          <w:p w14:paraId="55017768" w14:textId="4319E104" w:rsidR="00AD3606" w:rsidRPr="0082695E" w:rsidRDefault="00301AEE" w:rsidP="00E4728B">
            <w:pPr>
              <w:pStyle w:val="Source"/>
              <w:framePr w:hSpace="0" w:wrap="auto" w:vAnchor="margin" w:hAnchor="text" w:xAlign="left" w:yAlign="inline"/>
            </w:pPr>
            <w:bookmarkStart w:id="8" w:name="dsource" w:colFirst="0" w:colLast="0"/>
            <w:bookmarkEnd w:id="7"/>
            <w:r w:rsidRPr="0082695E">
              <w:t xml:space="preserve">Contribution by </w:t>
            </w:r>
            <w:r w:rsidR="00511E1F" w:rsidRPr="0082695E">
              <w:t>SWGfL</w:t>
            </w:r>
          </w:p>
        </w:tc>
      </w:tr>
      <w:tr w:rsidR="00AD3606" w:rsidRPr="0082695E" w14:paraId="0E208616" w14:textId="77777777" w:rsidTr="00AD3606">
        <w:trPr>
          <w:cantSplit/>
        </w:trPr>
        <w:tc>
          <w:tcPr>
            <w:tcW w:w="9214" w:type="dxa"/>
            <w:gridSpan w:val="2"/>
            <w:tcMar>
              <w:left w:w="0" w:type="dxa"/>
            </w:tcMar>
          </w:tcPr>
          <w:p w14:paraId="4B476CAA" w14:textId="3D24BEE0" w:rsidR="00AD3606" w:rsidRPr="0082695E" w:rsidRDefault="00F978B5" w:rsidP="00E4728B">
            <w:pPr>
              <w:pStyle w:val="Subtitle"/>
              <w:framePr w:hSpace="0" w:wrap="auto" w:xAlign="left" w:yAlign="inline"/>
            </w:pPr>
            <w:bookmarkStart w:id="9" w:name="dtitle1" w:colFirst="0" w:colLast="0"/>
            <w:bookmarkEnd w:id="8"/>
            <w:r>
              <w:t>IMPACT OF TECHNICAL STANDARDS ON CHILD ONLINE PROTECTION</w:t>
            </w:r>
          </w:p>
        </w:tc>
      </w:tr>
      <w:tr w:rsidR="00AD3606" w:rsidRPr="0082695E" w14:paraId="26C92B66" w14:textId="77777777" w:rsidTr="00AD3606">
        <w:trPr>
          <w:cantSplit/>
        </w:trPr>
        <w:tc>
          <w:tcPr>
            <w:tcW w:w="9214" w:type="dxa"/>
            <w:gridSpan w:val="2"/>
            <w:tcBorders>
              <w:top w:val="single" w:sz="4" w:space="0" w:color="auto"/>
              <w:bottom w:val="single" w:sz="4" w:space="0" w:color="auto"/>
            </w:tcBorders>
            <w:tcMar>
              <w:left w:w="0" w:type="dxa"/>
            </w:tcMar>
          </w:tcPr>
          <w:p w14:paraId="10C4A2AE" w14:textId="77777777" w:rsidR="00AD3606" w:rsidRPr="0082695E" w:rsidRDefault="00F16BAB" w:rsidP="00F16BAB">
            <w:pPr>
              <w:spacing w:before="160"/>
              <w:rPr>
                <w:b/>
                <w:bCs/>
                <w:sz w:val="26"/>
                <w:szCs w:val="26"/>
              </w:rPr>
            </w:pPr>
            <w:r w:rsidRPr="0082695E">
              <w:rPr>
                <w:b/>
                <w:bCs/>
                <w:sz w:val="26"/>
                <w:szCs w:val="26"/>
              </w:rPr>
              <w:t>Purpose</w:t>
            </w:r>
          </w:p>
          <w:p w14:paraId="2C1E6BF6" w14:textId="1C7F4029" w:rsidR="00511E1F" w:rsidRPr="0082695E" w:rsidRDefault="00511E1F" w:rsidP="00511E1F">
            <w:r w:rsidRPr="0082695E">
              <w:t xml:space="preserve">This contribution outlines the activities and progress made over the past 12 months by the Correspondence Group on </w:t>
            </w:r>
            <w:r w:rsidR="00DE197B" w:rsidRPr="0082695E">
              <w:t xml:space="preserve">child online protection </w:t>
            </w:r>
            <w:r w:rsidRPr="0082695E">
              <w:t>(CG-COP), emphasising its direct connection to the outcomes of the 2024 COP Council meeting. It summarises key milestones, including the creation of the Special Correspondence Group, its Terms of Reference (</w:t>
            </w:r>
            <w:proofErr w:type="spellStart"/>
            <w:r w:rsidRPr="0082695E">
              <w:t>ToR</w:t>
            </w:r>
            <w:proofErr w:type="spellEnd"/>
            <w:r w:rsidRPr="0082695E">
              <w:t>), meetings, and the drafting of the Gap Analysis report.</w:t>
            </w:r>
          </w:p>
          <w:p w14:paraId="713EC7D6" w14:textId="77777777" w:rsidR="00AD3606" w:rsidRPr="0082695E" w:rsidRDefault="00AD3606" w:rsidP="00F16BAB">
            <w:pPr>
              <w:spacing w:before="160"/>
              <w:rPr>
                <w:b/>
                <w:bCs/>
                <w:sz w:val="26"/>
                <w:szCs w:val="26"/>
              </w:rPr>
            </w:pPr>
            <w:r w:rsidRPr="0082695E">
              <w:rPr>
                <w:b/>
                <w:bCs/>
                <w:sz w:val="26"/>
                <w:szCs w:val="26"/>
              </w:rPr>
              <w:t>Action required</w:t>
            </w:r>
          </w:p>
          <w:p w14:paraId="108541C0" w14:textId="77777777" w:rsidR="0025570E" w:rsidRPr="0082695E" w:rsidRDefault="00301AEE" w:rsidP="0025570E">
            <w:pPr>
              <w:spacing w:before="160"/>
            </w:pPr>
            <w:r w:rsidRPr="0082695E">
              <w:t xml:space="preserve">This </w:t>
            </w:r>
            <w:r w:rsidR="002F7F69" w:rsidRPr="0082695E">
              <w:t>document</w:t>
            </w:r>
            <w:r w:rsidRPr="0082695E">
              <w:t xml:space="preserve"> is transmitted to the Council Working Group on child online protection </w:t>
            </w:r>
            <w:r w:rsidRPr="0082695E">
              <w:rPr>
                <w:b/>
                <w:bCs/>
              </w:rPr>
              <w:t>for information</w:t>
            </w:r>
            <w:r w:rsidRPr="0082695E">
              <w:t>.</w:t>
            </w:r>
          </w:p>
          <w:p w14:paraId="63381088" w14:textId="77777777" w:rsidR="00AD3606" w:rsidRPr="0082695E" w:rsidRDefault="00CD3C91" w:rsidP="00CD3C91">
            <w:r w:rsidRPr="0082695E">
              <w:t>_______________</w:t>
            </w:r>
          </w:p>
          <w:p w14:paraId="78DF0A91" w14:textId="4C3BB3DC" w:rsidR="00AD3606" w:rsidRPr="0082695E" w:rsidRDefault="00AD3606" w:rsidP="00F16BAB">
            <w:pPr>
              <w:spacing w:before="160"/>
              <w:rPr>
                <w:b/>
                <w:bCs/>
                <w:sz w:val="26"/>
                <w:szCs w:val="26"/>
              </w:rPr>
            </w:pPr>
            <w:r w:rsidRPr="0082695E">
              <w:rPr>
                <w:b/>
                <w:bCs/>
                <w:sz w:val="26"/>
                <w:szCs w:val="26"/>
              </w:rPr>
              <w:t>References</w:t>
            </w:r>
            <w:r w:rsidR="00301AEE" w:rsidRPr="0082695E">
              <w:rPr>
                <w:b/>
                <w:bCs/>
                <w:sz w:val="26"/>
                <w:szCs w:val="26"/>
              </w:rPr>
              <w:t xml:space="preserve"> </w:t>
            </w:r>
          </w:p>
          <w:p w14:paraId="1FA562BA" w14:textId="1EDDF064" w:rsidR="00AD3606" w:rsidRPr="0082695E" w:rsidRDefault="00511E1F" w:rsidP="00F16BAB">
            <w:pPr>
              <w:spacing w:after="160"/>
              <w:rPr>
                <w:i/>
                <w:iCs/>
                <w:sz w:val="22"/>
                <w:szCs w:val="22"/>
              </w:rPr>
            </w:pPr>
            <w:r w:rsidRPr="0082695E">
              <w:rPr>
                <w:i/>
                <w:iCs/>
                <w:sz w:val="22"/>
                <w:szCs w:val="22"/>
              </w:rPr>
              <w:t xml:space="preserve">Terms of </w:t>
            </w:r>
            <w:r w:rsidR="00F33E71" w:rsidRPr="0082695E">
              <w:rPr>
                <w:i/>
                <w:iCs/>
                <w:sz w:val="22"/>
                <w:szCs w:val="22"/>
              </w:rPr>
              <w:t xml:space="preserve">Reference </w:t>
            </w:r>
            <w:r w:rsidRPr="0082695E">
              <w:rPr>
                <w:i/>
                <w:iCs/>
                <w:sz w:val="22"/>
                <w:szCs w:val="22"/>
              </w:rPr>
              <w:t xml:space="preserve">for the </w:t>
            </w:r>
            <w:r w:rsidR="00F33E71" w:rsidRPr="0082695E">
              <w:rPr>
                <w:i/>
                <w:iCs/>
                <w:sz w:val="22"/>
                <w:szCs w:val="22"/>
              </w:rPr>
              <w:t xml:space="preserve">ITU-T </w:t>
            </w:r>
            <w:r w:rsidRPr="0082695E">
              <w:rPr>
                <w:i/>
                <w:iCs/>
                <w:sz w:val="22"/>
                <w:szCs w:val="22"/>
              </w:rPr>
              <w:t>S</w:t>
            </w:r>
            <w:r w:rsidR="00F33E71" w:rsidRPr="0082695E">
              <w:rPr>
                <w:i/>
                <w:iCs/>
                <w:sz w:val="22"/>
                <w:szCs w:val="22"/>
              </w:rPr>
              <w:t xml:space="preserve">tudy </w:t>
            </w:r>
            <w:r w:rsidRPr="0082695E">
              <w:rPr>
                <w:i/>
                <w:iCs/>
                <w:sz w:val="22"/>
                <w:szCs w:val="22"/>
              </w:rPr>
              <w:t>G</w:t>
            </w:r>
            <w:r w:rsidR="00F33E71" w:rsidRPr="0082695E">
              <w:rPr>
                <w:i/>
                <w:iCs/>
                <w:sz w:val="22"/>
                <w:szCs w:val="22"/>
              </w:rPr>
              <w:t xml:space="preserve">roup </w:t>
            </w:r>
            <w:r w:rsidRPr="0082695E">
              <w:rPr>
                <w:i/>
                <w:iCs/>
                <w:sz w:val="22"/>
                <w:szCs w:val="22"/>
              </w:rPr>
              <w:t xml:space="preserve">17 </w:t>
            </w:r>
            <w:hyperlink r:id="rId8" w:history="1">
              <w:r w:rsidRPr="0082695E">
                <w:rPr>
                  <w:rStyle w:val="Hyperlink"/>
                  <w:i/>
                  <w:iCs/>
                  <w:sz w:val="22"/>
                  <w:szCs w:val="22"/>
                </w:rPr>
                <w:t xml:space="preserve">Correspondence Group on </w:t>
              </w:r>
              <w:r w:rsidR="00F33E71" w:rsidRPr="0082695E">
                <w:rPr>
                  <w:rStyle w:val="Hyperlink"/>
                  <w:i/>
                  <w:iCs/>
                  <w:sz w:val="22"/>
                  <w:szCs w:val="22"/>
                </w:rPr>
                <w:t>child online protection</w:t>
              </w:r>
            </w:hyperlink>
            <w:r w:rsidR="00F33E71" w:rsidRPr="0082695E">
              <w:rPr>
                <w:i/>
                <w:iCs/>
                <w:sz w:val="22"/>
                <w:szCs w:val="22"/>
              </w:rPr>
              <w:t xml:space="preserve"> </w:t>
            </w:r>
            <w:r w:rsidRPr="0082695E">
              <w:rPr>
                <w:i/>
                <w:iCs/>
                <w:sz w:val="22"/>
                <w:szCs w:val="22"/>
              </w:rPr>
              <w:t>(CG-COP)</w:t>
            </w:r>
          </w:p>
        </w:tc>
      </w:tr>
    </w:tbl>
    <w:p w14:paraId="0E92B9E1" w14:textId="77777777" w:rsidR="00E227F3" w:rsidRPr="0082695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DF1ADB4" w14:textId="77777777" w:rsidR="0090147A" w:rsidRPr="0082695E"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2695E">
        <w:br w:type="page"/>
      </w:r>
    </w:p>
    <w:bookmarkEnd w:id="5"/>
    <w:bookmarkEnd w:id="10"/>
    <w:p w14:paraId="56BABBFE" w14:textId="1796F817" w:rsidR="00F33E71" w:rsidRPr="0082695E" w:rsidRDefault="00F33E71" w:rsidP="00F33E71">
      <w:pPr>
        <w:pStyle w:val="Headingb"/>
      </w:pPr>
      <w:r w:rsidRPr="0082695E">
        <w:lastRenderedPageBreak/>
        <w:t>1</w:t>
      </w:r>
      <w:r w:rsidRPr="0082695E">
        <w:tab/>
        <w:t>Finalisation of the Gap Analysis Report</w:t>
      </w:r>
    </w:p>
    <w:p w14:paraId="54CADEE2" w14:textId="1FA535EE" w:rsidR="00F33E71" w:rsidRPr="0082695E" w:rsidRDefault="00F33E71" w:rsidP="00F33E71">
      <w:pPr>
        <w:pStyle w:val="enumlev1"/>
        <w:jc w:val="both"/>
      </w:pPr>
      <w:r w:rsidRPr="0082695E">
        <w:t>–</w:t>
      </w:r>
      <w:r w:rsidRPr="0082695E">
        <w:tab/>
        <w:t xml:space="preserve">Finalise the draft Gap Analysis </w:t>
      </w:r>
      <w:r w:rsidR="0082695E" w:rsidRPr="0082695E">
        <w:t xml:space="preserve">Report </w:t>
      </w:r>
      <w:r w:rsidRPr="0082695E">
        <w:t>based on comprehensive feedback from stakeholders.</w:t>
      </w:r>
    </w:p>
    <w:p w14:paraId="05D55541" w14:textId="49A03C3C" w:rsidR="00F33E71" w:rsidRPr="0082695E" w:rsidRDefault="00F33E71" w:rsidP="00F33E71">
      <w:pPr>
        <w:pStyle w:val="enumlev1"/>
        <w:jc w:val="both"/>
      </w:pPr>
      <w:r w:rsidRPr="0082695E">
        <w:t>–</w:t>
      </w:r>
      <w:r w:rsidRPr="0082695E">
        <w:tab/>
        <w:t xml:space="preserve">Present the finalised report to the Council Working Group on </w:t>
      </w:r>
      <w:r w:rsidR="00DE197B" w:rsidRPr="0082695E">
        <w:t xml:space="preserve">child online protection (CWG-COP) </w:t>
      </w:r>
      <w:r w:rsidRPr="0082695E">
        <w:t>for review and endorsement.</w:t>
      </w:r>
    </w:p>
    <w:p w14:paraId="64344739" w14:textId="4AE158FA" w:rsidR="00F33E71" w:rsidRPr="0082695E" w:rsidRDefault="00F33E71" w:rsidP="00F33E71">
      <w:pPr>
        <w:pStyle w:val="Headingb"/>
      </w:pPr>
      <w:r w:rsidRPr="0082695E">
        <w:t>2</w:t>
      </w:r>
      <w:r w:rsidRPr="0082695E">
        <w:tab/>
        <w:t>Support for standards development</w:t>
      </w:r>
    </w:p>
    <w:p w14:paraId="449D40C8" w14:textId="6B23EFD4" w:rsidR="00F33E71" w:rsidRPr="0082695E" w:rsidRDefault="00F33E71" w:rsidP="00F33E71">
      <w:pPr>
        <w:pStyle w:val="enumlev1"/>
        <w:jc w:val="both"/>
      </w:pPr>
      <w:r w:rsidRPr="0082695E">
        <w:t>–</w:t>
      </w:r>
      <w:r w:rsidRPr="0082695E">
        <w:tab/>
        <w:t>Encourage collaboration with international standardisation bodies (ISO, IEEE, ETSI) to advance the development of age assurance and automated content moderation standards.</w:t>
      </w:r>
    </w:p>
    <w:p w14:paraId="5FCB01C9" w14:textId="02AF5B65" w:rsidR="00F33E71" w:rsidRPr="0082695E" w:rsidRDefault="00F33E71" w:rsidP="00F33E71">
      <w:pPr>
        <w:pStyle w:val="enumlev1"/>
        <w:jc w:val="both"/>
      </w:pPr>
      <w:r w:rsidRPr="0082695E">
        <w:t>–</w:t>
      </w:r>
      <w:r w:rsidRPr="0082695E">
        <w:tab/>
        <w:t>Promote the prioritisation of privacy-conscious technologies to address emerging threats like end-to-end encryption.</w:t>
      </w:r>
    </w:p>
    <w:p w14:paraId="0A1060A7" w14:textId="602C5B21" w:rsidR="00F33E71" w:rsidRPr="0082695E" w:rsidRDefault="00F33E71" w:rsidP="00F33E71">
      <w:pPr>
        <w:pStyle w:val="Headingb"/>
      </w:pPr>
      <w:r w:rsidRPr="0082695E">
        <w:t>3</w:t>
      </w:r>
      <w:r w:rsidRPr="0082695E">
        <w:tab/>
        <w:t>Enhanced stakeholder engagement</w:t>
      </w:r>
    </w:p>
    <w:p w14:paraId="315897F9" w14:textId="038F2A0E" w:rsidR="00F33E71" w:rsidRPr="0082695E" w:rsidRDefault="00F33E71" w:rsidP="0082695E">
      <w:pPr>
        <w:pStyle w:val="enumlev1"/>
        <w:jc w:val="both"/>
      </w:pPr>
      <w:r w:rsidRPr="0082695E">
        <w:t>–</w:t>
      </w:r>
      <w:r w:rsidRPr="0082695E">
        <w:tab/>
        <w:t>Leverage ITU’s platform to consolidate fragmented global initiatives in child online protection.</w:t>
      </w:r>
    </w:p>
    <w:p w14:paraId="2ECAF2DD" w14:textId="568E9425" w:rsidR="00F33E71" w:rsidRPr="0082695E" w:rsidRDefault="00F33E71" w:rsidP="0082695E">
      <w:pPr>
        <w:pStyle w:val="enumlev1"/>
        <w:jc w:val="both"/>
      </w:pPr>
      <w:r w:rsidRPr="0082695E">
        <w:t>–</w:t>
      </w:r>
      <w:r w:rsidRPr="0082695E">
        <w:tab/>
        <w:t>Convene workshops and forums to address technical and policy challenges collaboratively.</w:t>
      </w:r>
    </w:p>
    <w:p w14:paraId="3AD3E619" w14:textId="3489D59D" w:rsidR="00F33E71" w:rsidRPr="0082695E" w:rsidRDefault="00F33E71" w:rsidP="00F33E71">
      <w:pPr>
        <w:pStyle w:val="Headingb"/>
      </w:pPr>
      <w:r w:rsidRPr="0082695E">
        <w:t>4</w:t>
      </w:r>
      <w:r w:rsidRPr="0082695E">
        <w:tab/>
        <w:t>Council commitment</w:t>
      </w:r>
    </w:p>
    <w:p w14:paraId="6E2F1071" w14:textId="567B2C58" w:rsidR="00F33E71" w:rsidRPr="0082695E" w:rsidRDefault="00F33E71" w:rsidP="0082695E">
      <w:pPr>
        <w:pStyle w:val="enumlev1"/>
        <w:jc w:val="both"/>
      </w:pPr>
      <w:r w:rsidRPr="0082695E">
        <w:t>–</w:t>
      </w:r>
      <w:r w:rsidRPr="0082695E">
        <w:tab/>
        <w:t>Provide ongoing support for the activities of the CG-COP and its recommendations to address gaps in child online protection standards.</w:t>
      </w:r>
    </w:p>
    <w:p w14:paraId="4F4DDF01" w14:textId="1AA754C9" w:rsidR="00F33E71" w:rsidRPr="0082695E" w:rsidRDefault="00F33E71" w:rsidP="00F33E71">
      <w:pPr>
        <w:pStyle w:val="Heading1"/>
      </w:pPr>
      <w:r w:rsidRPr="0082695E">
        <w:t>Background and sequence of events</w:t>
      </w:r>
    </w:p>
    <w:p w14:paraId="7970F75C" w14:textId="67CD2D86" w:rsidR="00F33E71" w:rsidRPr="0082695E" w:rsidRDefault="00F33E71" w:rsidP="00F33E71">
      <w:pPr>
        <w:pStyle w:val="Headingb"/>
      </w:pPr>
      <w:r w:rsidRPr="0082695E">
        <w:t>1</w:t>
      </w:r>
      <w:r w:rsidRPr="0082695E">
        <w:tab/>
        <w:t xml:space="preserve">2024 COP Council </w:t>
      </w:r>
      <w:r w:rsidR="00DE197B" w:rsidRPr="0082695E">
        <w:t>meeting outcomes</w:t>
      </w:r>
    </w:p>
    <w:p w14:paraId="7DCE87FE" w14:textId="7B1B91C3" w:rsidR="00F33E71" w:rsidRPr="0082695E" w:rsidRDefault="00F33E71" w:rsidP="00F33E71">
      <w:pPr>
        <w:pStyle w:val="enumlev1"/>
      </w:pPr>
      <w:r w:rsidRPr="0082695E">
        <w:t>–</w:t>
      </w:r>
      <w:r w:rsidRPr="0082695E">
        <w:tab/>
        <w:t>During the 2024 COP Council meeting, the growing need for comprehensive global standards to protect children online was a major focus. The Council acknowledged gaps in current standards and the increasing risks faced by children in digital environments.</w:t>
      </w:r>
    </w:p>
    <w:p w14:paraId="774419F9" w14:textId="189B90DB" w:rsidR="00F33E71" w:rsidRPr="0082695E" w:rsidRDefault="00F33E71" w:rsidP="0082695E">
      <w:pPr>
        <w:pStyle w:val="enumlev1"/>
        <w:jc w:val="both"/>
      </w:pPr>
      <w:r w:rsidRPr="0082695E">
        <w:t>–</w:t>
      </w:r>
      <w:r w:rsidRPr="0082695E">
        <w:tab/>
        <w:t xml:space="preserve">A resolution was adopted to establish the Special Correspondence Group on </w:t>
      </w:r>
      <w:r w:rsidR="0082695E" w:rsidRPr="0082695E">
        <w:t xml:space="preserve">child online protection </w:t>
      </w:r>
      <w:r w:rsidRPr="0082695E">
        <w:t xml:space="preserve">(CG-COP) under ITU-T Study Group </w:t>
      </w:r>
      <w:r w:rsidR="0082695E">
        <w:t xml:space="preserve">(SG) </w:t>
      </w:r>
      <w:r w:rsidRPr="0082695E">
        <w:t>17, with a mandate to address these gaps and propose actionable solutions.</w:t>
      </w:r>
    </w:p>
    <w:p w14:paraId="0AA56BA8" w14:textId="77777777" w:rsidR="00F33E71" w:rsidRPr="0082695E" w:rsidRDefault="00F33E71" w:rsidP="00F33E71">
      <w:pPr>
        <w:pStyle w:val="Headingb"/>
      </w:pPr>
      <w:r w:rsidRPr="0082695E">
        <w:t>2.</w:t>
      </w:r>
      <w:r w:rsidRPr="0082695E">
        <w:tab/>
        <w:t>Establishment of the CG-COP</w:t>
      </w:r>
    </w:p>
    <w:p w14:paraId="071FCBCD" w14:textId="467D4109" w:rsidR="00F33E71" w:rsidRPr="0082695E" w:rsidRDefault="00F33E71" w:rsidP="0082695E">
      <w:pPr>
        <w:pStyle w:val="enumlev1"/>
        <w:jc w:val="both"/>
      </w:pPr>
      <w:r w:rsidRPr="0082695E">
        <w:t>–</w:t>
      </w:r>
      <w:r w:rsidRPr="0082695E">
        <w:tab/>
        <w:t>In early 2024, the Terms of Reference (</w:t>
      </w:r>
      <w:proofErr w:type="spellStart"/>
      <w:r w:rsidRPr="0082695E">
        <w:t>ToR</w:t>
      </w:r>
      <w:proofErr w:type="spellEnd"/>
      <w:r w:rsidRPr="0082695E">
        <w:t>) for the CG-COP were finalised, outlining the group’s primary objectives:</w:t>
      </w:r>
    </w:p>
    <w:p w14:paraId="69DA1AB0" w14:textId="6CAACAC6" w:rsidR="00F33E71" w:rsidRPr="0082695E" w:rsidRDefault="00F33E71" w:rsidP="0082695E">
      <w:pPr>
        <w:pStyle w:val="enumlev2"/>
        <w:jc w:val="both"/>
      </w:pPr>
      <w:r w:rsidRPr="0082695E">
        <w:t>•</w:t>
      </w:r>
      <w:r w:rsidRPr="0082695E">
        <w:tab/>
        <w:t>Conduct a detailed analysis of existing standards and identify gaps in child online protection.</w:t>
      </w:r>
    </w:p>
    <w:p w14:paraId="6F3EBA03" w14:textId="72052C75" w:rsidR="00F33E71" w:rsidRPr="0082695E" w:rsidRDefault="00F33E71" w:rsidP="0082695E">
      <w:pPr>
        <w:pStyle w:val="enumlev2"/>
        <w:jc w:val="both"/>
      </w:pPr>
      <w:r w:rsidRPr="0082695E">
        <w:t>•</w:t>
      </w:r>
      <w:r w:rsidRPr="0082695E">
        <w:tab/>
        <w:t>Collaborate with stakeholders, including governments, industry leaders, and NGOs, to align efforts and propose solutions.</w:t>
      </w:r>
    </w:p>
    <w:p w14:paraId="5472EA64" w14:textId="105629A1" w:rsidR="00F33E71" w:rsidRPr="0082695E" w:rsidRDefault="00F33E71" w:rsidP="0082695E">
      <w:pPr>
        <w:pStyle w:val="enumlev2"/>
        <w:jc w:val="both"/>
      </w:pPr>
      <w:r w:rsidRPr="0082695E">
        <w:t>•</w:t>
      </w:r>
      <w:r w:rsidRPr="0082695E">
        <w:tab/>
        <w:t>Develop reports and recommendations to guide ITU-T SG17’s work.</w:t>
      </w:r>
    </w:p>
    <w:p w14:paraId="5796EE58" w14:textId="076B4533" w:rsidR="00F33E71" w:rsidRPr="0082695E" w:rsidRDefault="00F33E71" w:rsidP="0082695E">
      <w:pPr>
        <w:pStyle w:val="enumlev1"/>
        <w:jc w:val="both"/>
      </w:pPr>
      <w:r w:rsidRPr="0082695E">
        <w:t>–</w:t>
      </w:r>
      <w:r w:rsidRPr="0082695E">
        <w:tab/>
        <w:t xml:space="preserve">The </w:t>
      </w:r>
      <w:proofErr w:type="spellStart"/>
      <w:r w:rsidRPr="0082695E">
        <w:t>ToR</w:t>
      </w:r>
      <w:proofErr w:type="spellEnd"/>
      <w:r w:rsidRPr="0082695E">
        <w:t xml:space="preserve"> included commitments to submit regular reports to SG17 and engage with external bodies via Liaison Statements.</w:t>
      </w:r>
    </w:p>
    <w:p w14:paraId="54429503" w14:textId="79235431" w:rsidR="00F33E71" w:rsidRPr="0082695E" w:rsidRDefault="00F33E71" w:rsidP="00DE197B">
      <w:pPr>
        <w:pStyle w:val="Headingb"/>
      </w:pPr>
      <w:r w:rsidRPr="0082695E">
        <w:lastRenderedPageBreak/>
        <w:t>3</w:t>
      </w:r>
      <w:r w:rsidRPr="0082695E">
        <w:tab/>
        <w:t xml:space="preserve">Correspondence Group </w:t>
      </w:r>
      <w:r w:rsidR="0082695E" w:rsidRPr="0082695E">
        <w:t>meetings</w:t>
      </w:r>
    </w:p>
    <w:p w14:paraId="195B7546" w14:textId="59F006CC" w:rsidR="00F33E71" w:rsidRPr="0082695E" w:rsidRDefault="00DE197B" w:rsidP="0082695E">
      <w:pPr>
        <w:pStyle w:val="enumlev1"/>
        <w:jc w:val="both"/>
      </w:pPr>
      <w:r w:rsidRPr="0082695E">
        <w:t>–</w:t>
      </w:r>
      <w:r w:rsidRPr="0082695E">
        <w:tab/>
      </w:r>
      <w:r w:rsidR="00F33E71" w:rsidRPr="0082695E">
        <w:t>The CG-COP held three key meetings in 2024:</w:t>
      </w:r>
    </w:p>
    <w:p w14:paraId="64AEC875" w14:textId="32CF1F85" w:rsidR="00F33E71" w:rsidRPr="0082695E" w:rsidRDefault="00DE197B" w:rsidP="0082695E">
      <w:pPr>
        <w:pStyle w:val="enumlev2"/>
        <w:jc w:val="both"/>
      </w:pPr>
      <w:r w:rsidRPr="0082695E">
        <w:rPr>
          <w:b/>
          <w:bCs/>
        </w:rPr>
        <w:t>•</w:t>
      </w:r>
      <w:r w:rsidRPr="0082695E">
        <w:rPr>
          <w:b/>
          <w:bCs/>
        </w:rPr>
        <w:tab/>
      </w:r>
      <w:r w:rsidR="00F33E71" w:rsidRPr="0082695E">
        <w:rPr>
          <w:b/>
          <w:bCs/>
        </w:rPr>
        <w:t xml:space="preserve">First </w:t>
      </w:r>
      <w:r w:rsidR="0082695E" w:rsidRPr="0082695E">
        <w:rPr>
          <w:b/>
          <w:bCs/>
        </w:rPr>
        <w:t xml:space="preserve">meeting </w:t>
      </w:r>
      <w:r w:rsidR="00F33E71" w:rsidRPr="0082695E">
        <w:rPr>
          <w:b/>
          <w:bCs/>
        </w:rPr>
        <w:t>(March 2024)</w:t>
      </w:r>
      <w:r w:rsidR="00F33E71" w:rsidRPr="0082695E">
        <w:t xml:space="preserve">: Reviewed the </w:t>
      </w:r>
      <w:proofErr w:type="spellStart"/>
      <w:r w:rsidR="00F33E71" w:rsidRPr="0082695E">
        <w:t>ToR</w:t>
      </w:r>
      <w:proofErr w:type="spellEnd"/>
      <w:r w:rsidR="00F33E71" w:rsidRPr="0082695E">
        <w:t>, established objectives, and set the work plan.</w:t>
      </w:r>
    </w:p>
    <w:p w14:paraId="204D1C07" w14:textId="54ED18A2" w:rsidR="00F33E71" w:rsidRPr="0082695E" w:rsidRDefault="00DE197B" w:rsidP="0082695E">
      <w:pPr>
        <w:pStyle w:val="enumlev2"/>
        <w:jc w:val="both"/>
      </w:pPr>
      <w:r w:rsidRPr="0082695E">
        <w:rPr>
          <w:b/>
          <w:bCs/>
        </w:rPr>
        <w:t>•</w:t>
      </w:r>
      <w:r w:rsidRPr="0082695E">
        <w:rPr>
          <w:b/>
          <w:bCs/>
        </w:rPr>
        <w:tab/>
      </w:r>
      <w:r w:rsidR="00F33E71" w:rsidRPr="0082695E">
        <w:rPr>
          <w:b/>
          <w:bCs/>
        </w:rPr>
        <w:t xml:space="preserve">Second </w:t>
      </w:r>
      <w:r w:rsidR="0082695E" w:rsidRPr="0082695E">
        <w:rPr>
          <w:b/>
          <w:bCs/>
        </w:rPr>
        <w:t xml:space="preserve">meeting </w:t>
      </w:r>
      <w:r w:rsidR="00F33E71" w:rsidRPr="0082695E">
        <w:rPr>
          <w:b/>
          <w:bCs/>
        </w:rPr>
        <w:t>(April 2024)</w:t>
      </w:r>
      <w:r w:rsidR="00F33E71" w:rsidRPr="0082695E">
        <w:t>: Explored contributions from stakeholders on emerging challenges, including age assurance and content moderation.</w:t>
      </w:r>
    </w:p>
    <w:p w14:paraId="4939051F" w14:textId="23DCF2F8" w:rsidR="00F33E71" w:rsidRPr="0082695E" w:rsidRDefault="00DE197B" w:rsidP="0082695E">
      <w:pPr>
        <w:pStyle w:val="enumlev2"/>
        <w:jc w:val="both"/>
      </w:pPr>
      <w:r w:rsidRPr="0082695E">
        <w:rPr>
          <w:b/>
          <w:bCs/>
        </w:rPr>
        <w:t>•</w:t>
      </w:r>
      <w:r w:rsidRPr="0082695E">
        <w:rPr>
          <w:b/>
          <w:bCs/>
        </w:rPr>
        <w:tab/>
      </w:r>
      <w:r w:rsidR="00F33E71" w:rsidRPr="0082695E">
        <w:rPr>
          <w:b/>
          <w:bCs/>
        </w:rPr>
        <w:t xml:space="preserve">Third </w:t>
      </w:r>
      <w:r w:rsidR="0082695E" w:rsidRPr="0082695E">
        <w:rPr>
          <w:b/>
          <w:bCs/>
        </w:rPr>
        <w:t xml:space="preserve">meeting </w:t>
      </w:r>
      <w:r w:rsidR="00F33E71" w:rsidRPr="0082695E">
        <w:rPr>
          <w:b/>
          <w:bCs/>
        </w:rPr>
        <w:t>(June 2024)</w:t>
      </w:r>
      <w:r w:rsidR="00F33E71" w:rsidRPr="0082695E">
        <w:t>: Reviewed the draft Gap Analysis report, incorporating feedback and aligning with the "4 C's" framework (content, contact, conduct, and contractual risks).</w:t>
      </w:r>
    </w:p>
    <w:p w14:paraId="2B86422A" w14:textId="112C4BB5" w:rsidR="00F33E71" w:rsidRPr="0082695E" w:rsidRDefault="00F33E71" w:rsidP="00DE197B">
      <w:pPr>
        <w:pStyle w:val="Headingb"/>
      </w:pPr>
      <w:r w:rsidRPr="0082695E">
        <w:t>4</w:t>
      </w:r>
      <w:r w:rsidRPr="0082695E">
        <w:tab/>
        <w:t>Drafting of the Gap Analysis Report</w:t>
      </w:r>
    </w:p>
    <w:p w14:paraId="58A51F2C" w14:textId="38F574EB" w:rsidR="00F33E71" w:rsidRPr="0082695E" w:rsidRDefault="00DE197B" w:rsidP="0082695E">
      <w:pPr>
        <w:pStyle w:val="enumlev1"/>
        <w:jc w:val="both"/>
      </w:pPr>
      <w:r w:rsidRPr="0082695E">
        <w:t>–</w:t>
      </w:r>
      <w:r w:rsidRPr="0082695E">
        <w:tab/>
      </w:r>
      <w:r w:rsidR="00F33E71" w:rsidRPr="0082695E">
        <w:t xml:space="preserve">The Gap Analysis </w:t>
      </w:r>
      <w:r w:rsidR="0082695E" w:rsidRPr="0082695E">
        <w:t xml:space="preserve">Report </w:t>
      </w:r>
      <w:r w:rsidR="00F33E71" w:rsidRPr="0082695E">
        <w:t>(CG-COP-C2) is the primary deliverable of the group, identifying critical gaps in existing standards:</w:t>
      </w:r>
    </w:p>
    <w:p w14:paraId="51A9B3A0" w14:textId="556F5536" w:rsidR="00F33E71" w:rsidRPr="0082695E" w:rsidRDefault="00DE197B" w:rsidP="0082695E">
      <w:pPr>
        <w:pStyle w:val="enumlev2"/>
        <w:jc w:val="both"/>
      </w:pPr>
      <w:r w:rsidRPr="0082695E">
        <w:rPr>
          <w:b/>
          <w:bCs/>
        </w:rPr>
        <w:t>•</w:t>
      </w:r>
      <w:r w:rsidRPr="0082695E">
        <w:rPr>
          <w:b/>
          <w:bCs/>
        </w:rPr>
        <w:tab/>
      </w:r>
      <w:r w:rsidR="00F33E71" w:rsidRPr="0082695E">
        <w:rPr>
          <w:b/>
          <w:bCs/>
        </w:rPr>
        <w:t xml:space="preserve">Age </w:t>
      </w:r>
      <w:r w:rsidR="0082695E" w:rsidRPr="0082695E">
        <w:rPr>
          <w:b/>
          <w:bCs/>
        </w:rPr>
        <w:t>assurance systems</w:t>
      </w:r>
      <w:r w:rsidR="00F33E71" w:rsidRPr="0082695E">
        <w:t>: Highlighted the absence of comprehensive standards for age verification, estimation, and inference.</w:t>
      </w:r>
    </w:p>
    <w:p w14:paraId="765CD664" w14:textId="01A32125" w:rsidR="00F33E71" w:rsidRPr="0082695E" w:rsidRDefault="00DE197B" w:rsidP="0082695E">
      <w:pPr>
        <w:pStyle w:val="enumlev2"/>
        <w:jc w:val="both"/>
      </w:pPr>
      <w:r w:rsidRPr="0082695E">
        <w:rPr>
          <w:b/>
          <w:bCs/>
        </w:rPr>
        <w:t>•</w:t>
      </w:r>
      <w:r w:rsidRPr="0082695E">
        <w:rPr>
          <w:b/>
          <w:bCs/>
        </w:rPr>
        <w:tab/>
      </w:r>
      <w:r w:rsidR="00F33E71" w:rsidRPr="0082695E">
        <w:rPr>
          <w:b/>
          <w:bCs/>
        </w:rPr>
        <w:t xml:space="preserve">Automated </w:t>
      </w:r>
      <w:r w:rsidR="0082695E" w:rsidRPr="0082695E">
        <w:rPr>
          <w:b/>
          <w:bCs/>
        </w:rPr>
        <w:t>content moderation</w:t>
      </w:r>
      <w:r w:rsidR="00F33E71" w:rsidRPr="0082695E">
        <w:t>: Emphasised the need for unified standards to detect harmful content while preserving user privacy, particularly in encrypted environments.</w:t>
      </w:r>
    </w:p>
    <w:p w14:paraId="6299AF4A" w14:textId="502A1FC1" w:rsidR="00F33E71" w:rsidRPr="0082695E" w:rsidRDefault="00DE197B" w:rsidP="0082695E">
      <w:pPr>
        <w:pStyle w:val="enumlev2"/>
        <w:jc w:val="both"/>
      </w:pPr>
      <w:r w:rsidRPr="0082695E">
        <w:rPr>
          <w:b/>
          <w:bCs/>
        </w:rPr>
        <w:t>•</w:t>
      </w:r>
      <w:r w:rsidRPr="0082695E">
        <w:rPr>
          <w:b/>
          <w:bCs/>
        </w:rPr>
        <w:tab/>
      </w:r>
      <w:r w:rsidR="00F33E71" w:rsidRPr="0082695E">
        <w:rPr>
          <w:b/>
          <w:bCs/>
        </w:rPr>
        <w:t xml:space="preserve">Emerging </w:t>
      </w:r>
      <w:r w:rsidR="0082695E" w:rsidRPr="0082695E">
        <w:rPr>
          <w:b/>
          <w:bCs/>
        </w:rPr>
        <w:t>technologies</w:t>
      </w:r>
      <w:r w:rsidR="00F33E71" w:rsidRPr="0082695E">
        <w:t>: Addressed challenges posed by end-to-end encryption (E2EE) and its impact on detecting child sexual abuse material (CSAM).</w:t>
      </w:r>
    </w:p>
    <w:p w14:paraId="3CE6988D" w14:textId="7A092E27" w:rsidR="00F33E71" w:rsidRPr="0082695E" w:rsidRDefault="00DE197B" w:rsidP="0082695E">
      <w:pPr>
        <w:pStyle w:val="enumlev1"/>
        <w:jc w:val="both"/>
      </w:pPr>
      <w:r w:rsidRPr="0082695E">
        <w:t>–</w:t>
      </w:r>
      <w:r w:rsidRPr="0082695E">
        <w:tab/>
      </w:r>
      <w:r w:rsidR="00F33E71" w:rsidRPr="0082695E">
        <w:t>The report recommends collaboration with international standardisation bodies (ISO, IEEE, ETSI) and prioritising adaptable, privacy-conscious solutions.</w:t>
      </w:r>
    </w:p>
    <w:p w14:paraId="7A8F8BBB" w14:textId="4D48034E" w:rsidR="00F33E71" w:rsidRPr="0082695E" w:rsidRDefault="00F33E71" w:rsidP="00DE197B">
      <w:pPr>
        <w:pStyle w:val="Heading1"/>
      </w:pPr>
      <w:r w:rsidRPr="0082695E">
        <w:t xml:space="preserve">Summary of </w:t>
      </w:r>
      <w:r w:rsidR="00DE197B" w:rsidRPr="0082695E">
        <w:t>key activities</w:t>
      </w:r>
    </w:p>
    <w:p w14:paraId="6FF06EA8" w14:textId="2356C18F" w:rsidR="00F33E71" w:rsidRPr="0082695E" w:rsidRDefault="00F33E71" w:rsidP="00DE197B">
      <w:pPr>
        <w:pStyle w:val="Headingb"/>
      </w:pPr>
      <w:r w:rsidRPr="0082695E">
        <w:t>1</w:t>
      </w:r>
      <w:r w:rsidRPr="0082695E">
        <w:tab/>
        <w:t xml:space="preserve">Global </w:t>
      </w:r>
      <w:r w:rsidR="0082695E" w:rsidRPr="0082695E">
        <w:t>collaboration and stakeholder engagement</w:t>
      </w:r>
    </w:p>
    <w:p w14:paraId="75D20842" w14:textId="23D04B0F" w:rsidR="00F33E71" w:rsidRPr="0082695E" w:rsidRDefault="00DE197B" w:rsidP="0082695E">
      <w:pPr>
        <w:pStyle w:val="enumlev1"/>
        <w:jc w:val="both"/>
      </w:pPr>
      <w:r w:rsidRPr="0082695E">
        <w:t>–</w:t>
      </w:r>
      <w:r w:rsidRPr="0082695E">
        <w:tab/>
      </w:r>
      <w:r w:rsidR="00F33E71" w:rsidRPr="0082695E">
        <w:t>Fostered collaboration among diverse stakeholders to address pressing challenges, such as balancing privacy with child safety.</w:t>
      </w:r>
    </w:p>
    <w:p w14:paraId="1593B51B" w14:textId="04BBA885" w:rsidR="00F33E71" w:rsidRPr="0082695E" w:rsidRDefault="00DE197B" w:rsidP="0082695E">
      <w:pPr>
        <w:pStyle w:val="enumlev1"/>
        <w:jc w:val="both"/>
      </w:pPr>
      <w:r w:rsidRPr="0082695E">
        <w:t>–</w:t>
      </w:r>
      <w:r w:rsidRPr="0082695E">
        <w:tab/>
      </w:r>
      <w:r w:rsidR="00F33E71" w:rsidRPr="0082695E">
        <w:t>Participation in events like the Global Age Assurance Standards Summit strengthened partnerships and aligned efforts globally.</w:t>
      </w:r>
    </w:p>
    <w:p w14:paraId="5E977A4A" w14:textId="2102F8DF" w:rsidR="00F33E71" w:rsidRPr="0082695E" w:rsidRDefault="00F33E71" w:rsidP="00DE197B">
      <w:pPr>
        <w:pStyle w:val="Headingb"/>
      </w:pPr>
      <w:r w:rsidRPr="0082695E">
        <w:t>2</w:t>
      </w:r>
      <w:r w:rsidRPr="0082695E">
        <w:tab/>
        <w:t xml:space="preserve">Advancing </w:t>
      </w:r>
      <w:r w:rsidR="0082695E" w:rsidRPr="0082695E">
        <w:t>technical solutions</w:t>
      </w:r>
    </w:p>
    <w:p w14:paraId="743B4C89" w14:textId="6955F663" w:rsidR="00F33E71" w:rsidRPr="0082695E" w:rsidRDefault="00DE197B" w:rsidP="0082695E">
      <w:pPr>
        <w:pStyle w:val="enumlev1"/>
        <w:jc w:val="both"/>
      </w:pPr>
      <w:r w:rsidRPr="0082695E">
        <w:t>–</w:t>
      </w:r>
      <w:r w:rsidRPr="0082695E">
        <w:tab/>
      </w:r>
      <w:r w:rsidR="00F33E71" w:rsidRPr="0082695E">
        <w:t>Proposed the development of unified hash-matching standards to enhance automated content moderation capabilities.</w:t>
      </w:r>
    </w:p>
    <w:p w14:paraId="21F413F0" w14:textId="4B0D476C" w:rsidR="00F33E71" w:rsidRPr="0082695E" w:rsidRDefault="00DE197B" w:rsidP="0082695E">
      <w:pPr>
        <w:pStyle w:val="enumlev1"/>
        <w:jc w:val="both"/>
      </w:pPr>
      <w:r w:rsidRPr="0082695E">
        <w:t>–</w:t>
      </w:r>
      <w:r w:rsidRPr="0082695E">
        <w:tab/>
      </w:r>
      <w:r w:rsidR="00F33E71" w:rsidRPr="0082695E">
        <w:t>Advocated for privacy-conscious moderation technologies to address E2EE-related challenges.</w:t>
      </w:r>
    </w:p>
    <w:p w14:paraId="2BADB4E2" w14:textId="46CAE7E5" w:rsidR="00F33E71" w:rsidRPr="0082695E" w:rsidRDefault="00F33E71" w:rsidP="00DE197B">
      <w:pPr>
        <w:pStyle w:val="Headingb"/>
      </w:pPr>
      <w:r w:rsidRPr="0082695E">
        <w:t>3</w:t>
      </w:r>
      <w:r w:rsidRPr="0082695E">
        <w:tab/>
        <w:t xml:space="preserve">Promoting </w:t>
      </w:r>
      <w:r w:rsidR="0082695E" w:rsidRPr="0082695E">
        <w:t>standards for child online protection</w:t>
      </w:r>
    </w:p>
    <w:p w14:paraId="4200FBA6" w14:textId="7856883C" w:rsidR="00F33E71" w:rsidRPr="0082695E" w:rsidRDefault="00DE197B" w:rsidP="0082695E">
      <w:pPr>
        <w:pStyle w:val="enumlev1"/>
        <w:jc w:val="both"/>
      </w:pPr>
      <w:r w:rsidRPr="0082695E">
        <w:t>–</w:t>
      </w:r>
      <w:r w:rsidRPr="0082695E">
        <w:tab/>
      </w:r>
      <w:r w:rsidR="00F33E71" w:rsidRPr="0082695E">
        <w:t>Raised awareness of the need for consistent global standards to protect children online while safeguarding their rights to privacy and digital engagement.</w:t>
      </w:r>
    </w:p>
    <w:p w14:paraId="5F972338" w14:textId="2852EB90" w:rsidR="00F33E71" w:rsidRPr="0082695E" w:rsidRDefault="00F33E71" w:rsidP="00DE197B">
      <w:pPr>
        <w:pStyle w:val="Heading1"/>
      </w:pPr>
      <w:r w:rsidRPr="0082695E">
        <w:lastRenderedPageBreak/>
        <w:t xml:space="preserve">Recommendations for 2025 and </w:t>
      </w:r>
      <w:r w:rsidR="00DE197B" w:rsidRPr="0082695E">
        <w:t>beyond</w:t>
      </w:r>
    </w:p>
    <w:p w14:paraId="442F07EA" w14:textId="77CFAC7E" w:rsidR="00F33E71" w:rsidRPr="0082695E" w:rsidRDefault="00F33E71" w:rsidP="00DE197B">
      <w:pPr>
        <w:pStyle w:val="Headingb"/>
      </w:pPr>
      <w:r w:rsidRPr="0082695E">
        <w:t>1</w:t>
      </w:r>
      <w:r w:rsidRPr="0082695E">
        <w:tab/>
        <w:t xml:space="preserve">Finalisation of the </w:t>
      </w:r>
      <w:r w:rsidR="0082695E" w:rsidRPr="0082695E">
        <w:t>gap analysis</w:t>
      </w:r>
    </w:p>
    <w:p w14:paraId="5B4F7D6A" w14:textId="6BD0F7CB" w:rsidR="00F33E71" w:rsidRPr="0082695E" w:rsidRDefault="00DE197B" w:rsidP="0082695E">
      <w:pPr>
        <w:pStyle w:val="enumlev1"/>
        <w:jc w:val="both"/>
      </w:pPr>
      <w:r w:rsidRPr="0082695E">
        <w:t>–</w:t>
      </w:r>
      <w:r w:rsidRPr="0082695E">
        <w:tab/>
      </w:r>
      <w:r w:rsidR="00F33E71" w:rsidRPr="0082695E">
        <w:t xml:space="preserve">Finalise the Gap Analysis </w:t>
      </w:r>
      <w:r w:rsidR="0082695E" w:rsidRPr="0082695E">
        <w:t xml:space="preserve">Report </w:t>
      </w:r>
      <w:r w:rsidR="00F33E71" w:rsidRPr="0082695E">
        <w:t>based on comprehensive stakeholder feedback and present it to the CWG</w:t>
      </w:r>
      <w:r w:rsidR="0082695E">
        <w:t>-</w:t>
      </w:r>
      <w:r w:rsidR="00F33E71" w:rsidRPr="0082695E">
        <w:t>COP.</w:t>
      </w:r>
    </w:p>
    <w:p w14:paraId="138B2A72" w14:textId="64A66582" w:rsidR="00F33E71" w:rsidRPr="0082695E" w:rsidRDefault="00F33E71" w:rsidP="00DE197B">
      <w:pPr>
        <w:pStyle w:val="Headingb"/>
      </w:pPr>
      <w:r w:rsidRPr="0082695E">
        <w:t>2</w:t>
      </w:r>
      <w:r w:rsidRPr="0082695E">
        <w:tab/>
        <w:t xml:space="preserve">Advancing </w:t>
      </w:r>
      <w:r w:rsidR="0082695E" w:rsidRPr="0082695E">
        <w:t>standards development</w:t>
      </w:r>
    </w:p>
    <w:p w14:paraId="5CE81035" w14:textId="00ECE0CC" w:rsidR="00F33E71" w:rsidRPr="0082695E" w:rsidRDefault="00DE197B" w:rsidP="0082695E">
      <w:pPr>
        <w:pStyle w:val="enumlev1"/>
        <w:jc w:val="both"/>
      </w:pPr>
      <w:r w:rsidRPr="0082695E">
        <w:t>–</w:t>
      </w:r>
      <w:r w:rsidRPr="0082695E">
        <w:tab/>
      </w:r>
      <w:r w:rsidR="00F33E71" w:rsidRPr="0082695E">
        <w:t>Support the completion of ISO/IEC 27566 and related standards for age assurance systems.</w:t>
      </w:r>
    </w:p>
    <w:p w14:paraId="4DC2B551" w14:textId="1F2237F0" w:rsidR="00F33E71" w:rsidRPr="0082695E" w:rsidRDefault="00DE197B" w:rsidP="0082695E">
      <w:pPr>
        <w:pStyle w:val="enumlev1"/>
        <w:jc w:val="both"/>
      </w:pPr>
      <w:r w:rsidRPr="0082695E">
        <w:t>–</w:t>
      </w:r>
      <w:r w:rsidRPr="0082695E">
        <w:tab/>
      </w:r>
      <w:r w:rsidR="00F33E71" w:rsidRPr="0082695E">
        <w:t>Develop global standards for automated content moderation technologies tailored to COP use cases, ensuring ethical and scalable implementation.</w:t>
      </w:r>
    </w:p>
    <w:p w14:paraId="41B2CC20" w14:textId="78D002B0" w:rsidR="00F33E71" w:rsidRPr="0082695E" w:rsidRDefault="00F33E71" w:rsidP="00DE197B">
      <w:pPr>
        <w:pStyle w:val="Headingb"/>
      </w:pPr>
      <w:r w:rsidRPr="0082695E">
        <w:t>3</w:t>
      </w:r>
      <w:r w:rsidRPr="0082695E">
        <w:tab/>
        <w:t xml:space="preserve">Strengthening </w:t>
      </w:r>
      <w:r w:rsidR="0082695E" w:rsidRPr="0082695E">
        <w:t>stakeholder collaboration</w:t>
      </w:r>
    </w:p>
    <w:p w14:paraId="034DD074" w14:textId="758C09B4" w:rsidR="00F33E71" w:rsidRPr="0082695E" w:rsidRDefault="00DE197B" w:rsidP="0082695E">
      <w:pPr>
        <w:pStyle w:val="enumlev1"/>
        <w:jc w:val="both"/>
      </w:pPr>
      <w:r w:rsidRPr="0082695E">
        <w:t>–</w:t>
      </w:r>
      <w:r w:rsidRPr="0082695E">
        <w:tab/>
      </w:r>
      <w:r w:rsidR="00F33E71" w:rsidRPr="0082695E">
        <w:t>Leverage ITU’s platform to consolidate fragmented initiatives and foster a unified global approach to child online protection.</w:t>
      </w:r>
    </w:p>
    <w:p w14:paraId="5B42AA09" w14:textId="4A31B63E" w:rsidR="00F33E71" w:rsidRPr="0082695E" w:rsidRDefault="00DE197B" w:rsidP="0082695E">
      <w:pPr>
        <w:pStyle w:val="enumlev1"/>
        <w:jc w:val="both"/>
      </w:pPr>
      <w:r w:rsidRPr="0082695E">
        <w:t>–</w:t>
      </w:r>
      <w:r w:rsidRPr="0082695E">
        <w:tab/>
      </w:r>
      <w:r w:rsidR="00F33E71" w:rsidRPr="0082695E">
        <w:t>Convene multi-stakeholder workshops to promote knowledge sharing and address emerging challenges in child safety.</w:t>
      </w:r>
    </w:p>
    <w:p w14:paraId="428ABA7B" w14:textId="77777777" w:rsidR="00F33E71" w:rsidRPr="0082695E" w:rsidRDefault="00F33E71" w:rsidP="00DE197B">
      <w:pPr>
        <w:pStyle w:val="Heading1"/>
      </w:pPr>
      <w:r w:rsidRPr="0082695E">
        <w:t>Conclusion</w:t>
      </w:r>
    </w:p>
    <w:p w14:paraId="5F20DBF2" w14:textId="77777777" w:rsidR="00F33E71" w:rsidRPr="0082695E" w:rsidRDefault="00F33E71" w:rsidP="00AA2E51">
      <w:pPr>
        <w:jc w:val="both"/>
      </w:pPr>
      <w:r w:rsidRPr="0082695E">
        <w:t>The creation of the Special Correspondence Group on Child Online Protection was a direct outcome of the 2024 COP Council meeting, reflecting the Council’s commitment to addressing critical gaps in child online protection. Over the past year, the CG-COP has made significant progress through its meetings, stakeholder engagement, and the drafting of the Gap Analysis report. As the group prepares to finalise its recommendations, the Council is encouraged to review these developments and provide ongoing support to strengthen global efforts in safeguarding children in the digital age.</w:t>
      </w:r>
    </w:p>
    <w:p w14:paraId="36F8CBBA" w14:textId="77777777" w:rsidR="00F33E71" w:rsidRPr="0082695E" w:rsidRDefault="00F33E71" w:rsidP="00F33E71">
      <w:pPr>
        <w:tabs>
          <w:tab w:val="clear" w:pos="567"/>
          <w:tab w:val="clear" w:pos="1134"/>
          <w:tab w:val="clear" w:pos="1701"/>
          <w:tab w:val="clear" w:pos="2268"/>
          <w:tab w:val="clear" w:pos="2835"/>
        </w:tabs>
        <w:overflowPunct/>
        <w:autoSpaceDE/>
        <w:autoSpaceDN/>
        <w:adjustRightInd/>
        <w:spacing w:before="0"/>
        <w:textAlignment w:val="auto"/>
      </w:pPr>
    </w:p>
    <w:p w14:paraId="1303E952" w14:textId="77777777" w:rsidR="00F33E71" w:rsidRPr="0082695E" w:rsidRDefault="00F33E71" w:rsidP="00AA2E51">
      <w:pPr>
        <w:spacing w:before="600"/>
        <w:jc w:val="center"/>
      </w:pPr>
      <w:r w:rsidRPr="0082695E">
        <w:t>______________</w:t>
      </w:r>
    </w:p>
    <w:sectPr w:rsidR="00F33E71" w:rsidRPr="0082695E"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F4AF7" w14:textId="77777777" w:rsidR="00F565DE" w:rsidRDefault="00F565DE">
      <w:r>
        <w:separator/>
      </w:r>
    </w:p>
  </w:endnote>
  <w:endnote w:type="continuationSeparator" w:id="0">
    <w:p w14:paraId="1C03D47A" w14:textId="77777777" w:rsidR="00F565DE" w:rsidRDefault="00F5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38BF1C24" w14:textId="77777777" w:rsidTr="0042469C">
      <w:trPr>
        <w:jc w:val="center"/>
      </w:trPr>
      <w:tc>
        <w:tcPr>
          <w:tcW w:w="1803" w:type="dxa"/>
          <w:vAlign w:val="center"/>
        </w:tcPr>
        <w:p w14:paraId="6F67D525" w14:textId="77777777" w:rsidR="00EE49E8" w:rsidRDefault="00EE49E8" w:rsidP="00EE49E8">
          <w:pPr>
            <w:pStyle w:val="Header"/>
            <w:jc w:val="left"/>
            <w:rPr>
              <w:noProof/>
            </w:rPr>
          </w:pPr>
        </w:p>
      </w:tc>
      <w:tc>
        <w:tcPr>
          <w:tcW w:w="8261" w:type="dxa"/>
        </w:tcPr>
        <w:p w14:paraId="7D68CE4B" w14:textId="23D88D6D" w:rsidR="00EE49E8" w:rsidRPr="00BA3A51" w:rsidRDefault="00EE49E8" w:rsidP="00301AEE">
          <w:pPr>
            <w:pStyle w:val="Header"/>
            <w:tabs>
              <w:tab w:val="left" w:pos="6025"/>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25570E">
            <w:rPr>
              <w:bCs/>
              <w:lang w:val="fr-CH"/>
            </w:rPr>
            <w:t>COP</w:t>
          </w:r>
          <w:r w:rsidR="00A52C84" w:rsidRPr="00BA3A51">
            <w:rPr>
              <w:bCs/>
              <w:lang w:val="fr-CH"/>
            </w:rPr>
            <w:t>-</w:t>
          </w:r>
          <w:r w:rsidR="0025570E">
            <w:rPr>
              <w:bCs/>
              <w:lang w:val="fr-CH"/>
            </w:rPr>
            <w:t>22</w:t>
          </w:r>
          <w:r w:rsidR="00A52C84" w:rsidRPr="00BA3A51">
            <w:rPr>
              <w:bCs/>
              <w:lang w:val="fr-CH"/>
            </w:rPr>
            <w:t>/</w:t>
          </w:r>
          <w:r w:rsidR="00301AEE">
            <w:rPr>
              <w:bCs/>
              <w:lang w:val="fr-CH"/>
            </w:rPr>
            <w:t>INF/</w:t>
          </w:r>
          <w:r w:rsidR="00CA404D">
            <w:rPr>
              <w:bCs/>
              <w:lang w:val="fr-CH"/>
            </w:rPr>
            <w:t>9</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6A76586"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27CFAF49" w14:textId="77777777" w:rsidTr="00A52C84">
      <w:trPr>
        <w:jc w:val="center"/>
      </w:trPr>
      <w:tc>
        <w:tcPr>
          <w:tcW w:w="3107" w:type="dxa"/>
          <w:vAlign w:val="center"/>
        </w:tcPr>
        <w:p w14:paraId="31792F99" w14:textId="77777777" w:rsidR="00EE49E8" w:rsidRPr="00991282" w:rsidRDefault="0025570E" w:rsidP="00EE49E8">
          <w:pPr>
            <w:pStyle w:val="Header"/>
            <w:jc w:val="left"/>
            <w:rPr>
              <w:noProof/>
            </w:rPr>
          </w:pPr>
          <w:hyperlink r:id="rId1" w:history="1">
            <w:r w:rsidRPr="00991282">
              <w:rPr>
                <w:rStyle w:val="Hyperlink"/>
                <w:u w:val="none"/>
              </w:rPr>
              <w:t>https://council.itu.int/working-groups</w:t>
            </w:r>
          </w:hyperlink>
        </w:p>
      </w:tc>
      <w:tc>
        <w:tcPr>
          <w:tcW w:w="6957" w:type="dxa"/>
        </w:tcPr>
        <w:p w14:paraId="1123DC86" w14:textId="7F48BD2F" w:rsidR="00EE49E8" w:rsidRPr="00BA3A51" w:rsidRDefault="00EE49E8" w:rsidP="00F10B59">
          <w:pPr>
            <w:pStyle w:val="Header"/>
            <w:tabs>
              <w:tab w:val="left" w:pos="4724"/>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25570E">
            <w:rPr>
              <w:bCs/>
              <w:lang w:val="fr-CH"/>
            </w:rPr>
            <w:t>COP</w:t>
          </w:r>
          <w:r w:rsidR="00A52C84" w:rsidRPr="00BA3A51">
            <w:rPr>
              <w:bCs/>
              <w:lang w:val="fr-CH"/>
            </w:rPr>
            <w:t>-</w:t>
          </w:r>
          <w:r w:rsidR="0025570E">
            <w:rPr>
              <w:bCs/>
              <w:lang w:val="fr-CH"/>
            </w:rPr>
            <w:t>22</w:t>
          </w:r>
          <w:r w:rsidRPr="00BA3A51">
            <w:rPr>
              <w:bCs/>
              <w:lang w:val="fr-CH"/>
            </w:rPr>
            <w:t>/</w:t>
          </w:r>
          <w:r w:rsidR="00301AEE">
            <w:rPr>
              <w:bCs/>
              <w:lang w:val="fr-CH"/>
            </w:rPr>
            <w:t>INF/</w:t>
          </w:r>
          <w:r w:rsidR="00CA404D">
            <w:rPr>
              <w:bCs/>
              <w:lang w:val="fr-CH"/>
            </w:rPr>
            <w:t>9</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65845C9B"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DB92B" w14:textId="77777777" w:rsidR="00F565DE" w:rsidRDefault="00F565DE">
      <w:r>
        <w:t>____________________</w:t>
      </w:r>
    </w:p>
  </w:footnote>
  <w:footnote w:type="continuationSeparator" w:id="0">
    <w:p w14:paraId="1BFEB729" w14:textId="77777777" w:rsidR="00F565DE" w:rsidRDefault="00F5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B4C5E3A" w14:textId="77777777" w:rsidTr="00F74694">
      <w:trPr>
        <w:trHeight w:val="1304"/>
        <w:jc w:val="center"/>
      </w:trPr>
      <w:tc>
        <w:tcPr>
          <w:tcW w:w="6546" w:type="dxa"/>
        </w:tcPr>
        <w:bookmarkStart w:id="11" w:name="_Hlk133422111"/>
        <w:p w14:paraId="11BE3643" w14:textId="77777777" w:rsidR="00AD3606" w:rsidRPr="009621F8" w:rsidRDefault="00991282"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5C8BCC5E" wp14:editId="7A2C211D">
                    <wp:simplePos x="0" y="0"/>
                    <wp:positionH relativeFrom="column">
                      <wp:posOffset>1427424</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748C8DD8"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72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8BCC5E" id="_x0000_t202" coordsize="21600,21600" o:spt="202" path="m,l,21600r21600,l21600,xe">
                    <v:stroke joinstyle="miter"/>
                    <v:path gradientshapeok="t" o:connecttype="rect"/>
                  </v:shapetype>
                  <v:shape id="Text Box 2" o:spid="_x0000_s1026" type="#_x0000_t202" style="position:absolute;margin-left:112.4pt;margin-top:.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" fillcolor="white [3212]" stroked="f">
                    <v:textbox style="mso-fit-shape-to-text:t" inset="1mm,,2mm">
                      <w:txbxContent>
                        <w:p w14:paraId="748C8DD8"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rPr>
            <w:drawing>
              <wp:inline distT="0" distB="0" distL="0" distR="0" wp14:anchorId="09FF561E" wp14:editId="239764B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9345B97" w14:textId="77777777" w:rsidR="00AD3606" w:rsidRDefault="00AD3606" w:rsidP="00AD3606">
          <w:pPr>
            <w:pStyle w:val="Header"/>
            <w:jc w:val="right"/>
            <w:rPr>
              <w:rFonts w:ascii="Arial" w:hAnsi="Arial" w:cs="Arial"/>
              <w:b/>
              <w:bCs/>
              <w:color w:val="009CD6"/>
              <w:szCs w:val="18"/>
            </w:rPr>
          </w:pPr>
        </w:p>
        <w:p w14:paraId="78AA92FC" w14:textId="77777777" w:rsidR="00AD3606" w:rsidRDefault="00AD3606" w:rsidP="00AD3606">
          <w:pPr>
            <w:pStyle w:val="Header"/>
            <w:jc w:val="right"/>
            <w:rPr>
              <w:rFonts w:ascii="Arial" w:hAnsi="Arial" w:cs="Arial"/>
              <w:b/>
              <w:bCs/>
              <w:color w:val="009CD6"/>
              <w:szCs w:val="18"/>
            </w:rPr>
          </w:pPr>
        </w:p>
        <w:p w14:paraId="42D5B34D"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BC794F6"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1FE78BA" wp14:editId="1A6A214F">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2401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DE"/>
    <w:rsid w:val="000120E4"/>
    <w:rsid w:val="000210D4"/>
    <w:rsid w:val="00063016"/>
    <w:rsid w:val="00066795"/>
    <w:rsid w:val="00076AF6"/>
    <w:rsid w:val="00085CF2"/>
    <w:rsid w:val="000B1705"/>
    <w:rsid w:val="000D0A0C"/>
    <w:rsid w:val="000D75B2"/>
    <w:rsid w:val="000F7B2B"/>
    <w:rsid w:val="001121F5"/>
    <w:rsid w:val="00130599"/>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14EDB"/>
    <w:rsid w:val="0022065C"/>
    <w:rsid w:val="00227101"/>
    <w:rsid w:val="00244F7F"/>
    <w:rsid w:val="0025570E"/>
    <w:rsid w:val="00264425"/>
    <w:rsid w:val="00265875"/>
    <w:rsid w:val="0027303B"/>
    <w:rsid w:val="0028109B"/>
    <w:rsid w:val="002946F2"/>
    <w:rsid w:val="002A2188"/>
    <w:rsid w:val="002B1F58"/>
    <w:rsid w:val="002C1C7A"/>
    <w:rsid w:val="002C54E2"/>
    <w:rsid w:val="002D7DCF"/>
    <w:rsid w:val="002E0AC3"/>
    <w:rsid w:val="002F7F69"/>
    <w:rsid w:val="0030160F"/>
    <w:rsid w:val="00301AEE"/>
    <w:rsid w:val="003145DF"/>
    <w:rsid w:val="00320223"/>
    <w:rsid w:val="00322D0D"/>
    <w:rsid w:val="00352E8D"/>
    <w:rsid w:val="00353535"/>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11E1F"/>
    <w:rsid w:val="005243FF"/>
    <w:rsid w:val="005311D6"/>
    <w:rsid w:val="00536422"/>
    <w:rsid w:val="005614A2"/>
    <w:rsid w:val="00564FBC"/>
    <w:rsid w:val="005800BC"/>
    <w:rsid w:val="00582442"/>
    <w:rsid w:val="005A335D"/>
    <w:rsid w:val="005C13D4"/>
    <w:rsid w:val="005E2BD5"/>
    <w:rsid w:val="005F3269"/>
    <w:rsid w:val="00615961"/>
    <w:rsid w:val="00623AE3"/>
    <w:rsid w:val="0064606B"/>
    <w:rsid w:val="0064737F"/>
    <w:rsid w:val="006535F1"/>
    <w:rsid w:val="0065557D"/>
    <w:rsid w:val="00660D50"/>
    <w:rsid w:val="00662984"/>
    <w:rsid w:val="006716BB"/>
    <w:rsid w:val="006B1859"/>
    <w:rsid w:val="006B6680"/>
    <w:rsid w:val="006B6DCC"/>
    <w:rsid w:val="00701C70"/>
    <w:rsid w:val="00702DEF"/>
    <w:rsid w:val="00706861"/>
    <w:rsid w:val="0075051B"/>
    <w:rsid w:val="00775655"/>
    <w:rsid w:val="00793188"/>
    <w:rsid w:val="00794D34"/>
    <w:rsid w:val="00806E3C"/>
    <w:rsid w:val="00813E5E"/>
    <w:rsid w:val="00816C2C"/>
    <w:rsid w:val="0082695E"/>
    <w:rsid w:val="0083581B"/>
    <w:rsid w:val="008432EA"/>
    <w:rsid w:val="00860EED"/>
    <w:rsid w:val="00863874"/>
    <w:rsid w:val="00864AFF"/>
    <w:rsid w:val="00865925"/>
    <w:rsid w:val="0086603E"/>
    <w:rsid w:val="00891503"/>
    <w:rsid w:val="008B4A6A"/>
    <w:rsid w:val="008C7E27"/>
    <w:rsid w:val="008F3822"/>
    <w:rsid w:val="008F7448"/>
    <w:rsid w:val="0090147A"/>
    <w:rsid w:val="0090389B"/>
    <w:rsid w:val="009173EF"/>
    <w:rsid w:val="00932906"/>
    <w:rsid w:val="00961860"/>
    <w:rsid w:val="00961B0B"/>
    <w:rsid w:val="00962D33"/>
    <w:rsid w:val="00991282"/>
    <w:rsid w:val="009B38C3"/>
    <w:rsid w:val="009E17BD"/>
    <w:rsid w:val="009E485A"/>
    <w:rsid w:val="00A04CEC"/>
    <w:rsid w:val="00A27F92"/>
    <w:rsid w:val="00A32257"/>
    <w:rsid w:val="00A36D20"/>
    <w:rsid w:val="00A46CD0"/>
    <w:rsid w:val="00A514A4"/>
    <w:rsid w:val="00A52C84"/>
    <w:rsid w:val="00A55622"/>
    <w:rsid w:val="00A83502"/>
    <w:rsid w:val="00AA2E51"/>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C01189"/>
    <w:rsid w:val="00C374DE"/>
    <w:rsid w:val="00C47AD4"/>
    <w:rsid w:val="00C52D81"/>
    <w:rsid w:val="00C55198"/>
    <w:rsid w:val="00C55D78"/>
    <w:rsid w:val="00C725C6"/>
    <w:rsid w:val="00C922C7"/>
    <w:rsid w:val="00CA404D"/>
    <w:rsid w:val="00CA6393"/>
    <w:rsid w:val="00CB18FF"/>
    <w:rsid w:val="00CD0C08"/>
    <w:rsid w:val="00CD3C91"/>
    <w:rsid w:val="00CE03FB"/>
    <w:rsid w:val="00CE433C"/>
    <w:rsid w:val="00CF0161"/>
    <w:rsid w:val="00CF33F3"/>
    <w:rsid w:val="00D06183"/>
    <w:rsid w:val="00D22C42"/>
    <w:rsid w:val="00D45669"/>
    <w:rsid w:val="00D464CC"/>
    <w:rsid w:val="00D522F6"/>
    <w:rsid w:val="00D65041"/>
    <w:rsid w:val="00DB00D5"/>
    <w:rsid w:val="00DB1936"/>
    <w:rsid w:val="00DB384B"/>
    <w:rsid w:val="00DE197B"/>
    <w:rsid w:val="00DF0189"/>
    <w:rsid w:val="00E06FD5"/>
    <w:rsid w:val="00E10E80"/>
    <w:rsid w:val="00E124F0"/>
    <w:rsid w:val="00E227F3"/>
    <w:rsid w:val="00E4728B"/>
    <w:rsid w:val="00E545C6"/>
    <w:rsid w:val="00E60F04"/>
    <w:rsid w:val="00E65B24"/>
    <w:rsid w:val="00E854E4"/>
    <w:rsid w:val="00E86DBF"/>
    <w:rsid w:val="00E91932"/>
    <w:rsid w:val="00EB0D6F"/>
    <w:rsid w:val="00EB2232"/>
    <w:rsid w:val="00EC5337"/>
    <w:rsid w:val="00EE49E8"/>
    <w:rsid w:val="00F10B59"/>
    <w:rsid w:val="00F16BAB"/>
    <w:rsid w:val="00F2150A"/>
    <w:rsid w:val="00F231D8"/>
    <w:rsid w:val="00F33E71"/>
    <w:rsid w:val="00F44C00"/>
    <w:rsid w:val="00F45D2C"/>
    <w:rsid w:val="00F46C5F"/>
    <w:rsid w:val="00F565DE"/>
    <w:rsid w:val="00F632C0"/>
    <w:rsid w:val="00F74694"/>
    <w:rsid w:val="00F86596"/>
    <w:rsid w:val="00F93FD4"/>
    <w:rsid w:val="00F94A63"/>
    <w:rsid w:val="00F978B5"/>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DA74F"/>
  <w15:docId w15:val="{72DA4284-18DB-4513-8C15-1066A85A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991282"/>
    <w:rPr>
      <w:color w:val="666666"/>
    </w:rPr>
  </w:style>
  <w:style w:type="paragraph" w:customStyle="1" w:styleId="Reasons">
    <w:name w:val="Reasons"/>
    <w:basedOn w:val="Normal"/>
    <w:qFormat/>
    <w:rsid w:val="00F33E71"/>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22-SG17-240902-TD-PLEN-2512/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848</Words>
  <Characters>5506</Characters>
  <Application>Microsoft Office Word</Application>
  <DocSecurity>0</DocSecurity>
  <Lines>125</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technical standards on child online protection</dc:title>
  <dc:subject>ITU Council Working Group on child online protection</dc:subject>
  <cp:keywords>CWG-COP</cp:keywords>
  <dc:description/>
  <dcterms:created xsi:type="dcterms:W3CDTF">2025-01-30T16:51:00Z</dcterms:created>
  <dcterms:modified xsi:type="dcterms:W3CDTF">2025-01-31T06:33:00Z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e344e773ff3cb68dbde7f6bebd144b7b9a2a3327804efa1b1ae5cfc761b8ee78</vt:lpwstr>
  </property>
</Properties>
</file>