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F653B" w14:paraId="5500E5C5" w14:textId="77777777" w:rsidTr="56394A58">
        <w:trPr>
          <w:cantSplit/>
          <w:trHeight w:val="23"/>
        </w:trPr>
        <w:tc>
          <w:tcPr>
            <w:tcW w:w="3969" w:type="dxa"/>
            <w:vMerge w:val="restart"/>
            <w:tcMar>
              <w:left w:w="0" w:type="dxa"/>
            </w:tcMar>
          </w:tcPr>
          <w:p w14:paraId="2D802C94"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3AEF73" w14:textId="3F412006"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Pr="00301AEE">
              <w:rPr>
                <w:b/>
                <w:lang w:val="fr-FR"/>
              </w:rPr>
              <w:t>C</w:t>
            </w:r>
            <w:r w:rsidR="00A52C84" w:rsidRPr="00301AEE">
              <w:rPr>
                <w:b/>
                <w:lang w:val="fr-FR"/>
              </w:rPr>
              <w:t>WG</w:t>
            </w:r>
            <w:proofErr w:type="spellEnd"/>
            <w:r w:rsidR="00A52C84" w:rsidRPr="00301AEE">
              <w:rPr>
                <w:b/>
                <w:lang w:val="fr-FR"/>
              </w:rPr>
              <w:t>-</w:t>
            </w:r>
            <w:proofErr w:type="spellStart"/>
            <w:r w:rsidR="0025570E" w:rsidRPr="00301AEE">
              <w:rPr>
                <w:b/>
                <w:lang w:val="fr-FR"/>
              </w:rPr>
              <w:t>COP</w:t>
            </w:r>
            <w:r w:rsidR="00A52C84" w:rsidRPr="00301AEE">
              <w:rPr>
                <w:b/>
                <w:lang w:val="fr-FR"/>
              </w:rPr>
              <w:t>-</w:t>
            </w:r>
            <w:r w:rsidR="0025570E" w:rsidRPr="00301AEE">
              <w:rPr>
                <w:b/>
                <w:lang w:val="fr-FR"/>
              </w:rPr>
              <w:t>22</w:t>
            </w:r>
            <w:proofErr w:type="spellEnd"/>
            <w:r w:rsidRPr="00301AEE">
              <w:rPr>
                <w:b/>
                <w:lang w:val="fr-FR"/>
              </w:rPr>
              <w:t>/</w:t>
            </w:r>
            <w:proofErr w:type="spellStart"/>
            <w:r w:rsidR="00301AEE" w:rsidRPr="00301AEE">
              <w:rPr>
                <w:b/>
                <w:lang w:val="fr-FR"/>
              </w:rPr>
              <w:t>INF</w:t>
            </w:r>
            <w:proofErr w:type="spellEnd"/>
            <w:r w:rsidR="00301AEE" w:rsidRPr="00301AEE">
              <w:rPr>
                <w:b/>
                <w:lang w:val="fr-FR"/>
              </w:rPr>
              <w:t>/</w:t>
            </w:r>
            <w:r w:rsidR="00EF653B">
              <w:rPr>
                <w:b/>
                <w:lang w:val="fr-FR"/>
              </w:rPr>
              <w:t>1</w:t>
            </w:r>
          </w:p>
        </w:tc>
      </w:tr>
      <w:tr w:rsidR="00AD3606" w:rsidRPr="00147C54" w14:paraId="59D34EFB" w14:textId="77777777" w:rsidTr="56394A58">
        <w:trPr>
          <w:cantSplit/>
        </w:trPr>
        <w:tc>
          <w:tcPr>
            <w:tcW w:w="3969" w:type="dxa"/>
            <w:vMerge/>
          </w:tcPr>
          <w:p w14:paraId="1E7B8BFD"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4B61F16" w14:textId="5D1BFC8B" w:rsidR="00AD3606" w:rsidRPr="00147C54" w:rsidRDefault="006B06B0" w:rsidP="00AD3606">
            <w:pPr>
              <w:tabs>
                <w:tab w:val="left" w:pos="851"/>
              </w:tabs>
              <w:spacing w:before="0"/>
              <w:jc w:val="right"/>
              <w:rPr>
                <w:b/>
              </w:rPr>
            </w:pPr>
            <w:r>
              <w:rPr>
                <w:b/>
              </w:rPr>
              <w:t xml:space="preserve">10 </w:t>
            </w:r>
            <w:r w:rsidR="00C6576F">
              <w:rPr>
                <w:b/>
              </w:rPr>
              <w:t>January 2025</w:t>
            </w:r>
          </w:p>
        </w:tc>
      </w:tr>
      <w:tr w:rsidR="00AD3606" w:rsidRPr="00147C54" w14:paraId="32EB99CF" w14:textId="77777777" w:rsidTr="56394A58">
        <w:trPr>
          <w:cantSplit/>
          <w:trHeight w:val="23"/>
        </w:trPr>
        <w:tc>
          <w:tcPr>
            <w:tcW w:w="3969" w:type="dxa"/>
            <w:vMerge/>
          </w:tcPr>
          <w:p w14:paraId="1A89D1AC"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43D68D6"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A575FC3" w14:textId="77777777" w:rsidTr="56394A58">
        <w:trPr>
          <w:cantSplit/>
          <w:trHeight w:val="23"/>
        </w:trPr>
        <w:tc>
          <w:tcPr>
            <w:tcW w:w="3969" w:type="dxa"/>
          </w:tcPr>
          <w:p w14:paraId="1378594B" w14:textId="77777777" w:rsidR="00472BAD" w:rsidRPr="00147C54" w:rsidRDefault="00472BAD" w:rsidP="00AD3606">
            <w:pPr>
              <w:tabs>
                <w:tab w:val="left" w:pos="851"/>
              </w:tabs>
              <w:spacing w:line="240" w:lineRule="atLeast"/>
              <w:rPr>
                <w:b/>
              </w:rPr>
            </w:pPr>
          </w:p>
        </w:tc>
        <w:tc>
          <w:tcPr>
            <w:tcW w:w="5245" w:type="dxa"/>
          </w:tcPr>
          <w:p w14:paraId="0B06437A" w14:textId="77777777" w:rsidR="00472BAD" w:rsidRPr="00147C54" w:rsidRDefault="00472BAD" w:rsidP="00AD3606">
            <w:pPr>
              <w:tabs>
                <w:tab w:val="left" w:pos="851"/>
              </w:tabs>
              <w:spacing w:before="0" w:line="240" w:lineRule="atLeast"/>
              <w:jc w:val="right"/>
              <w:rPr>
                <w:b/>
              </w:rPr>
            </w:pPr>
          </w:p>
        </w:tc>
      </w:tr>
      <w:tr w:rsidR="00AD3606" w:rsidRPr="00147C54" w14:paraId="344EBA22" w14:textId="77777777" w:rsidTr="56394A58">
        <w:trPr>
          <w:cantSplit/>
        </w:trPr>
        <w:tc>
          <w:tcPr>
            <w:tcW w:w="9214" w:type="dxa"/>
            <w:gridSpan w:val="2"/>
            <w:tcMar>
              <w:left w:w="0" w:type="dxa"/>
            </w:tcMar>
          </w:tcPr>
          <w:p w14:paraId="55017768" w14:textId="2DAB1F10" w:rsidR="00AD3606" w:rsidRPr="00147C54" w:rsidRDefault="00C6576F" w:rsidP="00E4728B">
            <w:pPr>
              <w:pStyle w:val="Source"/>
              <w:framePr w:hSpace="0" w:wrap="auto" w:vAnchor="margin" w:hAnchor="text" w:xAlign="left" w:yAlign="inline"/>
            </w:pPr>
            <w:bookmarkStart w:id="8" w:name="dsource" w:colFirst="0" w:colLast="0"/>
            <w:bookmarkEnd w:id="7"/>
            <w:r>
              <w:t>Note by the Secretary-General</w:t>
            </w:r>
          </w:p>
        </w:tc>
      </w:tr>
      <w:tr w:rsidR="00AD3606" w:rsidRPr="00147C54" w14:paraId="0E208616" w14:textId="77777777" w:rsidTr="56394A58">
        <w:trPr>
          <w:cantSplit/>
        </w:trPr>
        <w:tc>
          <w:tcPr>
            <w:tcW w:w="9214" w:type="dxa"/>
            <w:gridSpan w:val="2"/>
            <w:tcMar>
              <w:left w:w="0" w:type="dxa"/>
            </w:tcMar>
          </w:tcPr>
          <w:p w14:paraId="4B476CAA" w14:textId="22972D2A" w:rsidR="00AD3606" w:rsidRPr="00147C54" w:rsidRDefault="00C6576F" w:rsidP="00C6576F">
            <w:pPr>
              <w:pStyle w:val="Subtitle"/>
              <w:framePr w:hSpace="0" w:wrap="auto" w:xAlign="left" w:yAlign="inline"/>
            </w:pPr>
            <w:bookmarkStart w:id="9" w:name="dtitle1" w:colFirst="0" w:colLast="0"/>
            <w:bookmarkEnd w:id="8"/>
            <w:r>
              <w:t>ITU INDUSTRY CONNECT: QUARTERLY INTERSECTORAL DISCUSSIONS ON CHILD ONLINE PROTECTION</w:t>
            </w:r>
          </w:p>
        </w:tc>
      </w:tr>
      <w:tr w:rsidR="00AD3606" w:rsidRPr="00147C54" w14:paraId="26C92B66" w14:textId="77777777" w:rsidTr="56394A58">
        <w:trPr>
          <w:cantSplit/>
        </w:trPr>
        <w:tc>
          <w:tcPr>
            <w:tcW w:w="9214" w:type="dxa"/>
            <w:gridSpan w:val="2"/>
            <w:tcBorders>
              <w:top w:val="single" w:sz="4" w:space="0" w:color="auto"/>
              <w:bottom w:val="single" w:sz="4" w:space="0" w:color="auto"/>
            </w:tcBorders>
            <w:tcMar>
              <w:left w:w="0" w:type="dxa"/>
            </w:tcMar>
          </w:tcPr>
          <w:p w14:paraId="10C4A2AE" w14:textId="77777777" w:rsidR="00AD3606" w:rsidRPr="00147C54" w:rsidRDefault="00F16BAB" w:rsidP="00F16BAB">
            <w:pPr>
              <w:spacing w:before="160"/>
              <w:rPr>
                <w:b/>
                <w:bCs/>
                <w:sz w:val="26"/>
                <w:szCs w:val="26"/>
              </w:rPr>
            </w:pPr>
            <w:r w:rsidRPr="00147C54">
              <w:rPr>
                <w:b/>
                <w:bCs/>
                <w:sz w:val="26"/>
                <w:szCs w:val="26"/>
              </w:rPr>
              <w:t>Purpose</w:t>
            </w:r>
          </w:p>
          <w:p w14:paraId="62A1B8E3" w14:textId="1FF2AA37" w:rsidR="00AD3606" w:rsidRPr="00C6576F" w:rsidRDefault="00C6576F" w:rsidP="00F16BAB">
            <w:r w:rsidRPr="56394A58">
              <w:rPr>
                <w:rFonts w:eastAsia="Calibri" w:cs="Arial"/>
              </w:rPr>
              <w:t xml:space="preserve">The objective of this document is to outline the concept and framework for </w:t>
            </w:r>
            <w:r w:rsidRPr="56394A58">
              <w:rPr>
                <w:rFonts w:eastAsia="Calibri" w:cs="Arial"/>
                <w:i/>
                <w:iCs/>
              </w:rPr>
              <w:t>ITU Industry Connect: Quarterly Intersectoral Discussions on Child Online Protection</w:t>
            </w:r>
            <w:r w:rsidRPr="56394A58">
              <w:rPr>
                <w:rFonts w:eastAsia="Calibri" w:cs="Arial"/>
              </w:rPr>
              <w:t>, a series of closed, solution-oriented webinars allow dialogue between industry, Member States and other relevant stakeholders. These sessions aim to foster collaboration and knowledge exchange</w:t>
            </w:r>
            <w:r w:rsidR="316E6753" w:rsidRPr="56394A58">
              <w:rPr>
                <w:rFonts w:eastAsia="Calibri" w:cs="Arial"/>
              </w:rPr>
              <w:t xml:space="preserve"> between</w:t>
            </w:r>
            <w:r w:rsidRPr="56394A58">
              <w:rPr>
                <w:rFonts w:eastAsia="Calibri" w:cs="Arial"/>
              </w:rPr>
              <w:t xml:space="preserve"> sectors to address emerging challenges and opportunities in Child Online Protection (COP). By leveraging ITU's role as a neutral convener, the initiative seeks to promote cross-sectoral dialogue, share best practices, and drive actionable strategies to create a safer, more empowering online environment for children.</w:t>
            </w:r>
          </w:p>
          <w:p w14:paraId="713EC7D6" w14:textId="77777777" w:rsidR="00AD3606" w:rsidRPr="00147C54" w:rsidRDefault="00AD3606" w:rsidP="00F16BAB">
            <w:pPr>
              <w:spacing w:before="160"/>
              <w:rPr>
                <w:b/>
                <w:bCs/>
                <w:sz w:val="26"/>
                <w:szCs w:val="26"/>
              </w:rPr>
            </w:pPr>
            <w:r w:rsidRPr="00147C54">
              <w:rPr>
                <w:b/>
                <w:bCs/>
                <w:sz w:val="26"/>
                <w:szCs w:val="26"/>
              </w:rPr>
              <w:t>Action required</w:t>
            </w:r>
          </w:p>
          <w:p w14:paraId="108541C0" w14:textId="77777777" w:rsidR="0025570E" w:rsidRPr="004405AB" w:rsidRDefault="00301AEE" w:rsidP="0025570E">
            <w:pPr>
              <w:spacing w:before="160"/>
            </w:pPr>
            <w:r w:rsidRPr="00854BE3">
              <w:t xml:space="preserve">This </w:t>
            </w:r>
            <w:r w:rsidR="002F7F69">
              <w:t>document</w:t>
            </w:r>
            <w:r w:rsidRPr="00854BE3">
              <w:t xml:space="preserve"> is transmitted to the Council Working Group on child online protection </w:t>
            </w:r>
            <w:r w:rsidRPr="00854BE3">
              <w:rPr>
                <w:b/>
                <w:bCs/>
              </w:rPr>
              <w:t>for information</w:t>
            </w:r>
            <w:r w:rsidRPr="00854BE3">
              <w:t>.</w:t>
            </w:r>
          </w:p>
          <w:p w14:paraId="1FA562BA" w14:textId="20F8B27D" w:rsidR="00AD3606" w:rsidRPr="00CD3C91" w:rsidRDefault="00AD3606" w:rsidP="00C6576F">
            <w:pPr>
              <w:spacing w:before="0"/>
              <w:rPr>
                <w:i/>
                <w:iCs/>
                <w:sz w:val="22"/>
                <w:szCs w:val="22"/>
              </w:rPr>
            </w:pPr>
          </w:p>
        </w:tc>
      </w:tr>
    </w:tbl>
    <w:p w14:paraId="0E92B9E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DF1ADB4"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78F323B5" w14:textId="48D7DD55" w:rsidR="00C6576F" w:rsidRPr="00C6576F" w:rsidRDefault="00C6576F" w:rsidP="006B06B0">
      <w:pPr>
        <w:tabs>
          <w:tab w:val="clear" w:pos="567"/>
          <w:tab w:val="clear" w:pos="1134"/>
          <w:tab w:val="clear" w:pos="1701"/>
          <w:tab w:val="clear" w:pos="2268"/>
          <w:tab w:val="clear" w:pos="2835"/>
        </w:tabs>
        <w:overflowPunct/>
        <w:autoSpaceDE/>
        <w:autoSpaceDN/>
        <w:adjustRightInd/>
        <w:spacing w:before="291" w:after="160" w:line="259" w:lineRule="auto"/>
        <w:jc w:val="center"/>
        <w:textAlignment w:val="auto"/>
        <w:rPr>
          <w:rFonts w:eastAsia="Calibri" w:cs="Calibri"/>
          <w:b/>
          <w:bCs/>
          <w:color w:val="0070C0"/>
          <w:sz w:val="32"/>
          <w:szCs w:val="32"/>
          <w:lang w:val="en-US"/>
        </w:rPr>
      </w:pPr>
      <w:r w:rsidRPr="00C6576F">
        <w:rPr>
          <w:rFonts w:eastAsia="Calibri" w:cs="Calibri"/>
          <w:b/>
          <w:bCs/>
          <w:i/>
          <w:iCs/>
          <w:color w:val="0070C0"/>
          <w:sz w:val="32"/>
          <w:szCs w:val="32"/>
        </w:rPr>
        <w:lastRenderedPageBreak/>
        <w:t xml:space="preserve">ITU Industry Connect: </w:t>
      </w:r>
      <w:r w:rsidR="006B06B0">
        <w:rPr>
          <w:rFonts w:eastAsia="Calibri" w:cs="Calibri"/>
          <w:b/>
          <w:bCs/>
          <w:i/>
          <w:iCs/>
          <w:color w:val="0070C0"/>
          <w:sz w:val="32"/>
          <w:szCs w:val="32"/>
        </w:rPr>
        <w:br/>
      </w:r>
      <w:r w:rsidRPr="00C6576F">
        <w:rPr>
          <w:rFonts w:eastAsia="Calibri" w:cs="Calibri"/>
          <w:b/>
          <w:bCs/>
          <w:i/>
          <w:iCs/>
          <w:color w:val="0070C0"/>
          <w:sz w:val="32"/>
          <w:szCs w:val="32"/>
        </w:rPr>
        <w:t>Quarterly intersectoral Discussions on Child Online Protection</w:t>
      </w:r>
    </w:p>
    <w:p w14:paraId="7E51B70A" w14:textId="2B930076" w:rsidR="00C6576F" w:rsidRPr="00C6576F" w:rsidRDefault="00C6576F" w:rsidP="006B06B0">
      <w:pPr>
        <w:tabs>
          <w:tab w:val="clear" w:pos="567"/>
          <w:tab w:val="clear" w:pos="1134"/>
          <w:tab w:val="clear" w:pos="1701"/>
          <w:tab w:val="clear" w:pos="2268"/>
          <w:tab w:val="clear" w:pos="2835"/>
        </w:tabs>
        <w:overflowPunct/>
        <w:autoSpaceDE/>
        <w:autoSpaceDN/>
        <w:adjustRightInd/>
        <w:spacing w:before="291" w:after="160" w:line="259" w:lineRule="auto"/>
        <w:jc w:val="center"/>
        <w:textAlignment w:val="auto"/>
        <w:rPr>
          <w:rFonts w:eastAsia="Calibri" w:cs="Calibri"/>
          <w:b/>
          <w:bCs/>
          <w:color w:val="0070C0"/>
          <w:szCs w:val="24"/>
        </w:rPr>
      </w:pPr>
      <w:r w:rsidRPr="00C6576F">
        <w:rPr>
          <w:rFonts w:eastAsia="Calibri" w:cs="Calibri"/>
          <w:b/>
          <w:bCs/>
          <w:color w:val="0070C0"/>
          <w:szCs w:val="24"/>
        </w:rPr>
        <w:t xml:space="preserve">A conversation series </w:t>
      </w:r>
      <w:r w:rsidR="006B06B0">
        <w:rPr>
          <w:rFonts w:eastAsia="Calibri" w:cs="Calibri"/>
          <w:b/>
          <w:bCs/>
          <w:color w:val="0070C0"/>
          <w:szCs w:val="24"/>
        </w:rPr>
        <w:br/>
      </w:r>
      <w:r w:rsidR="006B06B0">
        <w:rPr>
          <w:rFonts w:eastAsia="Calibri" w:cs="Calibri"/>
          <w:b/>
          <w:bCs/>
          <w:color w:val="0070C0"/>
          <w:szCs w:val="24"/>
        </w:rPr>
        <w:br/>
      </w:r>
      <w:r w:rsidRPr="00C6576F">
        <w:rPr>
          <w:rFonts w:eastAsia="Calibri" w:cs="Calibri"/>
          <w:b/>
          <w:bCs/>
          <w:color w:val="0070C0"/>
          <w:sz w:val="22"/>
          <w:szCs w:val="22"/>
        </w:rPr>
        <w:t>Fostering Collaboration and Knowledge Exchange</w:t>
      </w:r>
      <w:r w:rsidR="006B06B0">
        <w:rPr>
          <w:rFonts w:eastAsia="Calibri" w:cs="Calibri"/>
          <w:b/>
          <w:bCs/>
          <w:color w:val="0070C0"/>
          <w:sz w:val="22"/>
          <w:szCs w:val="22"/>
        </w:rPr>
        <w:br/>
      </w:r>
      <w:r w:rsidR="006B06B0">
        <w:rPr>
          <w:rFonts w:eastAsia="Calibri" w:cs="Calibri"/>
          <w:b/>
          <w:bCs/>
          <w:color w:val="0070C0"/>
          <w:sz w:val="22"/>
          <w:szCs w:val="22"/>
        </w:rPr>
        <w:br/>
      </w:r>
      <w:r w:rsidRPr="00C6576F">
        <w:rPr>
          <w:rFonts w:eastAsia="Calibri" w:cs="Calibri"/>
          <w:b/>
          <w:bCs/>
          <w:color w:val="0070C0"/>
          <w:szCs w:val="24"/>
        </w:rPr>
        <w:t>DRAFT CONCEPT NOTE</w:t>
      </w:r>
    </w:p>
    <w:p w14:paraId="1F559AA3" w14:textId="772E6322" w:rsidR="00C6576F" w:rsidRPr="00C6576F" w:rsidRDefault="00C6576F" w:rsidP="006B06B0">
      <w:pPr>
        <w:pStyle w:val="Headingb"/>
        <w:rPr>
          <w:rFonts w:eastAsia="Calibri"/>
          <w:spacing w:val="-2"/>
          <w:lang w:val="en-US"/>
        </w:rPr>
      </w:pPr>
      <w:r w:rsidRPr="00C6576F">
        <w:rPr>
          <w:rFonts w:eastAsia="Calibri"/>
          <w:lang w:val="en-US"/>
        </w:rPr>
        <w:t>Background</w:t>
      </w:r>
    </w:p>
    <w:p w14:paraId="321A2280" w14:textId="77777777" w:rsidR="00C6576F" w:rsidRPr="00C6576F" w:rsidRDefault="00C6576F" w:rsidP="006B06B0">
      <w:pPr>
        <w:jc w:val="both"/>
        <w:rPr>
          <w:rFonts w:eastAsia="Calibri"/>
        </w:rPr>
      </w:pPr>
      <w:r w:rsidRPr="00C6576F">
        <w:rPr>
          <w:rFonts w:eastAsia="Calibri"/>
        </w:rPr>
        <w:t xml:space="preserve">It is estimated that one in three Internet users is under the age of 18. And while the online environment has proven to be beneficial for children to thrive, it also poses risks to their safety and wellbeing: The rapid increase in children's use of digital platforms, including gaming, social media, and emerging technologies such as AI, AR and VR, has brought new challenges to ensuring their safety online. More and more sectors are starting to realize the critical importance of a protective and empowering digital environment. </w:t>
      </w:r>
    </w:p>
    <w:p w14:paraId="2FAA66B0" w14:textId="77777777" w:rsidR="00C6576F" w:rsidRPr="00C6576F" w:rsidRDefault="00C6576F" w:rsidP="006B06B0">
      <w:pPr>
        <w:jc w:val="both"/>
        <w:rPr>
          <w:rFonts w:eastAsia="Calibri" w:cs="Calibri"/>
          <w:szCs w:val="24"/>
        </w:rPr>
      </w:pPr>
      <w:r w:rsidRPr="006B06B0">
        <w:rPr>
          <w:rFonts w:eastAsia="Calibri"/>
        </w:rPr>
        <w:t>Globally</w:t>
      </w:r>
      <w:r w:rsidRPr="00C6576F">
        <w:rPr>
          <w:rFonts w:eastAsia="Calibri" w:cs="Calibri"/>
          <w:szCs w:val="24"/>
        </w:rPr>
        <w:t xml:space="preserve">, important steps are being taken forward to better protect children online. Recent legislative efforts, such as the </w:t>
      </w:r>
      <w:r w:rsidRPr="00C6576F">
        <w:rPr>
          <w:rFonts w:eastAsia="Calibri" w:cs="Calibri"/>
          <w:b/>
          <w:bCs/>
          <w:szCs w:val="24"/>
        </w:rPr>
        <w:t xml:space="preserve">Digital Service Act </w:t>
      </w:r>
      <w:r w:rsidRPr="00C6576F">
        <w:rPr>
          <w:rFonts w:eastAsia="Calibri" w:cs="Calibri"/>
          <w:szCs w:val="24"/>
        </w:rPr>
        <w:t xml:space="preserve">in the EU, </w:t>
      </w:r>
      <w:r w:rsidRPr="00C6576F">
        <w:rPr>
          <w:rFonts w:eastAsia="Calibri" w:cs="Calibri"/>
          <w:b/>
          <w:bCs/>
          <w:szCs w:val="24"/>
        </w:rPr>
        <w:t>Kids Online Safety Act (KOSA)</w:t>
      </w:r>
      <w:r w:rsidRPr="00C6576F">
        <w:rPr>
          <w:rFonts w:eastAsia="Calibri" w:cs="Calibri"/>
          <w:szCs w:val="24"/>
        </w:rPr>
        <w:t xml:space="preserve"> in the U.S. and the </w:t>
      </w:r>
      <w:r w:rsidRPr="00C6576F">
        <w:rPr>
          <w:rFonts w:eastAsia="Calibri" w:cs="Calibri"/>
          <w:b/>
          <w:bCs/>
          <w:szCs w:val="24"/>
        </w:rPr>
        <w:t>Online Safety Act</w:t>
      </w:r>
      <w:r w:rsidRPr="00C6576F">
        <w:rPr>
          <w:rFonts w:eastAsia="Calibri" w:cs="Calibri"/>
          <w:szCs w:val="24"/>
        </w:rPr>
        <w:t xml:space="preserve"> in the UK, or the most recent social media ban for children under 16 years of age in Australia</w:t>
      </w:r>
      <w:r w:rsidRPr="00C6576F">
        <w:rPr>
          <w:rFonts w:eastAsia="Calibri" w:cs="Calibri"/>
          <w:szCs w:val="24"/>
          <w:vertAlign w:val="superscript"/>
        </w:rPr>
        <w:footnoteReference w:id="1"/>
      </w:r>
      <w:r w:rsidRPr="00C6576F">
        <w:rPr>
          <w:rFonts w:eastAsia="Calibri" w:cs="Calibri"/>
          <w:szCs w:val="24"/>
        </w:rPr>
        <w:t>, highlight the urgency for collective action to protect children from risks exacerbated by platform design, usage, and insufficient safeguards. But they also show that dialogue between the sectors remains crucial to enable information sharing, and mutual learning to better prevent and respond to online safety challenges.</w:t>
      </w:r>
    </w:p>
    <w:p w14:paraId="37322DC7" w14:textId="77777777" w:rsidR="00C6576F" w:rsidRPr="00C6576F" w:rsidRDefault="00C6576F" w:rsidP="006B06B0">
      <w:pPr>
        <w:jc w:val="both"/>
        <w:rPr>
          <w:rFonts w:eastAsia="Calibri" w:cs="Calibri"/>
          <w:b/>
          <w:bCs/>
          <w:szCs w:val="24"/>
        </w:rPr>
      </w:pPr>
      <w:r w:rsidRPr="00C6576F">
        <w:rPr>
          <w:rFonts w:eastAsia="Calibri" w:cs="Calibri"/>
          <w:szCs w:val="24"/>
        </w:rPr>
        <w:t xml:space="preserve">The ITU’s </w:t>
      </w:r>
      <w:r w:rsidRPr="00C6576F">
        <w:rPr>
          <w:rFonts w:eastAsia="Calibri" w:cs="Calibri"/>
          <w:b/>
          <w:bCs/>
          <w:szCs w:val="24"/>
        </w:rPr>
        <w:t>Child Online Protection (COP)</w:t>
      </w:r>
      <w:r w:rsidRPr="00C6576F">
        <w:rPr>
          <w:rFonts w:eastAsia="Calibri" w:cs="Calibri"/>
          <w:szCs w:val="24"/>
        </w:rPr>
        <w:t xml:space="preserve"> initiative is uniquely positioned to address these challenges through a neutral platform for multi-stakeholder dialogue, fostering cooperation between ITU members, private sector leaders, policymakers, </w:t>
      </w:r>
      <w:proofErr w:type="spellStart"/>
      <w:r w:rsidRPr="00C6576F">
        <w:rPr>
          <w:rFonts w:eastAsia="Calibri" w:cs="Calibri"/>
          <w:szCs w:val="24"/>
        </w:rPr>
        <w:t>CSOs</w:t>
      </w:r>
      <w:proofErr w:type="spellEnd"/>
      <w:r w:rsidRPr="00C6576F">
        <w:rPr>
          <w:rFonts w:eastAsia="Calibri" w:cs="Calibri"/>
          <w:szCs w:val="24"/>
        </w:rPr>
        <w:t xml:space="preserve"> and subject-matter experts.</w:t>
      </w:r>
    </w:p>
    <w:p w14:paraId="3B619D81" w14:textId="499DF5A1" w:rsidR="00C6576F" w:rsidRPr="0056188F" w:rsidRDefault="00C6576F" w:rsidP="0056188F">
      <w:pPr>
        <w:pStyle w:val="Headingb"/>
        <w:rPr>
          <w:rFonts w:eastAsia="Calibri"/>
        </w:rPr>
      </w:pPr>
      <w:r w:rsidRPr="0056188F">
        <w:rPr>
          <w:rFonts w:eastAsia="Calibri"/>
        </w:rPr>
        <w:t>Overview</w:t>
      </w:r>
    </w:p>
    <w:p w14:paraId="1B12FBD8" w14:textId="104B13AD" w:rsidR="00C6576F" w:rsidRPr="00C6576F" w:rsidRDefault="00C6576F" w:rsidP="006B06B0">
      <w:pPr>
        <w:jc w:val="both"/>
        <w:rPr>
          <w:rFonts w:eastAsia="Calibri" w:cs="Calibri"/>
          <w:szCs w:val="24"/>
        </w:rPr>
      </w:pPr>
      <w:r w:rsidRPr="00C6576F">
        <w:rPr>
          <w:rFonts w:eastAsia="Calibri" w:cs="Calibri"/>
          <w:szCs w:val="24"/>
        </w:rPr>
        <w:t xml:space="preserve">The International Telecommunication Union (ITU) through its Development Bureau (BDT) proposes a series of quarterly online discussions titled </w:t>
      </w:r>
      <w:r w:rsidRPr="00C6576F">
        <w:rPr>
          <w:rFonts w:eastAsia="Calibri" w:cs="Calibri"/>
          <w:i/>
          <w:iCs/>
          <w:szCs w:val="24"/>
        </w:rPr>
        <w:t>"Child Online Protection in Action: Industry Perspectives"</w:t>
      </w:r>
      <w:r w:rsidRPr="00C6576F">
        <w:rPr>
          <w:rFonts w:eastAsia="Calibri" w:cs="Calibri"/>
          <w:szCs w:val="24"/>
        </w:rPr>
        <w:t xml:space="preserve">. </w:t>
      </w:r>
    </w:p>
    <w:p w14:paraId="42544B0F" w14:textId="77777777" w:rsidR="00C6576F" w:rsidRPr="00C6576F" w:rsidRDefault="00C6576F" w:rsidP="006B06B0">
      <w:pPr>
        <w:jc w:val="both"/>
        <w:rPr>
          <w:rFonts w:eastAsia="Calibri" w:cs="Calibri"/>
          <w:szCs w:val="24"/>
        </w:rPr>
      </w:pPr>
      <w:r w:rsidRPr="00C6576F">
        <w:rPr>
          <w:rFonts w:eastAsia="Calibri" w:cs="Calibri"/>
          <w:szCs w:val="24"/>
        </w:rPr>
        <w:t xml:space="preserve">These closed, two-hour webinars will bring together ITU members, non-members, and industry representatives to share knowledge, best practices, and insights on emerging topics related to Child Online Protection (COP). </w:t>
      </w:r>
    </w:p>
    <w:p w14:paraId="36D06421" w14:textId="77777777" w:rsidR="00C6576F" w:rsidRPr="00C6576F" w:rsidRDefault="00C6576F" w:rsidP="006B06B0">
      <w:pPr>
        <w:jc w:val="both"/>
        <w:rPr>
          <w:rFonts w:eastAsia="Calibri" w:cs="Calibri"/>
          <w:szCs w:val="24"/>
        </w:rPr>
      </w:pPr>
      <w:r w:rsidRPr="00C6576F">
        <w:rPr>
          <w:rFonts w:eastAsia="Calibri" w:cs="Calibri"/>
          <w:szCs w:val="24"/>
        </w:rPr>
        <w:t xml:space="preserve">By </w:t>
      </w:r>
      <w:r w:rsidRPr="006B06B0">
        <w:rPr>
          <w:rFonts w:eastAsia="Calibri"/>
        </w:rPr>
        <w:t>fostering</w:t>
      </w:r>
      <w:r w:rsidRPr="00C6576F">
        <w:rPr>
          <w:rFonts w:eastAsia="Calibri" w:cs="Calibri"/>
          <w:szCs w:val="24"/>
        </w:rPr>
        <w:t xml:space="preserve"> a conversational, solution-oriented approach, the sessions aim to promote collaboration across sectors while strengthening ITU’s role as a convener of global efforts for a safer online environment for children.</w:t>
      </w:r>
    </w:p>
    <w:p w14:paraId="739E0C1E" w14:textId="4BE4F914" w:rsidR="00C6576F" w:rsidRPr="0056188F" w:rsidRDefault="00C6576F" w:rsidP="0056188F">
      <w:pPr>
        <w:pStyle w:val="Headingb"/>
        <w:rPr>
          <w:rFonts w:eastAsia="Calibri"/>
        </w:rPr>
      </w:pPr>
      <w:r w:rsidRPr="0056188F">
        <w:rPr>
          <w:rFonts w:eastAsia="Calibri"/>
        </w:rPr>
        <w:lastRenderedPageBreak/>
        <w:t>Objectives</w:t>
      </w:r>
    </w:p>
    <w:p w14:paraId="1143DBB4" w14:textId="541235B1" w:rsidR="00C6576F" w:rsidRPr="00C6576F" w:rsidRDefault="006B06B0" w:rsidP="006B06B0">
      <w:pPr>
        <w:pStyle w:val="enumlev1"/>
        <w:jc w:val="both"/>
        <w:rPr>
          <w:rFonts w:eastAsia="Calibri" w:cs="Calibri"/>
          <w:szCs w:val="24"/>
        </w:rPr>
      </w:pPr>
      <w:r w:rsidRPr="00C6576F">
        <w:rPr>
          <w:rFonts w:ascii="Symbol" w:eastAsia="Calibri" w:hAnsi="Symbol" w:cs="Calibri"/>
          <w:sz w:val="20"/>
          <w:szCs w:val="24"/>
        </w:rPr>
        <w:t></w:t>
      </w:r>
      <w:r w:rsidRPr="00C6576F">
        <w:rPr>
          <w:rFonts w:ascii="Symbol" w:eastAsia="Calibri" w:hAnsi="Symbol" w:cs="Calibri"/>
          <w:sz w:val="20"/>
          <w:szCs w:val="24"/>
        </w:rPr>
        <w:tab/>
      </w:r>
      <w:r w:rsidR="00C6576F" w:rsidRPr="00C6576F">
        <w:rPr>
          <w:rFonts w:eastAsia="Calibri" w:cs="Calibri"/>
          <w:b/>
          <w:bCs/>
          <w:szCs w:val="24"/>
        </w:rPr>
        <w:t>Facilitate cross-sectoral and targeted dialogue</w:t>
      </w:r>
      <w:r w:rsidR="00C6576F" w:rsidRPr="00C6576F">
        <w:rPr>
          <w:rFonts w:eastAsia="Calibri" w:cs="Calibri"/>
          <w:szCs w:val="24"/>
        </w:rPr>
        <w:t xml:space="preserve"> to share insights, innovations, challenges and strategies on urgent topics related to </w:t>
      </w:r>
      <w:r w:rsidR="00C6576F" w:rsidRPr="006B06B0">
        <w:t>child</w:t>
      </w:r>
      <w:r w:rsidR="00C6576F" w:rsidRPr="00C6576F">
        <w:rPr>
          <w:rFonts w:eastAsia="Calibri" w:cs="Calibri"/>
          <w:szCs w:val="24"/>
        </w:rPr>
        <w:t xml:space="preserve"> online safety, leveraging insights from the tech industry and global legislative and regulatory trends.</w:t>
      </w:r>
    </w:p>
    <w:p w14:paraId="73504528" w14:textId="3B4B553F" w:rsidR="00C6576F" w:rsidRPr="00C6576F" w:rsidRDefault="006B06B0" w:rsidP="006B06B0">
      <w:pPr>
        <w:pStyle w:val="enumlev1"/>
        <w:jc w:val="both"/>
        <w:rPr>
          <w:rFonts w:eastAsia="Calibri" w:cs="Calibri"/>
          <w:szCs w:val="24"/>
        </w:rPr>
      </w:pPr>
      <w:r w:rsidRPr="00C6576F">
        <w:rPr>
          <w:rFonts w:ascii="Symbol" w:eastAsia="Calibri" w:hAnsi="Symbol" w:cs="Calibri"/>
          <w:sz w:val="20"/>
          <w:szCs w:val="24"/>
        </w:rPr>
        <w:t></w:t>
      </w:r>
      <w:r w:rsidRPr="00C6576F">
        <w:rPr>
          <w:rFonts w:ascii="Symbol" w:eastAsia="Calibri" w:hAnsi="Symbol" w:cs="Calibri"/>
          <w:sz w:val="20"/>
          <w:szCs w:val="24"/>
        </w:rPr>
        <w:tab/>
      </w:r>
      <w:r w:rsidR="00C6576F" w:rsidRPr="00C6576F">
        <w:rPr>
          <w:rFonts w:eastAsia="Calibri" w:cs="Calibri"/>
          <w:b/>
          <w:bCs/>
          <w:szCs w:val="24"/>
        </w:rPr>
        <w:t>Engage private sector leaders</w:t>
      </w:r>
      <w:r w:rsidR="00C6576F" w:rsidRPr="00C6576F">
        <w:rPr>
          <w:rFonts w:eastAsia="Calibri" w:cs="Calibri"/>
          <w:szCs w:val="24"/>
        </w:rPr>
        <w:t xml:space="preserve"> </w:t>
      </w:r>
      <w:r w:rsidR="00C6576F" w:rsidRPr="00C6576F">
        <w:rPr>
          <w:rFonts w:eastAsia="Calibri" w:cs="Calibri"/>
          <w:b/>
          <w:bCs/>
          <w:szCs w:val="24"/>
        </w:rPr>
        <w:t>and Member States</w:t>
      </w:r>
      <w:r w:rsidR="00C6576F" w:rsidRPr="00C6576F">
        <w:rPr>
          <w:rFonts w:eastAsia="Calibri" w:cs="Calibri"/>
          <w:szCs w:val="24"/>
        </w:rPr>
        <w:t xml:space="preserve"> in </w:t>
      </w:r>
      <w:r w:rsidR="00C6576F" w:rsidRPr="006B06B0">
        <w:t>informal</w:t>
      </w:r>
      <w:r w:rsidR="00C6576F" w:rsidRPr="00C6576F">
        <w:rPr>
          <w:rFonts w:eastAsia="Calibri" w:cs="Calibri"/>
          <w:szCs w:val="24"/>
        </w:rPr>
        <w:t xml:space="preserve">, meaningful exchanges on emerging trends and challenges. </w:t>
      </w:r>
    </w:p>
    <w:p w14:paraId="6979F548" w14:textId="3862A471" w:rsidR="00C6576F" w:rsidRPr="00C6576F" w:rsidRDefault="006B06B0" w:rsidP="006B06B0">
      <w:pPr>
        <w:pStyle w:val="enumlev1"/>
        <w:jc w:val="both"/>
        <w:rPr>
          <w:rFonts w:eastAsia="Calibri" w:cs="Calibri"/>
          <w:szCs w:val="24"/>
        </w:rPr>
      </w:pPr>
      <w:r w:rsidRPr="00C6576F">
        <w:rPr>
          <w:rFonts w:ascii="Symbol" w:eastAsia="Calibri" w:hAnsi="Symbol" w:cs="Calibri"/>
          <w:sz w:val="20"/>
          <w:szCs w:val="24"/>
        </w:rPr>
        <w:t></w:t>
      </w:r>
      <w:r w:rsidRPr="00C6576F">
        <w:rPr>
          <w:rFonts w:ascii="Symbol" w:eastAsia="Calibri" w:hAnsi="Symbol" w:cs="Calibri"/>
          <w:sz w:val="20"/>
          <w:szCs w:val="24"/>
        </w:rPr>
        <w:tab/>
      </w:r>
      <w:r w:rsidR="00C6576F" w:rsidRPr="00C6576F">
        <w:rPr>
          <w:rFonts w:eastAsia="Calibri" w:cs="Calibri"/>
          <w:b/>
          <w:bCs/>
          <w:szCs w:val="24"/>
        </w:rPr>
        <w:t>Promote industry participation</w:t>
      </w:r>
      <w:r w:rsidR="00C6576F" w:rsidRPr="00C6576F">
        <w:rPr>
          <w:rFonts w:eastAsia="Calibri" w:cs="Calibri"/>
          <w:szCs w:val="24"/>
        </w:rPr>
        <w:t xml:space="preserve"> by inviting representatives from Big tech companies and other key players to share best practices, challenges, </w:t>
      </w:r>
      <w:r w:rsidR="00C6576F" w:rsidRPr="006B06B0">
        <w:t>and</w:t>
      </w:r>
      <w:r w:rsidR="00C6576F" w:rsidRPr="00C6576F">
        <w:rPr>
          <w:rFonts w:eastAsia="Calibri" w:cs="Calibri"/>
          <w:szCs w:val="24"/>
        </w:rPr>
        <w:t xml:space="preserve"> new solutions.</w:t>
      </w:r>
    </w:p>
    <w:p w14:paraId="06C3BEC6" w14:textId="75577CFB" w:rsidR="00C6576F" w:rsidRPr="00C6576F" w:rsidRDefault="006B06B0" w:rsidP="006B06B0">
      <w:pPr>
        <w:pStyle w:val="enumlev1"/>
        <w:jc w:val="both"/>
        <w:rPr>
          <w:rFonts w:eastAsia="Calibri" w:cs="Calibri"/>
          <w:szCs w:val="24"/>
        </w:rPr>
      </w:pPr>
      <w:r w:rsidRPr="00C6576F">
        <w:rPr>
          <w:rFonts w:ascii="Symbol" w:eastAsia="Calibri" w:hAnsi="Symbol" w:cs="Calibri"/>
          <w:sz w:val="20"/>
          <w:szCs w:val="24"/>
        </w:rPr>
        <w:t></w:t>
      </w:r>
      <w:r w:rsidRPr="00C6576F">
        <w:rPr>
          <w:rFonts w:ascii="Symbol" w:eastAsia="Calibri" w:hAnsi="Symbol" w:cs="Calibri"/>
          <w:sz w:val="20"/>
          <w:szCs w:val="24"/>
        </w:rPr>
        <w:tab/>
      </w:r>
      <w:r w:rsidR="00C6576F" w:rsidRPr="00C6576F">
        <w:rPr>
          <w:rFonts w:eastAsia="Calibri" w:cs="Calibri"/>
          <w:b/>
          <w:bCs/>
          <w:szCs w:val="24"/>
        </w:rPr>
        <w:t>Explore actionable takeaways</w:t>
      </w:r>
      <w:r w:rsidR="00C6576F" w:rsidRPr="00C6576F">
        <w:rPr>
          <w:rFonts w:eastAsia="Calibri" w:cs="Calibri"/>
          <w:szCs w:val="24"/>
        </w:rPr>
        <w:t xml:space="preserve"> to empower stakeholders in </w:t>
      </w:r>
      <w:r w:rsidR="00C6576F" w:rsidRPr="006B06B0">
        <w:t>advancing</w:t>
      </w:r>
      <w:r w:rsidR="00C6576F" w:rsidRPr="00C6576F">
        <w:rPr>
          <w:rFonts w:eastAsia="Calibri" w:cs="Calibri"/>
          <w:szCs w:val="24"/>
        </w:rPr>
        <w:t xml:space="preserve"> COP initiatives globally.</w:t>
      </w:r>
    </w:p>
    <w:p w14:paraId="1E7A6FD3" w14:textId="22D58B8E" w:rsidR="00C6576F" w:rsidRPr="00C6576F" w:rsidRDefault="006B06B0" w:rsidP="006B06B0">
      <w:pPr>
        <w:pStyle w:val="enumlev1"/>
        <w:jc w:val="both"/>
        <w:rPr>
          <w:rFonts w:eastAsia="Calibri" w:cs="Calibri"/>
          <w:szCs w:val="24"/>
        </w:rPr>
      </w:pPr>
      <w:r w:rsidRPr="00C6576F">
        <w:rPr>
          <w:rFonts w:ascii="Symbol" w:eastAsia="Calibri" w:hAnsi="Symbol" w:cs="Calibri"/>
          <w:sz w:val="20"/>
          <w:szCs w:val="24"/>
        </w:rPr>
        <w:t></w:t>
      </w:r>
      <w:r w:rsidRPr="00C6576F">
        <w:rPr>
          <w:rFonts w:ascii="Symbol" w:eastAsia="Calibri" w:hAnsi="Symbol" w:cs="Calibri"/>
          <w:sz w:val="20"/>
          <w:szCs w:val="24"/>
        </w:rPr>
        <w:tab/>
      </w:r>
      <w:r w:rsidR="00C6576F" w:rsidRPr="00C6576F">
        <w:rPr>
          <w:rFonts w:eastAsia="Calibri" w:cs="Calibri"/>
          <w:b/>
          <w:bCs/>
          <w:szCs w:val="24"/>
        </w:rPr>
        <w:t>Highlight ITU’s leadership</w:t>
      </w:r>
      <w:r w:rsidR="00C6576F" w:rsidRPr="00C6576F">
        <w:rPr>
          <w:rFonts w:eastAsia="Calibri" w:cs="Calibri"/>
          <w:szCs w:val="24"/>
        </w:rPr>
        <w:t xml:space="preserve"> in COP by offering a neutral </w:t>
      </w:r>
      <w:r w:rsidR="00C6576F" w:rsidRPr="006B06B0">
        <w:t>platform</w:t>
      </w:r>
      <w:r w:rsidR="00C6576F" w:rsidRPr="00C6576F">
        <w:rPr>
          <w:rFonts w:eastAsia="Calibri" w:cs="Calibri"/>
          <w:szCs w:val="24"/>
        </w:rPr>
        <w:t xml:space="preserve"> for discussion and collaboration.</w:t>
      </w:r>
    </w:p>
    <w:p w14:paraId="5A20A67A" w14:textId="3BB17B57" w:rsidR="00C6576F" w:rsidRPr="00C6576F" w:rsidRDefault="006B06B0" w:rsidP="006B06B0">
      <w:pPr>
        <w:pStyle w:val="enumlev1"/>
        <w:jc w:val="both"/>
        <w:rPr>
          <w:rFonts w:eastAsia="Calibri" w:cs="Calibri"/>
          <w:szCs w:val="24"/>
        </w:rPr>
      </w:pPr>
      <w:r w:rsidRPr="00C6576F">
        <w:rPr>
          <w:rFonts w:ascii="Symbol" w:eastAsia="Calibri" w:hAnsi="Symbol" w:cs="Calibri"/>
          <w:sz w:val="20"/>
          <w:szCs w:val="24"/>
        </w:rPr>
        <w:t></w:t>
      </w:r>
      <w:r w:rsidRPr="00C6576F">
        <w:rPr>
          <w:rFonts w:ascii="Symbol" w:eastAsia="Calibri" w:hAnsi="Symbol" w:cs="Calibri"/>
          <w:sz w:val="20"/>
          <w:szCs w:val="24"/>
        </w:rPr>
        <w:tab/>
      </w:r>
      <w:r w:rsidR="00C6576F" w:rsidRPr="00C6576F">
        <w:rPr>
          <w:rFonts w:eastAsia="Calibri" w:cs="Calibri"/>
          <w:b/>
          <w:bCs/>
          <w:szCs w:val="24"/>
        </w:rPr>
        <w:t>Encourage collaboration</w:t>
      </w:r>
      <w:r w:rsidR="00C6576F" w:rsidRPr="00C6576F">
        <w:rPr>
          <w:rFonts w:eastAsia="Calibri" w:cs="Calibri"/>
          <w:szCs w:val="24"/>
        </w:rPr>
        <w:t xml:space="preserve"> between ITU members and potential members to create actionable strategies for addressing online risks to </w:t>
      </w:r>
      <w:r w:rsidR="00C6576F" w:rsidRPr="006B06B0">
        <w:t>children</w:t>
      </w:r>
      <w:r w:rsidR="00C6576F" w:rsidRPr="00C6576F">
        <w:rPr>
          <w:rFonts w:eastAsia="Calibri" w:cs="Calibri"/>
          <w:szCs w:val="24"/>
        </w:rPr>
        <w:t>.</w:t>
      </w:r>
    </w:p>
    <w:p w14:paraId="319F7255" w14:textId="24430F5F" w:rsidR="00C6576F" w:rsidRPr="00C6576F" w:rsidRDefault="006B06B0" w:rsidP="006B06B0">
      <w:pPr>
        <w:pStyle w:val="enumlev1"/>
        <w:jc w:val="both"/>
        <w:rPr>
          <w:rFonts w:eastAsia="Calibri" w:cs="Calibri"/>
          <w:szCs w:val="24"/>
        </w:rPr>
      </w:pPr>
      <w:r w:rsidRPr="00C6576F">
        <w:rPr>
          <w:rFonts w:ascii="Symbol" w:eastAsia="Calibri" w:hAnsi="Symbol" w:cs="Calibri"/>
          <w:sz w:val="20"/>
          <w:szCs w:val="24"/>
        </w:rPr>
        <w:t></w:t>
      </w:r>
      <w:r w:rsidRPr="00C6576F">
        <w:rPr>
          <w:rFonts w:ascii="Symbol" w:eastAsia="Calibri" w:hAnsi="Symbol" w:cs="Calibri"/>
          <w:sz w:val="20"/>
          <w:szCs w:val="24"/>
        </w:rPr>
        <w:tab/>
      </w:r>
      <w:r w:rsidR="00C6576F" w:rsidRPr="00C6576F">
        <w:rPr>
          <w:rFonts w:eastAsia="Calibri" w:cs="Calibri"/>
          <w:b/>
          <w:bCs/>
          <w:szCs w:val="24"/>
        </w:rPr>
        <w:t>Support ITU membership expansion efforts</w:t>
      </w:r>
      <w:r w:rsidR="00C6576F" w:rsidRPr="00C6576F">
        <w:rPr>
          <w:rFonts w:eastAsia="Calibri" w:cs="Calibri"/>
          <w:szCs w:val="24"/>
        </w:rPr>
        <w:t xml:space="preserve"> by </w:t>
      </w:r>
      <w:r w:rsidR="00C6576F" w:rsidRPr="006B06B0">
        <w:t>engaging</w:t>
      </w:r>
      <w:r w:rsidR="00C6576F" w:rsidRPr="00C6576F">
        <w:rPr>
          <w:rFonts w:eastAsia="Calibri" w:cs="Calibri"/>
          <w:szCs w:val="24"/>
        </w:rPr>
        <w:t xml:space="preserve"> non-members and fostering their alignment with ITU-D initiatives.</w:t>
      </w:r>
    </w:p>
    <w:p w14:paraId="4CF202D1" w14:textId="2B1B8F5B" w:rsidR="00C6576F" w:rsidRPr="0056188F" w:rsidRDefault="00C6576F" w:rsidP="0056188F">
      <w:pPr>
        <w:pStyle w:val="Headingb"/>
        <w:rPr>
          <w:rFonts w:eastAsia="Calibri"/>
        </w:rPr>
      </w:pPr>
      <w:r w:rsidRPr="0056188F">
        <w:rPr>
          <w:rFonts w:eastAsia="Calibri"/>
        </w:rPr>
        <w:t>Format</w:t>
      </w:r>
    </w:p>
    <w:p w14:paraId="7B62E0E4" w14:textId="0AD83A59" w:rsidR="00C6576F" w:rsidRPr="00C6576F" w:rsidRDefault="006B06B0" w:rsidP="006B06B0">
      <w:pPr>
        <w:pStyle w:val="enumlev1"/>
        <w:jc w:val="both"/>
        <w:rPr>
          <w:rFonts w:eastAsia="Calibri" w:cs="Calibri"/>
          <w:szCs w:val="24"/>
        </w:rPr>
      </w:pPr>
      <w:r w:rsidRPr="00C6576F">
        <w:rPr>
          <w:rFonts w:ascii="Symbol" w:eastAsia="Calibri" w:hAnsi="Symbol" w:cs="Calibri"/>
          <w:sz w:val="20"/>
          <w:szCs w:val="24"/>
        </w:rPr>
        <w:t></w:t>
      </w:r>
      <w:r w:rsidRPr="00C6576F">
        <w:rPr>
          <w:rFonts w:ascii="Symbol" w:eastAsia="Calibri" w:hAnsi="Symbol" w:cs="Calibri"/>
          <w:sz w:val="20"/>
          <w:szCs w:val="24"/>
        </w:rPr>
        <w:tab/>
      </w:r>
      <w:r w:rsidR="00C6576F" w:rsidRPr="00C6576F">
        <w:rPr>
          <w:rFonts w:eastAsia="Calibri" w:cs="Calibri"/>
          <w:b/>
          <w:bCs/>
          <w:szCs w:val="24"/>
        </w:rPr>
        <w:t>Frequency:</w:t>
      </w:r>
      <w:r w:rsidR="00C6576F" w:rsidRPr="00C6576F">
        <w:rPr>
          <w:rFonts w:eastAsia="Calibri" w:cs="Calibri"/>
          <w:szCs w:val="24"/>
        </w:rPr>
        <w:t xml:space="preserve"> One session per quarter, held on the 17th of the last month of each quarter (March-June-September-December). The specific date remains subject to confirmation.</w:t>
      </w:r>
    </w:p>
    <w:p w14:paraId="1B5A8A49" w14:textId="5FFD133F" w:rsidR="00C6576F" w:rsidRPr="00C6576F" w:rsidRDefault="006B06B0" w:rsidP="0056188F">
      <w:pPr>
        <w:pStyle w:val="enumlev1"/>
        <w:jc w:val="both"/>
        <w:rPr>
          <w:rFonts w:eastAsia="Calibri" w:cs="Calibri"/>
          <w:szCs w:val="24"/>
        </w:rPr>
      </w:pPr>
      <w:r w:rsidRPr="00C6576F">
        <w:rPr>
          <w:rFonts w:ascii="Symbol" w:eastAsia="Calibri" w:hAnsi="Symbol" w:cs="Calibri"/>
          <w:sz w:val="20"/>
          <w:szCs w:val="24"/>
        </w:rPr>
        <w:t></w:t>
      </w:r>
      <w:r w:rsidRPr="00C6576F">
        <w:rPr>
          <w:rFonts w:ascii="Symbol" w:eastAsia="Calibri" w:hAnsi="Symbol" w:cs="Calibri"/>
          <w:sz w:val="20"/>
          <w:szCs w:val="24"/>
        </w:rPr>
        <w:tab/>
      </w:r>
      <w:r w:rsidR="00C6576F" w:rsidRPr="00C6576F">
        <w:rPr>
          <w:rFonts w:eastAsia="Calibri" w:cs="Calibri"/>
          <w:b/>
          <w:bCs/>
          <w:szCs w:val="24"/>
        </w:rPr>
        <w:t>Duration:</w:t>
      </w:r>
      <w:r w:rsidR="00C6576F" w:rsidRPr="00C6576F">
        <w:rPr>
          <w:rFonts w:eastAsia="Calibri" w:cs="Calibri"/>
          <w:szCs w:val="24"/>
        </w:rPr>
        <w:t xml:space="preserve"> Two hours per session (15 min of expert organisations setting the scene (academia, UN, </w:t>
      </w:r>
      <w:proofErr w:type="spellStart"/>
      <w:r w:rsidR="00C6576F" w:rsidRPr="00C6576F">
        <w:rPr>
          <w:rFonts w:eastAsia="Calibri" w:cs="Calibri"/>
          <w:szCs w:val="24"/>
        </w:rPr>
        <w:t>CSOs</w:t>
      </w:r>
      <w:proofErr w:type="spellEnd"/>
      <w:r w:rsidR="00C6576F" w:rsidRPr="00C6576F">
        <w:rPr>
          <w:rFonts w:eastAsia="Calibri" w:cs="Calibri"/>
          <w:szCs w:val="24"/>
        </w:rPr>
        <w:t>), 45 minutes for industry presentations, 60 minutes for moderated dialogue around guiding questions).</w:t>
      </w:r>
    </w:p>
    <w:p w14:paraId="7B77C4F1" w14:textId="4C9089A3" w:rsidR="00C6576F" w:rsidRPr="00C6576F" w:rsidRDefault="006B06B0" w:rsidP="0056188F">
      <w:pPr>
        <w:pStyle w:val="enumlev1AsianCalibri"/>
        <w:jc w:val="left"/>
      </w:pPr>
      <w:r w:rsidRPr="00C6576F">
        <w:rPr>
          <w:rFonts w:ascii="Symbol" w:hAnsi="Symbol"/>
          <w:sz w:val="20"/>
        </w:rPr>
        <w:t></w:t>
      </w:r>
      <w:r w:rsidRPr="00C6576F">
        <w:rPr>
          <w:rFonts w:ascii="Symbol" w:hAnsi="Symbol"/>
          <w:sz w:val="20"/>
        </w:rPr>
        <w:tab/>
      </w:r>
      <w:r w:rsidR="00C6576F" w:rsidRPr="00C6576F">
        <w:rPr>
          <w:b/>
          <w:bCs/>
        </w:rPr>
        <w:t>Language Support:</w:t>
      </w:r>
      <w:r w:rsidR="00C6576F" w:rsidRPr="00C6576F">
        <w:t xml:space="preserve"> Sessions will be fully translated </w:t>
      </w:r>
      <w:r w:rsidR="00C6576F" w:rsidRPr="006B06B0">
        <w:rPr>
          <w:rFonts w:eastAsia="Times New Roman" w:cs="Times New Roman"/>
          <w:szCs w:val="20"/>
        </w:rPr>
        <w:t>and</w:t>
      </w:r>
      <w:r w:rsidR="00C6576F" w:rsidRPr="00C6576F">
        <w:t xml:space="preserve"> interpreted into all official ITU languages, supported by sponsorship, subject to availability.</w:t>
      </w:r>
    </w:p>
    <w:p w14:paraId="3CCB5B1F" w14:textId="60AC499A" w:rsidR="00C6576F" w:rsidRPr="00C6576F" w:rsidRDefault="006B06B0" w:rsidP="0056188F">
      <w:pPr>
        <w:pStyle w:val="enumlev1AsianCalibri"/>
      </w:pPr>
      <w:r w:rsidRPr="00C6576F">
        <w:rPr>
          <w:rFonts w:ascii="Symbol" w:hAnsi="Symbol"/>
          <w:sz w:val="20"/>
        </w:rPr>
        <w:t></w:t>
      </w:r>
      <w:r w:rsidRPr="00C6576F">
        <w:rPr>
          <w:rFonts w:ascii="Symbol" w:hAnsi="Symbol"/>
          <w:sz w:val="20"/>
        </w:rPr>
        <w:tab/>
      </w:r>
      <w:r w:rsidR="00C6576F" w:rsidRPr="00C6576F">
        <w:rPr>
          <w:b/>
          <w:bCs/>
        </w:rPr>
        <w:t>Platform:</w:t>
      </w:r>
      <w:r w:rsidR="00C6576F" w:rsidRPr="00C6576F">
        <w:t xml:space="preserve"> Virtual (Zoom or similar platform).</w:t>
      </w:r>
      <w:r w:rsidR="00C6576F" w:rsidRPr="00C6576F">
        <w:rPr>
          <w:b/>
          <w:bCs/>
        </w:rPr>
        <w:t xml:space="preserve"> </w:t>
      </w:r>
    </w:p>
    <w:p w14:paraId="4933EEBE" w14:textId="0F5AE5C3" w:rsidR="00C6576F" w:rsidRPr="0056188F" w:rsidRDefault="00C6576F" w:rsidP="0056188F">
      <w:pPr>
        <w:pStyle w:val="Headingb"/>
        <w:rPr>
          <w:rFonts w:eastAsia="Calibri"/>
        </w:rPr>
      </w:pPr>
      <w:r w:rsidRPr="0056188F">
        <w:rPr>
          <w:rFonts w:eastAsia="Calibri"/>
        </w:rPr>
        <w:t>Participants</w:t>
      </w:r>
    </w:p>
    <w:p w14:paraId="685AC5B7" w14:textId="77777777" w:rsidR="00C6576F" w:rsidRPr="00C6576F" w:rsidRDefault="00C6576F" w:rsidP="006B06B0">
      <w:pPr>
        <w:jc w:val="both"/>
        <w:rPr>
          <w:rFonts w:eastAsia="Calibri" w:cs="Calibri"/>
          <w:szCs w:val="24"/>
        </w:rPr>
      </w:pPr>
      <w:r w:rsidRPr="00C6576F">
        <w:rPr>
          <w:rFonts w:eastAsia="Calibri" w:cs="Calibri"/>
          <w:szCs w:val="24"/>
        </w:rPr>
        <w:t>Participants will be invited to join individual sessions from ITU members and relevant non-</w:t>
      </w:r>
      <w:r w:rsidRPr="006B06B0">
        <w:rPr>
          <w:rFonts w:eastAsia="Calibri"/>
        </w:rPr>
        <w:t>members</w:t>
      </w:r>
      <w:r w:rsidRPr="00C6576F">
        <w:rPr>
          <w:rFonts w:eastAsia="Calibri" w:cs="Calibri"/>
          <w:szCs w:val="24"/>
        </w:rPr>
        <w:t xml:space="preserve"> (including potential future members), subject-matter experts from private sector policy teams, Member State representatives including regulatory authorities, </w:t>
      </w:r>
      <w:proofErr w:type="spellStart"/>
      <w:r w:rsidRPr="00C6576F">
        <w:rPr>
          <w:rFonts w:eastAsia="Calibri" w:cs="Calibri"/>
          <w:szCs w:val="24"/>
        </w:rPr>
        <w:t>CSOs</w:t>
      </w:r>
      <w:proofErr w:type="spellEnd"/>
      <w:r w:rsidRPr="00C6576F">
        <w:rPr>
          <w:rFonts w:eastAsia="Calibri" w:cs="Calibri"/>
          <w:szCs w:val="24"/>
        </w:rPr>
        <w:t xml:space="preserve"> and relevant COP stakeholders. </w:t>
      </w:r>
    </w:p>
    <w:p w14:paraId="7D5FDD63" w14:textId="2D2D1620" w:rsidR="00C6576F" w:rsidRPr="0056188F" w:rsidRDefault="00C6576F" w:rsidP="0056188F">
      <w:pPr>
        <w:pStyle w:val="Headingb"/>
        <w:rPr>
          <w:rFonts w:eastAsia="Calibri"/>
        </w:rPr>
      </w:pPr>
      <w:r w:rsidRPr="0056188F">
        <w:rPr>
          <w:rFonts w:eastAsia="Calibri"/>
        </w:rPr>
        <w:t>Content</w:t>
      </w:r>
    </w:p>
    <w:p w14:paraId="61BD0BFC" w14:textId="77777777" w:rsidR="00C6576F" w:rsidRPr="00C6576F" w:rsidRDefault="00C6576F" w:rsidP="006B06B0">
      <w:pPr>
        <w:jc w:val="both"/>
        <w:rPr>
          <w:rFonts w:eastAsia="Calibri" w:cs="Calibri"/>
          <w:szCs w:val="24"/>
        </w:rPr>
      </w:pPr>
      <w:r w:rsidRPr="00C6576F">
        <w:rPr>
          <w:rFonts w:eastAsia="Calibri" w:cs="Calibri"/>
          <w:szCs w:val="24"/>
        </w:rPr>
        <w:t xml:space="preserve">While risks to children often span multiple platforms simultaneously—such as social media, gaming platforms, including those using VR and AR as well as AI tools—and are relevant across </w:t>
      </w:r>
      <w:r w:rsidRPr="006B06B0">
        <w:rPr>
          <w:rFonts w:eastAsia="Calibri"/>
        </w:rPr>
        <w:t>various</w:t>
      </w:r>
      <w:r w:rsidRPr="00C6576F">
        <w:rPr>
          <w:rFonts w:eastAsia="Calibri" w:cs="Calibri"/>
          <w:szCs w:val="24"/>
        </w:rPr>
        <w:t xml:space="preserve"> digital spaces, the proposed approach will enable sectors to discuss with platforms within the same type of sector. This ensures that good practices can be effectively transferred and adapted.  </w:t>
      </w:r>
    </w:p>
    <w:p w14:paraId="2C81A77A" w14:textId="77777777" w:rsidR="00C6576F" w:rsidRPr="00C6576F" w:rsidRDefault="00C6576F" w:rsidP="006B06B0">
      <w:pPr>
        <w:jc w:val="both"/>
        <w:rPr>
          <w:rFonts w:eastAsia="Calibri" w:cs="Calibri"/>
          <w:szCs w:val="24"/>
        </w:rPr>
      </w:pPr>
      <w:r w:rsidRPr="006B06B0">
        <w:rPr>
          <w:rFonts w:eastAsia="Calibri"/>
        </w:rPr>
        <w:t>Therefore</w:t>
      </w:r>
      <w:r w:rsidRPr="00C6576F">
        <w:rPr>
          <w:rFonts w:eastAsia="Calibri" w:cs="Calibri"/>
          <w:szCs w:val="24"/>
        </w:rPr>
        <w:t xml:space="preserve">, to facilitate relevant and targeted discussions, each session will focus on a specific type of sector, such as </w:t>
      </w:r>
      <w:r w:rsidRPr="00C6576F">
        <w:rPr>
          <w:rFonts w:eastAsia="Calibri" w:cs="Calibri"/>
          <w:b/>
          <w:bCs/>
          <w:szCs w:val="24"/>
        </w:rPr>
        <w:t>AI-driven platforms, social media platforms, gaming platforms, streaming services, and educational technology platforms</w:t>
      </w:r>
      <w:r w:rsidRPr="00C6576F">
        <w:rPr>
          <w:rFonts w:eastAsia="Calibri" w:cs="Calibri"/>
          <w:szCs w:val="24"/>
        </w:rPr>
        <w:t>, among others. These sector-</w:t>
      </w:r>
      <w:r w:rsidRPr="00C6576F">
        <w:rPr>
          <w:rFonts w:eastAsia="Calibri" w:cs="Calibri"/>
          <w:szCs w:val="24"/>
        </w:rPr>
        <w:lastRenderedPageBreak/>
        <w:t xml:space="preserve">specific sessions will provide participants with the opportunity to share and discuss their initiatives addressing a </w:t>
      </w:r>
      <w:r w:rsidRPr="00C6576F">
        <w:rPr>
          <w:rFonts w:eastAsia="Calibri" w:cs="Calibri"/>
          <w:b/>
          <w:bCs/>
          <w:szCs w:val="24"/>
        </w:rPr>
        <w:t>wide range of online risks and harms, including, but not limited to, online violence, exposure to harmful or inappropriate content, privacy breaches and risks associated with AI and emerging technologies</w:t>
      </w:r>
      <w:r w:rsidRPr="00C6576F">
        <w:rPr>
          <w:rFonts w:eastAsia="Calibri" w:cs="Calibri"/>
          <w:szCs w:val="24"/>
        </w:rPr>
        <w:t xml:space="preserve">. </w:t>
      </w:r>
    </w:p>
    <w:p w14:paraId="0502C080" w14:textId="77777777" w:rsidR="00C6576F" w:rsidRPr="00C6576F" w:rsidRDefault="00C6576F" w:rsidP="006B06B0">
      <w:pPr>
        <w:jc w:val="both"/>
        <w:rPr>
          <w:rFonts w:eastAsia="Calibri" w:cs="Calibri"/>
          <w:szCs w:val="24"/>
        </w:rPr>
      </w:pPr>
      <w:r w:rsidRPr="00C6576F">
        <w:rPr>
          <w:rFonts w:eastAsia="Calibri" w:cs="Calibri"/>
          <w:szCs w:val="24"/>
        </w:rPr>
        <w:t xml:space="preserve">This approach ensures that while discussions remain highly relevant to each sector, broader </w:t>
      </w:r>
      <w:r w:rsidRPr="006B06B0">
        <w:rPr>
          <w:rFonts w:eastAsia="Calibri"/>
        </w:rPr>
        <w:t>thematic</w:t>
      </w:r>
      <w:r w:rsidRPr="00C6576F">
        <w:rPr>
          <w:rFonts w:eastAsia="Calibri" w:cs="Calibri"/>
          <w:szCs w:val="24"/>
        </w:rPr>
        <w:t xml:space="preserve"> issues and shared challenges are also addressed, fostering comprehensive and collaborative solutions across the digital environment.</w:t>
      </w:r>
    </w:p>
    <w:p w14:paraId="559FA56C" w14:textId="45795FC6" w:rsidR="00C6576F" w:rsidRDefault="00C6576F" w:rsidP="006B06B0">
      <w:pPr>
        <w:pStyle w:val="Headingb"/>
        <w:rPr>
          <w:rFonts w:eastAsia="Calibri"/>
        </w:rPr>
      </w:pPr>
      <w:r w:rsidRPr="00C6576F">
        <w:rPr>
          <w:rFonts w:eastAsia="Calibri"/>
        </w:rPr>
        <w:t xml:space="preserve">Expected </w:t>
      </w:r>
      <w:r w:rsidR="0056188F" w:rsidRPr="00C6576F">
        <w:rPr>
          <w:rFonts w:eastAsia="Calibri"/>
        </w:rPr>
        <w:t>outcomes</w:t>
      </w:r>
    </w:p>
    <w:p w14:paraId="5EDD1978" w14:textId="1647EF19" w:rsidR="00C6576F" w:rsidRPr="006B06B0" w:rsidRDefault="006B06B0" w:rsidP="006B06B0">
      <w:pPr>
        <w:pStyle w:val="enumlev1"/>
        <w:jc w:val="both"/>
      </w:pPr>
      <w:r w:rsidRPr="00C6576F">
        <w:rPr>
          <w:rFonts w:ascii="Symbol" w:hAnsi="Symbol"/>
        </w:rPr>
        <w:t></w:t>
      </w:r>
      <w:r w:rsidRPr="00C6576F">
        <w:rPr>
          <w:rFonts w:ascii="Symbol" w:hAnsi="Symbol"/>
        </w:rPr>
        <w:tab/>
      </w:r>
      <w:r w:rsidR="00C6576F" w:rsidRPr="006B06B0">
        <w:t>Enhanced understanding of industry-specific challenges and solutions in COP.</w:t>
      </w:r>
    </w:p>
    <w:p w14:paraId="0475C881" w14:textId="4BC850F1" w:rsidR="00C6576F" w:rsidRPr="006B06B0" w:rsidRDefault="006B06B0" w:rsidP="006B06B0">
      <w:pPr>
        <w:pStyle w:val="enumlev1"/>
        <w:jc w:val="both"/>
      </w:pPr>
      <w:r w:rsidRPr="00C6576F">
        <w:rPr>
          <w:rFonts w:ascii="Symbol" w:hAnsi="Symbol"/>
        </w:rPr>
        <w:t></w:t>
      </w:r>
      <w:r w:rsidRPr="00C6576F">
        <w:rPr>
          <w:rFonts w:ascii="Symbol" w:hAnsi="Symbol"/>
        </w:rPr>
        <w:tab/>
      </w:r>
      <w:r w:rsidR="00C6576F" w:rsidRPr="006B06B0">
        <w:t>Strengthened collaboration between Member States, the private sector, and other stakeholders.</w:t>
      </w:r>
    </w:p>
    <w:p w14:paraId="633ABEEE" w14:textId="0F7173AE" w:rsidR="00C6576F" w:rsidRPr="006B06B0" w:rsidRDefault="006B06B0" w:rsidP="006B06B0">
      <w:pPr>
        <w:pStyle w:val="enumlev1"/>
        <w:jc w:val="both"/>
        <w:rPr>
          <w:rFonts w:eastAsia="Calibri"/>
        </w:rPr>
      </w:pPr>
      <w:r>
        <w:rPr>
          <w:rFonts w:ascii="Symbol" w:eastAsia="Calibri" w:hAnsi="Symbol"/>
        </w:rPr>
        <w:t></w:t>
      </w:r>
      <w:r>
        <w:rPr>
          <w:rFonts w:ascii="Symbol" w:eastAsia="Calibri" w:hAnsi="Symbol"/>
        </w:rPr>
        <w:tab/>
      </w:r>
      <w:r w:rsidR="00C6576F" w:rsidRPr="006B06B0">
        <w:rPr>
          <w:rFonts w:eastAsia="Calibri"/>
        </w:rPr>
        <w:t>Actionable recommendations for advancing COP strategies globally through collaborative, multi-stakeholder approaches.</w:t>
      </w:r>
    </w:p>
    <w:p w14:paraId="38135293" w14:textId="4253C503" w:rsidR="00C6576F" w:rsidRPr="00C6576F" w:rsidRDefault="00C6576F" w:rsidP="00C6576F">
      <w:pPr>
        <w:tabs>
          <w:tab w:val="clear" w:pos="567"/>
          <w:tab w:val="clear" w:pos="1134"/>
          <w:tab w:val="clear" w:pos="1701"/>
          <w:tab w:val="clear" w:pos="2268"/>
          <w:tab w:val="clear" w:pos="2835"/>
        </w:tabs>
        <w:overflowPunct/>
        <w:autoSpaceDE/>
        <w:autoSpaceDN/>
        <w:adjustRightInd/>
        <w:spacing w:before="600" w:line="259" w:lineRule="auto"/>
        <w:jc w:val="center"/>
        <w:textAlignment w:val="auto"/>
        <w:rPr>
          <w:rFonts w:eastAsia="Calibri" w:cs="Calibri"/>
          <w:szCs w:val="24"/>
        </w:rPr>
      </w:pPr>
      <w:r>
        <w:rPr>
          <w:rFonts w:eastAsia="Calibri" w:cs="Calibri"/>
          <w:szCs w:val="24"/>
        </w:rPr>
        <w:t>___________________</w:t>
      </w:r>
    </w:p>
    <w:sectPr w:rsidR="00C6576F" w:rsidRPr="00C6576F" w:rsidSect="00AD3606">
      <w:headerReference w:type="default" r:id="rId11"/>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4AF7" w14:textId="77777777" w:rsidR="00F565DE" w:rsidRDefault="00F565DE">
      <w:r>
        <w:separator/>
      </w:r>
    </w:p>
  </w:endnote>
  <w:endnote w:type="continuationSeparator" w:id="0">
    <w:p w14:paraId="1C03D47A" w14:textId="77777777" w:rsidR="00F565DE" w:rsidRDefault="00F5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38BF1C24" w14:textId="77777777" w:rsidTr="0042469C">
      <w:trPr>
        <w:jc w:val="center"/>
      </w:trPr>
      <w:tc>
        <w:tcPr>
          <w:tcW w:w="1803" w:type="dxa"/>
          <w:vAlign w:val="center"/>
        </w:tcPr>
        <w:p w14:paraId="6F67D525" w14:textId="77777777" w:rsidR="00EE49E8" w:rsidRDefault="00EE49E8" w:rsidP="00EE49E8">
          <w:pPr>
            <w:pStyle w:val="Header"/>
            <w:jc w:val="left"/>
            <w:rPr>
              <w:noProof/>
            </w:rPr>
          </w:pPr>
        </w:p>
      </w:tc>
      <w:tc>
        <w:tcPr>
          <w:tcW w:w="8261" w:type="dxa"/>
        </w:tcPr>
        <w:p w14:paraId="7D68CE4B" w14:textId="35BE4FFE" w:rsidR="00EE49E8" w:rsidRPr="00EF653B" w:rsidRDefault="00EE49E8" w:rsidP="00301AEE">
          <w:pPr>
            <w:pStyle w:val="Header"/>
            <w:tabs>
              <w:tab w:val="left" w:pos="6025"/>
              <w:tab w:val="right" w:pos="8505"/>
              <w:tab w:val="right" w:pos="9639"/>
            </w:tabs>
            <w:jc w:val="left"/>
            <w:rPr>
              <w:rFonts w:ascii="Arial" w:hAnsi="Arial" w:cs="Arial"/>
              <w:b/>
              <w:bCs/>
              <w:szCs w:val="18"/>
            </w:rPr>
          </w:pPr>
          <w:r w:rsidRPr="005C13D4">
            <w:rPr>
              <w:bCs/>
              <w:lang w:val="fr-CH"/>
            </w:rPr>
            <w:tab/>
          </w:r>
          <w:r w:rsidR="00A52C84" w:rsidRPr="00EF653B">
            <w:rPr>
              <w:bCs/>
            </w:rPr>
            <w:t>CWG-</w:t>
          </w:r>
          <w:r w:rsidR="0025570E" w:rsidRPr="00EF653B">
            <w:rPr>
              <w:bCs/>
            </w:rPr>
            <w:t>COP</w:t>
          </w:r>
          <w:r w:rsidR="00A52C84" w:rsidRPr="00EF653B">
            <w:rPr>
              <w:bCs/>
            </w:rPr>
            <w:t>-</w:t>
          </w:r>
          <w:r w:rsidR="0025570E" w:rsidRPr="00EF653B">
            <w:rPr>
              <w:bCs/>
            </w:rPr>
            <w:t>22</w:t>
          </w:r>
          <w:r w:rsidR="00A52C84" w:rsidRPr="00EF653B">
            <w:rPr>
              <w:bCs/>
            </w:rPr>
            <w:t>/</w:t>
          </w:r>
          <w:r w:rsidR="00301AEE" w:rsidRPr="00EF653B">
            <w:rPr>
              <w:bCs/>
            </w:rPr>
            <w:t>INF/</w:t>
          </w:r>
          <w:r w:rsidR="00C6576F">
            <w:rPr>
              <w:bCs/>
            </w:rPr>
            <w:t>1</w:t>
          </w:r>
          <w:r w:rsidR="00A52C84" w:rsidRPr="00EF653B">
            <w:rPr>
              <w:bCs/>
            </w:rPr>
            <w:t>-E</w:t>
          </w:r>
          <w:r w:rsidRPr="00EF653B">
            <w:rPr>
              <w:bCs/>
            </w:rPr>
            <w:tab/>
          </w:r>
          <w:r>
            <w:fldChar w:fldCharType="begin"/>
          </w:r>
          <w:r w:rsidRPr="00EF653B">
            <w:instrText>PAGE</w:instrText>
          </w:r>
          <w:r>
            <w:fldChar w:fldCharType="separate"/>
          </w:r>
          <w:r w:rsidRPr="00EF653B">
            <w:t>1</w:t>
          </w:r>
          <w:r>
            <w:rPr>
              <w:noProof/>
            </w:rPr>
            <w:fldChar w:fldCharType="end"/>
          </w:r>
        </w:p>
      </w:tc>
    </w:tr>
  </w:tbl>
  <w:p w14:paraId="16A76586" w14:textId="77777777" w:rsidR="00EE49E8" w:rsidRPr="00EF653B"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27CFAF49" w14:textId="77777777" w:rsidTr="00A52C84">
      <w:trPr>
        <w:jc w:val="center"/>
      </w:trPr>
      <w:tc>
        <w:tcPr>
          <w:tcW w:w="3107" w:type="dxa"/>
          <w:vAlign w:val="center"/>
        </w:tcPr>
        <w:p w14:paraId="31792F99" w14:textId="77777777" w:rsidR="00EE49E8" w:rsidRPr="00991282" w:rsidRDefault="0025570E" w:rsidP="00EE49E8">
          <w:pPr>
            <w:pStyle w:val="Header"/>
            <w:jc w:val="left"/>
            <w:rPr>
              <w:noProof/>
            </w:rPr>
          </w:pPr>
          <w:hyperlink r:id="rId1" w:history="1">
            <w:r w:rsidRPr="00991282">
              <w:rPr>
                <w:rStyle w:val="Hyperlink"/>
                <w:u w:val="none"/>
              </w:rPr>
              <w:t>https://council.itu.int/working-groups</w:t>
            </w:r>
          </w:hyperlink>
        </w:p>
      </w:tc>
      <w:tc>
        <w:tcPr>
          <w:tcW w:w="6957" w:type="dxa"/>
        </w:tcPr>
        <w:p w14:paraId="1123DC86" w14:textId="2D942DCE" w:rsidR="00EE49E8" w:rsidRPr="00EF653B" w:rsidRDefault="00EE49E8" w:rsidP="00F10B59">
          <w:pPr>
            <w:pStyle w:val="Header"/>
            <w:tabs>
              <w:tab w:val="left" w:pos="4724"/>
              <w:tab w:val="right" w:pos="8505"/>
              <w:tab w:val="right" w:pos="9639"/>
            </w:tabs>
            <w:jc w:val="left"/>
            <w:rPr>
              <w:rFonts w:ascii="Arial" w:hAnsi="Arial" w:cs="Arial"/>
              <w:b/>
              <w:bCs/>
              <w:szCs w:val="18"/>
            </w:rPr>
          </w:pPr>
          <w:r>
            <w:rPr>
              <w:bCs/>
            </w:rPr>
            <w:tab/>
          </w:r>
          <w:r w:rsidRPr="00EF653B">
            <w:rPr>
              <w:bCs/>
            </w:rPr>
            <w:t>C</w:t>
          </w:r>
          <w:r w:rsidR="00A52C84" w:rsidRPr="00EF653B">
            <w:rPr>
              <w:bCs/>
            </w:rPr>
            <w:t>WG-</w:t>
          </w:r>
          <w:r w:rsidR="0025570E" w:rsidRPr="00EF653B">
            <w:rPr>
              <w:bCs/>
            </w:rPr>
            <w:t>COP</w:t>
          </w:r>
          <w:r w:rsidR="00A52C84" w:rsidRPr="00EF653B">
            <w:rPr>
              <w:bCs/>
            </w:rPr>
            <w:t>-</w:t>
          </w:r>
          <w:r w:rsidR="0025570E" w:rsidRPr="00EF653B">
            <w:rPr>
              <w:bCs/>
            </w:rPr>
            <w:t>22</w:t>
          </w:r>
          <w:r w:rsidRPr="00EF653B">
            <w:rPr>
              <w:bCs/>
            </w:rPr>
            <w:t>/</w:t>
          </w:r>
          <w:r w:rsidR="00301AEE" w:rsidRPr="00EF653B">
            <w:rPr>
              <w:bCs/>
            </w:rPr>
            <w:t>INF/</w:t>
          </w:r>
          <w:r w:rsidR="00C6576F">
            <w:rPr>
              <w:bCs/>
            </w:rPr>
            <w:t>1</w:t>
          </w:r>
          <w:r w:rsidRPr="00EF653B">
            <w:rPr>
              <w:bCs/>
            </w:rPr>
            <w:t>-E</w:t>
          </w:r>
          <w:r w:rsidRPr="00EF653B">
            <w:rPr>
              <w:bCs/>
            </w:rPr>
            <w:tab/>
          </w:r>
          <w:r>
            <w:fldChar w:fldCharType="begin"/>
          </w:r>
          <w:r w:rsidRPr="00EF653B">
            <w:instrText>PAGE</w:instrText>
          </w:r>
          <w:r>
            <w:fldChar w:fldCharType="separate"/>
          </w:r>
          <w:r w:rsidRPr="00EF653B">
            <w:t>1</w:t>
          </w:r>
          <w:r>
            <w:rPr>
              <w:noProof/>
            </w:rPr>
            <w:fldChar w:fldCharType="end"/>
          </w:r>
        </w:p>
      </w:tc>
    </w:tr>
  </w:tbl>
  <w:p w14:paraId="65845C9B" w14:textId="77777777" w:rsidR="00A514A4" w:rsidRPr="00EF653B"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DB92B" w14:textId="77777777" w:rsidR="00F565DE" w:rsidRDefault="00F565DE">
      <w:r>
        <w:t>____________________</w:t>
      </w:r>
    </w:p>
  </w:footnote>
  <w:footnote w:type="continuationSeparator" w:id="0">
    <w:p w14:paraId="1BFEB729" w14:textId="77777777" w:rsidR="00F565DE" w:rsidRDefault="00F565DE">
      <w:r>
        <w:continuationSeparator/>
      </w:r>
    </w:p>
  </w:footnote>
  <w:footnote w:id="1">
    <w:p w14:paraId="1EF9D4ED" w14:textId="4DCC3FB5" w:rsidR="00C6576F" w:rsidRDefault="00C6576F" w:rsidP="00C6576F">
      <w:pPr>
        <w:pStyle w:val="FootnoteText"/>
      </w:pPr>
      <w:r w:rsidRPr="15C228D3">
        <w:rPr>
          <w:rStyle w:val="FootnoteReference"/>
        </w:rPr>
        <w:footnoteRef/>
      </w:r>
      <w:r>
        <w:t xml:space="preserve"> </w:t>
      </w:r>
      <w:r>
        <w:tab/>
      </w:r>
      <w:r w:rsidRPr="00C6576F">
        <w:rPr>
          <w:sz w:val="20"/>
        </w:rPr>
        <w:t xml:space="preserve">BBC, 2024, </w:t>
      </w:r>
      <w:hyperlink r:id="rId1">
        <w:r w:rsidRPr="00C6576F">
          <w:rPr>
            <w:rStyle w:val="Hyperlink"/>
            <w:sz w:val="20"/>
          </w:rPr>
          <w:t>Australia approves social media ban on under-</w:t>
        </w:r>
        <w:proofErr w:type="spellStart"/>
        <w:r w:rsidRPr="00C6576F">
          <w:rPr>
            <w:rStyle w:val="Hyperlink"/>
            <w:sz w:val="20"/>
          </w:rPr>
          <w:t>16s</w:t>
        </w:r>
        <w:proofErr w:type="spellEnd"/>
      </w:hyperlink>
      <w:r w:rsidRPr="00C6576F">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B220" w14:textId="4C49155A" w:rsidR="00991282" w:rsidRDefault="00C6576F" w:rsidP="00C6576F">
    <w:pPr>
      <w:pStyle w:val="Header"/>
      <w:spacing w:after="240"/>
    </w:pPr>
    <w:r>
      <w:rPr>
        <w:noProof/>
      </w:rPr>
      <w:drawing>
        <wp:inline distT="0" distB="0" distL="0" distR="0" wp14:anchorId="2AC50B04" wp14:editId="5CC54824">
          <wp:extent cx="576877" cy="635885"/>
          <wp:effectExtent l="0" t="0" r="0" b="0"/>
          <wp:docPr id="1752871577"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71577" name="Picture 1" descr="A blue logo with a black background&#10;&#10;Description automatically generated"/>
                  <pic:cNvPicPr/>
                </pic:nvPicPr>
                <pic:blipFill>
                  <a:blip r:embed="rId1"/>
                  <a:stretch>
                    <a:fillRect/>
                  </a:stretch>
                </pic:blipFill>
                <pic:spPr>
                  <a:xfrm>
                    <a:off x="0" y="0"/>
                    <a:ext cx="588769" cy="6489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B4C5E3A" w14:textId="77777777" w:rsidTr="00F74694">
      <w:trPr>
        <w:trHeight w:val="1304"/>
        <w:jc w:val="center"/>
      </w:trPr>
      <w:tc>
        <w:tcPr>
          <w:tcW w:w="6546" w:type="dxa"/>
        </w:tcPr>
        <w:p w14:paraId="11BE3643" w14:textId="77777777" w:rsidR="00AD3606" w:rsidRPr="009621F8" w:rsidRDefault="00991282"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5C8BCC5E" wp14:editId="7A2C211D">
                    <wp:simplePos x="0" y="0"/>
                    <wp:positionH relativeFrom="column">
                      <wp:posOffset>1427424</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748C8DD8"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72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8BCC5E" id="_x0000_t202" coordsize="21600,21600" o:spt="202" path="m,l,21600r21600,l21600,xe">
                    <v:stroke joinstyle="miter"/>
                    <v:path gradientshapeok="t" o:connecttype="rect"/>
                  </v:shapetype>
                  <v:shape id="Text Box 2" o:spid="_x0000_s1026" type="#_x0000_t202" style="position:absolute;margin-left:112.4pt;margin-top:.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" fillcolor="white [3212]" stroked="f">
                    <v:textbox style="mso-fit-shape-to-text:t" inset="1mm,,2mm">
                      <w:txbxContent>
                        <w:p w14:paraId="748C8DD8"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rPr>
            <w:drawing>
              <wp:inline distT="0" distB="0" distL="0" distR="0" wp14:anchorId="09FF561E" wp14:editId="239764B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9345B97" w14:textId="77777777" w:rsidR="00AD3606" w:rsidRDefault="00AD3606" w:rsidP="00AD3606">
          <w:pPr>
            <w:pStyle w:val="Header"/>
            <w:jc w:val="right"/>
            <w:rPr>
              <w:rFonts w:ascii="Arial" w:hAnsi="Arial" w:cs="Arial"/>
              <w:b/>
              <w:bCs/>
              <w:color w:val="009CD6"/>
              <w:szCs w:val="18"/>
            </w:rPr>
          </w:pPr>
        </w:p>
        <w:p w14:paraId="78AA92FC" w14:textId="77777777" w:rsidR="00AD3606" w:rsidRDefault="00AD3606" w:rsidP="00AD3606">
          <w:pPr>
            <w:pStyle w:val="Header"/>
            <w:jc w:val="right"/>
            <w:rPr>
              <w:rFonts w:ascii="Arial" w:hAnsi="Arial" w:cs="Arial"/>
              <w:b/>
              <w:bCs/>
              <w:color w:val="009CD6"/>
              <w:szCs w:val="18"/>
            </w:rPr>
          </w:pPr>
        </w:p>
        <w:p w14:paraId="42D5B34D"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BC794F6"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1FE78BA" wp14:editId="1A6A214F">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A12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D91520"/>
    <w:multiLevelType w:val="hybridMultilevel"/>
    <w:tmpl w:val="6818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34697"/>
    <w:multiLevelType w:val="multilevel"/>
    <w:tmpl w:val="B26E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13D5C"/>
    <w:multiLevelType w:val="multilevel"/>
    <w:tmpl w:val="D0FA9B38"/>
    <w:lvl w:ilvl="0">
      <w:start w:val="1"/>
      <w:numFmt w:val="bullet"/>
      <w:lvlText w:val=""/>
      <w:lvlJc w:val="left"/>
      <w:pPr>
        <w:tabs>
          <w:tab w:val="num" w:pos="720"/>
        </w:tabs>
        <w:ind w:left="720" w:hanging="360"/>
      </w:pPr>
      <w:rPr>
        <w:rFonts w:ascii="Symbol" w:hAnsi="Symbol" w:hint="default"/>
        <w:sz w:val="20"/>
      </w:rPr>
    </w:lvl>
    <w:lvl w:ilvl="1">
      <w:start w:val="1040"/>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72050"/>
    <w:multiLevelType w:val="multilevel"/>
    <w:tmpl w:val="629430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hAnsi="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50924873">
    <w:abstractNumId w:val="4"/>
  </w:num>
  <w:num w:numId="3" w16cid:durableId="2017028020">
    <w:abstractNumId w:val="2"/>
  </w:num>
  <w:num w:numId="4" w16cid:durableId="231545444">
    <w:abstractNumId w:val="3"/>
  </w:num>
  <w:num w:numId="5" w16cid:durableId="165433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DE"/>
    <w:rsid w:val="000120E4"/>
    <w:rsid w:val="000210D4"/>
    <w:rsid w:val="00063016"/>
    <w:rsid w:val="00066795"/>
    <w:rsid w:val="00076AF6"/>
    <w:rsid w:val="00085CF2"/>
    <w:rsid w:val="000B1705"/>
    <w:rsid w:val="000D0A0C"/>
    <w:rsid w:val="000D75B2"/>
    <w:rsid w:val="000F7B2B"/>
    <w:rsid w:val="001121F5"/>
    <w:rsid w:val="00130599"/>
    <w:rsid w:val="001400DC"/>
    <w:rsid w:val="00140CE1"/>
    <w:rsid w:val="001424F2"/>
    <w:rsid w:val="00147C54"/>
    <w:rsid w:val="0017539C"/>
    <w:rsid w:val="00175AC2"/>
    <w:rsid w:val="0017609F"/>
    <w:rsid w:val="001A7D1D"/>
    <w:rsid w:val="001B51DD"/>
    <w:rsid w:val="001C628E"/>
    <w:rsid w:val="001E0F7B"/>
    <w:rsid w:val="001E0FBE"/>
    <w:rsid w:val="001E5FE7"/>
    <w:rsid w:val="002119FD"/>
    <w:rsid w:val="002130E0"/>
    <w:rsid w:val="0022065C"/>
    <w:rsid w:val="00244F7F"/>
    <w:rsid w:val="0025570E"/>
    <w:rsid w:val="00264425"/>
    <w:rsid w:val="00265875"/>
    <w:rsid w:val="0027303B"/>
    <w:rsid w:val="0028109B"/>
    <w:rsid w:val="002946F2"/>
    <w:rsid w:val="002A2188"/>
    <w:rsid w:val="002B1F58"/>
    <w:rsid w:val="002C1C7A"/>
    <w:rsid w:val="002C54E2"/>
    <w:rsid w:val="002E0AC3"/>
    <w:rsid w:val="002F7F69"/>
    <w:rsid w:val="0030160F"/>
    <w:rsid w:val="00301AEE"/>
    <w:rsid w:val="00307597"/>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311D6"/>
    <w:rsid w:val="00536422"/>
    <w:rsid w:val="005614A2"/>
    <w:rsid w:val="0056188F"/>
    <w:rsid w:val="00564FBC"/>
    <w:rsid w:val="005800BC"/>
    <w:rsid w:val="00582442"/>
    <w:rsid w:val="005A335D"/>
    <w:rsid w:val="005C13D4"/>
    <w:rsid w:val="005E2BD5"/>
    <w:rsid w:val="005F3269"/>
    <w:rsid w:val="00615961"/>
    <w:rsid w:val="00623AE3"/>
    <w:rsid w:val="0064737F"/>
    <w:rsid w:val="006535F1"/>
    <w:rsid w:val="0065557D"/>
    <w:rsid w:val="00660D50"/>
    <w:rsid w:val="00662984"/>
    <w:rsid w:val="006716BB"/>
    <w:rsid w:val="006B06B0"/>
    <w:rsid w:val="006B1859"/>
    <w:rsid w:val="006B6680"/>
    <w:rsid w:val="006B6DCC"/>
    <w:rsid w:val="00701C70"/>
    <w:rsid w:val="00702DEF"/>
    <w:rsid w:val="00706861"/>
    <w:rsid w:val="0075051B"/>
    <w:rsid w:val="00775655"/>
    <w:rsid w:val="00793188"/>
    <w:rsid w:val="00794D34"/>
    <w:rsid w:val="00806E3C"/>
    <w:rsid w:val="00813E5E"/>
    <w:rsid w:val="00816C2C"/>
    <w:rsid w:val="0083581B"/>
    <w:rsid w:val="008432EA"/>
    <w:rsid w:val="00860EED"/>
    <w:rsid w:val="00863874"/>
    <w:rsid w:val="00864AFF"/>
    <w:rsid w:val="00865925"/>
    <w:rsid w:val="00891503"/>
    <w:rsid w:val="008B4A6A"/>
    <w:rsid w:val="008C7E27"/>
    <w:rsid w:val="008F3822"/>
    <w:rsid w:val="008F7448"/>
    <w:rsid w:val="0090147A"/>
    <w:rsid w:val="0090389B"/>
    <w:rsid w:val="009173EF"/>
    <w:rsid w:val="00932906"/>
    <w:rsid w:val="00961860"/>
    <w:rsid w:val="00961B0B"/>
    <w:rsid w:val="00962D33"/>
    <w:rsid w:val="00991282"/>
    <w:rsid w:val="009B38C3"/>
    <w:rsid w:val="009E17BD"/>
    <w:rsid w:val="009E485A"/>
    <w:rsid w:val="00A04CEC"/>
    <w:rsid w:val="00A27F92"/>
    <w:rsid w:val="00A32257"/>
    <w:rsid w:val="00A36D20"/>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C01189"/>
    <w:rsid w:val="00C374DE"/>
    <w:rsid w:val="00C47AD4"/>
    <w:rsid w:val="00C52D81"/>
    <w:rsid w:val="00C55198"/>
    <w:rsid w:val="00C55D78"/>
    <w:rsid w:val="00C6576F"/>
    <w:rsid w:val="00C725C6"/>
    <w:rsid w:val="00C922C7"/>
    <w:rsid w:val="00CA6393"/>
    <w:rsid w:val="00CB18FF"/>
    <w:rsid w:val="00CD0C08"/>
    <w:rsid w:val="00CD3C91"/>
    <w:rsid w:val="00CE03FB"/>
    <w:rsid w:val="00CE433C"/>
    <w:rsid w:val="00CF0161"/>
    <w:rsid w:val="00CF33F3"/>
    <w:rsid w:val="00D06183"/>
    <w:rsid w:val="00D20729"/>
    <w:rsid w:val="00D22C42"/>
    <w:rsid w:val="00D45669"/>
    <w:rsid w:val="00D464CC"/>
    <w:rsid w:val="00D522F6"/>
    <w:rsid w:val="00D65041"/>
    <w:rsid w:val="00DB00D5"/>
    <w:rsid w:val="00DB1936"/>
    <w:rsid w:val="00DB384B"/>
    <w:rsid w:val="00DF0189"/>
    <w:rsid w:val="00E03FA7"/>
    <w:rsid w:val="00E06FD5"/>
    <w:rsid w:val="00E10E80"/>
    <w:rsid w:val="00E124F0"/>
    <w:rsid w:val="00E227F3"/>
    <w:rsid w:val="00E4728B"/>
    <w:rsid w:val="00E545C6"/>
    <w:rsid w:val="00E60F04"/>
    <w:rsid w:val="00E65B24"/>
    <w:rsid w:val="00E854E4"/>
    <w:rsid w:val="00E86DBF"/>
    <w:rsid w:val="00EB0D6F"/>
    <w:rsid w:val="00EB2232"/>
    <w:rsid w:val="00EC5337"/>
    <w:rsid w:val="00EE49E8"/>
    <w:rsid w:val="00EF653B"/>
    <w:rsid w:val="00F10B59"/>
    <w:rsid w:val="00F16BAB"/>
    <w:rsid w:val="00F2150A"/>
    <w:rsid w:val="00F231D8"/>
    <w:rsid w:val="00F44C00"/>
    <w:rsid w:val="00F45D2C"/>
    <w:rsid w:val="00F46C5F"/>
    <w:rsid w:val="00F565DE"/>
    <w:rsid w:val="00F632C0"/>
    <w:rsid w:val="00F74694"/>
    <w:rsid w:val="00F86596"/>
    <w:rsid w:val="00F93FD4"/>
    <w:rsid w:val="00F94A63"/>
    <w:rsid w:val="00FA1C28"/>
    <w:rsid w:val="00FB1279"/>
    <w:rsid w:val="00FB6B76"/>
    <w:rsid w:val="00FB7596"/>
    <w:rsid w:val="00FE4077"/>
    <w:rsid w:val="00FE500D"/>
    <w:rsid w:val="00FE77D2"/>
    <w:rsid w:val="316E6753"/>
    <w:rsid w:val="56394A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DA74F"/>
  <w15:docId w15:val="{72DA4284-18DB-4513-8C15-1066A85A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991282"/>
    <w:rPr>
      <w:color w:val="666666"/>
    </w:rPr>
  </w:style>
  <w:style w:type="paragraph" w:styleId="ListParagraph">
    <w:name w:val="List Paragraph"/>
    <w:basedOn w:val="Normal"/>
    <w:uiPriority w:val="34"/>
    <w:qFormat/>
    <w:rsid w:val="00C6576F"/>
    <w:pPr>
      <w:ind w:left="720"/>
      <w:contextualSpacing/>
    </w:pPr>
  </w:style>
  <w:style w:type="paragraph" w:customStyle="1" w:styleId="enumlev1AsianCalibri">
    <w:name w:val="enumlev1 + (Asian) Calibri"/>
    <w:aliases w:val="(Complex) Calibri,(Complex) 12 pt"/>
    <w:basedOn w:val="enumlev1"/>
    <w:rsid w:val="0056188F"/>
    <w:pPr>
      <w:jc w:val="both"/>
    </w:pPr>
    <w:rPr>
      <w:rFonts w:eastAsia="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ing.com/ck/a?!&amp;&amp;p=f5ec92657d900170c2e21837c5c516d7a472214f6fb217dc69929d4f74db8c1cJmltdHM9MTczNDM5MzYwMA&amp;ptn=3&amp;ver=2&amp;hsh=4&amp;fclid=2f403610-0494-6e29-0385-252905656f3d&amp;psq=Australia+social+media+ban+children&amp;u=a1aHR0cHM6Ly93d3cuYmJjLmNvbS9uZXdzL2FydGljbGVzL2M4OXZqajBseHg5byM6fjp0ZXh0PUF1c3RyYWxpYSUyMHdpbGwlMjBiYW4lMjBjaGlsZHJlbiUyMHVuZGVyJTIwMTYlMjBmcm9tJTIwdXNpbmcsdG8lMjBBJTI0NTBtJTIwJTI4JTI0MzIuNW0lM0IlMjAlQzIlQTMyNS43bSUyOSUyMGlmJTIwdGhleSUyMGRvbiUyN3QlMjBjb21wbHku&amp;nt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F261-585C-4A3E-BE24-B49EB51651B2}">
  <ds:schemaRefs>
    <ds:schemaRef ds:uri="http://schemas.microsoft.com/sharepoint/v3/contenttype/forms"/>
  </ds:schemaRefs>
</ds:datastoreItem>
</file>

<file path=customXml/itemProps2.xml><?xml version="1.0" encoding="utf-8"?>
<ds:datastoreItem xmlns:ds="http://schemas.openxmlformats.org/officeDocument/2006/customXml" ds:itemID="{7A65AAA3-F228-4170-9877-5C645B9C1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5D2B0-D598-4D0F-9F6E-F40A42E7CC4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a1cf676c-2816-4389-ad5d-0f2e7c7e67c4"/>
    <ds:schemaRef ds:uri="http://purl.org/dc/terms/"/>
    <ds:schemaRef ds:uri="http://www.w3.org/XML/1998/namespace"/>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916</Words>
  <Characters>5817</Characters>
  <Application>Microsoft Office Word</Application>
  <DocSecurity>0</DocSecurity>
  <Lines>114</Lines>
  <Paragraphs>53</Paragraphs>
  <ScaleCrop>false</ScaleCrop>
  <Manager/>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Industry Connect: Quarterly intersectoral Discussions on Child Online Protection</dc:title>
  <dc:subject>ITU Council Working Group on child online protection</dc:subject>
  <dc:creator>LRT</dc:creator>
  <cp:keywords>CWG-COP</cp:keywords>
  <dc:description/>
  <cp:lastModifiedBy>LRT</cp:lastModifiedBy>
  <cp:revision>6</cp:revision>
  <dcterms:created xsi:type="dcterms:W3CDTF">2025-01-07T16:54:00Z</dcterms:created>
  <dcterms:modified xsi:type="dcterms:W3CDTF">2025-01-09T15:56:00Z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ies>
</file>