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147C54" w14:paraId="10B86344" w14:textId="77777777" w:rsidTr="00AD3606">
        <w:trPr>
          <w:cantSplit/>
          <w:trHeight w:val="23"/>
        </w:trPr>
        <w:tc>
          <w:tcPr>
            <w:tcW w:w="3969" w:type="dxa"/>
            <w:vMerge w:val="restart"/>
            <w:tcMar>
              <w:left w:w="0" w:type="dxa"/>
            </w:tcMar>
          </w:tcPr>
          <w:p w14:paraId="4744521D" w14:textId="77777777" w:rsidR="00AD3606" w:rsidRPr="00147C54"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30EFACE" w14:textId="7ED96636" w:rsidR="00AD3606" w:rsidRPr="00147C54" w:rsidRDefault="00AD3606" w:rsidP="00472BAD">
            <w:pPr>
              <w:tabs>
                <w:tab w:val="left" w:pos="851"/>
              </w:tabs>
              <w:spacing w:before="0" w:line="240" w:lineRule="atLeast"/>
              <w:jc w:val="right"/>
              <w:rPr>
                <w:b/>
              </w:rPr>
            </w:pPr>
            <w:r w:rsidRPr="00147C54">
              <w:rPr>
                <w:b/>
              </w:rPr>
              <w:t>Document C</w:t>
            </w:r>
            <w:r w:rsidR="00A52C84" w:rsidRPr="00147C54">
              <w:rPr>
                <w:b/>
              </w:rPr>
              <w:t>WG-</w:t>
            </w:r>
            <w:r w:rsidR="0025570E">
              <w:rPr>
                <w:b/>
              </w:rPr>
              <w:t>COP</w:t>
            </w:r>
            <w:r w:rsidR="00A52C84" w:rsidRPr="00147C54">
              <w:rPr>
                <w:b/>
              </w:rPr>
              <w:t>-</w:t>
            </w:r>
            <w:r w:rsidR="0025570E">
              <w:rPr>
                <w:b/>
              </w:rPr>
              <w:t>22</w:t>
            </w:r>
            <w:r w:rsidRPr="00147C54">
              <w:rPr>
                <w:b/>
              </w:rPr>
              <w:t>/</w:t>
            </w:r>
            <w:r w:rsidR="00E50349">
              <w:rPr>
                <w:b/>
              </w:rPr>
              <w:t>2</w:t>
            </w:r>
          </w:p>
        </w:tc>
      </w:tr>
      <w:tr w:rsidR="00AD3606" w:rsidRPr="00147C54" w14:paraId="77E94E52" w14:textId="77777777" w:rsidTr="00AD3606">
        <w:trPr>
          <w:cantSplit/>
        </w:trPr>
        <w:tc>
          <w:tcPr>
            <w:tcW w:w="3969" w:type="dxa"/>
            <w:vMerge/>
          </w:tcPr>
          <w:p w14:paraId="0CC4E48C" w14:textId="77777777" w:rsidR="00AD3606" w:rsidRPr="00147C54" w:rsidRDefault="00AD3606" w:rsidP="00AD3606">
            <w:pPr>
              <w:tabs>
                <w:tab w:val="left" w:pos="851"/>
              </w:tabs>
              <w:spacing w:line="240" w:lineRule="atLeast"/>
              <w:rPr>
                <w:b/>
              </w:rPr>
            </w:pPr>
            <w:bookmarkStart w:id="6" w:name="ddate" w:colFirst="1" w:colLast="1"/>
            <w:bookmarkEnd w:id="0"/>
            <w:bookmarkEnd w:id="1"/>
          </w:p>
        </w:tc>
        <w:tc>
          <w:tcPr>
            <w:tcW w:w="5245" w:type="dxa"/>
          </w:tcPr>
          <w:p w14:paraId="78809537" w14:textId="6BD11986" w:rsidR="00AD3606" w:rsidRPr="00147C54" w:rsidRDefault="00BA3A68" w:rsidP="00AD3606">
            <w:pPr>
              <w:tabs>
                <w:tab w:val="left" w:pos="851"/>
              </w:tabs>
              <w:spacing w:before="0"/>
              <w:jc w:val="right"/>
              <w:rPr>
                <w:b/>
              </w:rPr>
            </w:pPr>
            <w:r>
              <w:rPr>
                <w:b/>
              </w:rPr>
              <w:t>10</w:t>
            </w:r>
            <w:r w:rsidR="00F37C24">
              <w:rPr>
                <w:b/>
              </w:rPr>
              <w:t xml:space="preserve"> </w:t>
            </w:r>
            <w:r w:rsidR="00E50349">
              <w:rPr>
                <w:b/>
              </w:rPr>
              <w:t>January 2025</w:t>
            </w:r>
          </w:p>
        </w:tc>
      </w:tr>
      <w:tr w:rsidR="00AD3606" w:rsidRPr="00147C54" w14:paraId="1E53058D" w14:textId="77777777" w:rsidTr="00AD3606">
        <w:trPr>
          <w:cantSplit/>
          <w:trHeight w:val="23"/>
        </w:trPr>
        <w:tc>
          <w:tcPr>
            <w:tcW w:w="3969" w:type="dxa"/>
            <w:vMerge/>
          </w:tcPr>
          <w:p w14:paraId="4C6E9CFE" w14:textId="77777777" w:rsidR="00AD3606" w:rsidRPr="00147C54" w:rsidRDefault="00AD3606" w:rsidP="00AD3606">
            <w:pPr>
              <w:tabs>
                <w:tab w:val="left" w:pos="851"/>
              </w:tabs>
              <w:spacing w:line="240" w:lineRule="atLeast"/>
              <w:rPr>
                <w:b/>
              </w:rPr>
            </w:pPr>
            <w:bookmarkStart w:id="7" w:name="dorlang" w:colFirst="1" w:colLast="1"/>
            <w:bookmarkEnd w:id="6"/>
          </w:p>
        </w:tc>
        <w:tc>
          <w:tcPr>
            <w:tcW w:w="5245" w:type="dxa"/>
          </w:tcPr>
          <w:p w14:paraId="4A89AA31" w14:textId="77777777" w:rsidR="00AD3606" w:rsidRPr="00147C54" w:rsidRDefault="00891503" w:rsidP="00AD3606">
            <w:pPr>
              <w:tabs>
                <w:tab w:val="left" w:pos="851"/>
              </w:tabs>
              <w:spacing w:before="0" w:line="240" w:lineRule="atLeast"/>
              <w:jc w:val="right"/>
              <w:rPr>
                <w:b/>
              </w:rPr>
            </w:pPr>
            <w:r w:rsidRPr="00147C54">
              <w:rPr>
                <w:b/>
              </w:rPr>
              <w:t>English only</w:t>
            </w:r>
          </w:p>
        </w:tc>
      </w:tr>
      <w:tr w:rsidR="00472BAD" w:rsidRPr="00147C54" w14:paraId="508EFE44" w14:textId="77777777" w:rsidTr="00AD3606">
        <w:trPr>
          <w:cantSplit/>
          <w:trHeight w:val="23"/>
        </w:trPr>
        <w:tc>
          <w:tcPr>
            <w:tcW w:w="3969" w:type="dxa"/>
          </w:tcPr>
          <w:p w14:paraId="7208AD57" w14:textId="77777777" w:rsidR="00472BAD" w:rsidRPr="00147C54" w:rsidRDefault="00472BAD" w:rsidP="00AD3606">
            <w:pPr>
              <w:tabs>
                <w:tab w:val="left" w:pos="851"/>
              </w:tabs>
              <w:spacing w:line="240" w:lineRule="atLeast"/>
              <w:rPr>
                <w:b/>
              </w:rPr>
            </w:pPr>
          </w:p>
        </w:tc>
        <w:tc>
          <w:tcPr>
            <w:tcW w:w="5245" w:type="dxa"/>
          </w:tcPr>
          <w:p w14:paraId="51EEC882" w14:textId="77777777" w:rsidR="00472BAD" w:rsidRPr="00147C54" w:rsidRDefault="00472BAD" w:rsidP="00AD3606">
            <w:pPr>
              <w:tabs>
                <w:tab w:val="left" w:pos="851"/>
              </w:tabs>
              <w:spacing w:before="0" w:line="240" w:lineRule="atLeast"/>
              <w:jc w:val="right"/>
              <w:rPr>
                <w:b/>
              </w:rPr>
            </w:pPr>
          </w:p>
        </w:tc>
      </w:tr>
      <w:tr w:rsidR="00AD3606" w:rsidRPr="00147C54" w14:paraId="30046A79" w14:textId="77777777" w:rsidTr="00AD3606">
        <w:trPr>
          <w:cantSplit/>
        </w:trPr>
        <w:tc>
          <w:tcPr>
            <w:tcW w:w="9214" w:type="dxa"/>
            <w:gridSpan w:val="2"/>
            <w:tcMar>
              <w:left w:w="0" w:type="dxa"/>
            </w:tcMar>
          </w:tcPr>
          <w:p w14:paraId="18BD44C8" w14:textId="1D378FE0" w:rsidR="00AD3606" w:rsidRPr="00147C54" w:rsidRDefault="00147C54" w:rsidP="00E4728B">
            <w:pPr>
              <w:pStyle w:val="Source"/>
              <w:framePr w:hSpace="0" w:wrap="auto" w:vAnchor="margin" w:hAnchor="text" w:xAlign="left" w:yAlign="inline"/>
            </w:pPr>
            <w:bookmarkStart w:id="8" w:name="dsource" w:colFirst="0" w:colLast="0"/>
            <w:bookmarkEnd w:id="7"/>
            <w:r w:rsidRPr="000E65E8">
              <w:t>Report</w:t>
            </w:r>
            <w:r w:rsidR="000E65E8">
              <w:t xml:space="preserve"> </w:t>
            </w:r>
            <w:r w:rsidR="00AD3606" w:rsidRPr="00147C54">
              <w:t xml:space="preserve">by the </w:t>
            </w:r>
            <w:r w:rsidR="000E65E8">
              <w:t>Secretary-General</w:t>
            </w:r>
          </w:p>
        </w:tc>
      </w:tr>
      <w:tr w:rsidR="00AD3606" w:rsidRPr="00147C54" w14:paraId="1990367C" w14:textId="77777777" w:rsidTr="00AD3606">
        <w:trPr>
          <w:cantSplit/>
        </w:trPr>
        <w:tc>
          <w:tcPr>
            <w:tcW w:w="9214" w:type="dxa"/>
            <w:gridSpan w:val="2"/>
            <w:tcMar>
              <w:left w:w="0" w:type="dxa"/>
            </w:tcMar>
          </w:tcPr>
          <w:p w14:paraId="3475782D" w14:textId="12513402" w:rsidR="00AD3606" w:rsidRPr="00147C54" w:rsidRDefault="00E50349" w:rsidP="00E4728B">
            <w:pPr>
              <w:pStyle w:val="Subtitle"/>
              <w:framePr w:hSpace="0" w:wrap="auto" w:xAlign="left" w:yAlign="inline"/>
            </w:pPr>
            <w:bookmarkStart w:id="9" w:name="_Hlk187164602"/>
            <w:bookmarkStart w:id="10" w:name="dtitle1" w:colFirst="0" w:colLast="0"/>
            <w:bookmarkEnd w:id="8"/>
            <w:r w:rsidRPr="00E50349">
              <w:t>UPDATE ON THE ITU CHILD ONLINE PROTECTION INITIATIVE AND THE COP GLOBAL PROGRAMME</w:t>
            </w:r>
            <w:bookmarkEnd w:id="9"/>
          </w:p>
        </w:tc>
      </w:tr>
      <w:tr w:rsidR="00AD3606" w:rsidRPr="00147C54" w14:paraId="398CF9A1" w14:textId="77777777" w:rsidTr="00AD3606">
        <w:trPr>
          <w:cantSplit/>
        </w:trPr>
        <w:tc>
          <w:tcPr>
            <w:tcW w:w="9214" w:type="dxa"/>
            <w:gridSpan w:val="2"/>
            <w:tcBorders>
              <w:top w:val="single" w:sz="4" w:space="0" w:color="auto"/>
              <w:bottom w:val="single" w:sz="4" w:space="0" w:color="auto"/>
            </w:tcBorders>
            <w:tcMar>
              <w:left w:w="0" w:type="dxa"/>
            </w:tcMar>
          </w:tcPr>
          <w:p w14:paraId="4C86E83F" w14:textId="77777777" w:rsidR="00AD3606" w:rsidRPr="00147C54" w:rsidRDefault="00F16BAB" w:rsidP="00F16BAB">
            <w:pPr>
              <w:spacing w:before="160"/>
              <w:rPr>
                <w:b/>
                <w:bCs/>
                <w:sz w:val="26"/>
                <w:szCs w:val="26"/>
              </w:rPr>
            </w:pPr>
            <w:r w:rsidRPr="00147C54">
              <w:rPr>
                <w:b/>
                <w:bCs/>
                <w:sz w:val="26"/>
                <w:szCs w:val="26"/>
              </w:rPr>
              <w:t>Purpose</w:t>
            </w:r>
          </w:p>
          <w:p w14:paraId="6E889160" w14:textId="0C5A5C0B" w:rsidR="00AD3606" w:rsidRPr="00147C54" w:rsidRDefault="00E50349" w:rsidP="00E50349">
            <w:r w:rsidRPr="00E50349">
              <w:t>This report is intended to provide an overview on the status of the COP Initiative and the implementation of the COP Guidelines between October and December 2024.</w:t>
            </w:r>
          </w:p>
          <w:p w14:paraId="083DFD93" w14:textId="77777777" w:rsidR="00AD3606" w:rsidRPr="00147C54" w:rsidRDefault="00AD3606" w:rsidP="00F16BAB">
            <w:pPr>
              <w:spacing w:before="160"/>
              <w:rPr>
                <w:b/>
                <w:bCs/>
                <w:sz w:val="26"/>
                <w:szCs w:val="26"/>
              </w:rPr>
            </w:pPr>
            <w:r w:rsidRPr="00147C54">
              <w:rPr>
                <w:b/>
                <w:bCs/>
                <w:sz w:val="26"/>
                <w:szCs w:val="26"/>
              </w:rPr>
              <w:t>Action required</w:t>
            </w:r>
          </w:p>
          <w:p w14:paraId="4D35A0E1" w14:textId="6E714804" w:rsidR="0025570E" w:rsidRPr="000E65E8" w:rsidRDefault="0025570E" w:rsidP="00E50349">
            <w:pPr>
              <w:spacing w:before="160"/>
            </w:pPr>
            <w:r w:rsidRPr="004405AB">
              <w:t xml:space="preserve">The Council Working Group on </w:t>
            </w:r>
            <w:r>
              <w:t>child online protection</w:t>
            </w:r>
            <w:r w:rsidRPr="004405AB">
              <w:t xml:space="preserve"> is invited to</w:t>
            </w:r>
            <w:r>
              <w:t xml:space="preserve"> </w:t>
            </w:r>
            <w:r w:rsidR="00E50349" w:rsidRPr="00E50349">
              <w:rPr>
                <w:b/>
                <w:bCs/>
              </w:rPr>
              <w:t xml:space="preserve">note </w:t>
            </w:r>
            <w:r w:rsidR="00E50349" w:rsidRPr="00E50349">
              <w:t>this report.</w:t>
            </w:r>
          </w:p>
          <w:p w14:paraId="1D69C596" w14:textId="77777777" w:rsidR="00AD3606" w:rsidRPr="00CD3C91" w:rsidRDefault="00CD3C91" w:rsidP="00CD3C91">
            <w:r>
              <w:t>_______________</w:t>
            </w:r>
          </w:p>
          <w:p w14:paraId="7DCDC9E7" w14:textId="77777777" w:rsidR="00AD3606" w:rsidRPr="00147C54" w:rsidRDefault="00AD3606" w:rsidP="00F16BAB">
            <w:pPr>
              <w:spacing w:before="160"/>
              <w:rPr>
                <w:b/>
                <w:bCs/>
                <w:sz w:val="26"/>
                <w:szCs w:val="26"/>
              </w:rPr>
            </w:pPr>
            <w:r w:rsidRPr="00147C54">
              <w:rPr>
                <w:b/>
                <w:bCs/>
                <w:sz w:val="26"/>
                <w:szCs w:val="26"/>
              </w:rPr>
              <w:t>References</w:t>
            </w:r>
          </w:p>
          <w:p w14:paraId="5AC7AEE2" w14:textId="3ED8922B" w:rsidR="00AD3606" w:rsidRPr="00E50349" w:rsidRDefault="0025570E" w:rsidP="00F16BAB">
            <w:pPr>
              <w:spacing w:after="160"/>
              <w:rPr>
                <w:i/>
                <w:iCs/>
                <w:sz w:val="22"/>
                <w:szCs w:val="22"/>
              </w:rPr>
            </w:pPr>
            <w:hyperlink r:id="rId11" w:history="1">
              <w:r w:rsidRPr="00E50349">
                <w:rPr>
                  <w:rStyle w:val="Hyperlink"/>
                  <w:i/>
                  <w:iCs/>
                  <w:sz w:val="22"/>
                  <w:szCs w:val="22"/>
                </w:rPr>
                <w:t>CWG-COP website</w:t>
              </w:r>
            </w:hyperlink>
            <w:r w:rsidRPr="00E50349">
              <w:rPr>
                <w:i/>
                <w:iCs/>
                <w:sz w:val="22"/>
                <w:szCs w:val="22"/>
              </w:rPr>
              <w:t xml:space="preserve">; </w:t>
            </w:r>
            <w:hyperlink r:id="rId12" w:history="1">
              <w:r w:rsidR="00E50349" w:rsidRPr="00E50349">
                <w:rPr>
                  <w:rStyle w:val="Hyperlink"/>
                  <w:rFonts w:asciiTheme="minorHAnsi" w:hAnsiTheme="minorHAnsi" w:cstheme="minorHAnsi"/>
                  <w:i/>
                  <w:iCs/>
                  <w:sz w:val="22"/>
                  <w:szCs w:val="22"/>
                </w:rPr>
                <w:t>ITU-D Cybersecurity - COP</w:t>
              </w:r>
            </w:hyperlink>
          </w:p>
        </w:tc>
      </w:tr>
    </w:tbl>
    <w:p w14:paraId="7051740C" w14:textId="77777777" w:rsidR="00E227F3" w:rsidRPr="00147C54"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1" w:name="_Hlk133421428"/>
      <w:bookmarkEnd w:id="2"/>
      <w:bookmarkEnd w:id="10"/>
    </w:p>
    <w:bookmarkEnd w:id="3"/>
    <w:bookmarkEnd w:id="4"/>
    <w:p w14:paraId="7FDDD309" w14:textId="77777777" w:rsidR="0090147A" w:rsidRPr="00147C54"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147C54">
        <w:br w:type="page"/>
      </w:r>
    </w:p>
    <w:bookmarkEnd w:id="5"/>
    <w:bookmarkEnd w:id="11"/>
    <w:p w14:paraId="7DD26FD6" w14:textId="77777777" w:rsidR="00E50349" w:rsidRPr="00D4786F" w:rsidRDefault="00E50349" w:rsidP="00120342">
      <w:pPr>
        <w:jc w:val="both"/>
      </w:pPr>
      <w:r w:rsidRPr="00D4786F">
        <w:lastRenderedPageBreak/>
        <w:t xml:space="preserve">The Child Online Protection initiative aims to protect children from online risks and potential </w:t>
      </w:r>
      <w:r w:rsidRPr="00D4786F">
        <w:rPr>
          <w:spacing w:val="4"/>
        </w:rPr>
        <w:t>harm and empower them to fully benefit from online opportunities through research,</w:t>
      </w:r>
      <w:r w:rsidRPr="00D4786F">
        <w:t xml:space="preserve"> in-country policy support, capacity building and technical tools.</w:t>
      </w:r>
    </w:p>
    <w:p w14:paraId="0D194F85" w14:textId="77777777" w:rsidR="00E50349" w:rsidRPr="00D4786F" w:rsidRDefault="00E50349" w:rsidP="00120342">
      <w:pPr>
        <w:jc w:val="both"/>
      </w:pPr>
      <w:r w:rsidRPr="00D4786F">
        <w:t>ITU Child Online Protection</w:t>
      </w:r>
      <w:r>
        <w:t>,</w:t>
      </w:r>
      <w:r w:rsidRPr="00D4786F">
        <w:t xml:space="preserve"> serves as global leadership platform with a multi-stakeholder community with proven expertise and successful technical assistance record of more than 1</w:t>
      </w:r>
      <w:r>
        <w:t>5</w:t>
      </w:r>
      <w:r w:rsidRPr="00D4786F">
        <w:t> years on child online protection activities worldwide. Through a strong network of more than 80 knowledge partners from leading institutions active in</w:t>
      </w:r>
      <w:r>
        <w:t xml:space="preserve"> </w:t>
      </w:r>
      <w:r w:rsidRPr="00D4786F">
        <w:t xml:space="preserve">the ICT and child rights sectors, the Child Online Protection initiative provides </w:t>
      </w:r>
      <w:r>
        <w:t xml:space="preserve">both </w:t>
      </w:r>
      <w:r w:rsidRPr="00D4786F">
        <w:t xml:space="preserve">resources and tools that support children’s and their </w:t>
      </w:r>
      <w:r>
        <w:t>entourage’s</w:t>
      </w:r>
      <w:r w:rsidRPr="00D4786F">
        <w:t xml:space="preserve"> digital skills development </w:t>
      </w:r>
      <w:r>
        <w:t>as well as</w:t>
      </w:r>
      <w:r w:rsidRPr="00D4786F">
        <w:t xml:space="preserve"> support to industry and government stakeholders in the development of corporate and national child online protection strategies and frameworks</w:t>
      </w:r>
      <w:r>
        <w:t>,</w:t>
      </w:r>
      <w:r w:rsidRPr="00D4786F">
        <w:t xml:space="preserve"> allowing countries to </w:t>
      </w:r>
      <w:r>
        <w:t>contribute to a</w:t>
      </w:r>
      <w:r w:rsidRPr="00D4786F">
        <w:t xml:space="preserve"> safer online environment for children.</w:t>
      </w:r>
    </w:p>
    <w:p w14:paraId="1F0C4EA6" w14:textId="77777777" w:rsidR="00E50349" w:rsidRPr="00D4786F" w:rsidRDefault="00E50349" w:rsidP="00E50349">
      <w:pPr>
        <w:pStyle w:val="Heading1"/>
      </w:pPr>
      <w:r w:rsidRPr="00D4786F">
        <w:t>1</w:t>
      </w:r>
      <w:r w:rsidRPr="00D4786F">
        <w:tab/>
        <w:t xml:space="preserve">As part of </w:t>
      </w:r>
      <w:hyperlink r:id="rId13" w:history="1">
        <w:r w:rsidRPr="00D4786F">
          <w:rPr>
            <w:rStyle w:val="Hyperlink"/>
            <w:rFonts w:asciiTheme="minorHAnsi" w:hAnsiTheme="minorHAnsi" w:cstheme="minorBidi"/>
            <w:bCs/>
          </w:rPr>
          <w:t>ITU’s global programme (2021-202</w:t>
        </w:r>
        <w:r>
          <w:rPr>
            <w:rStyle w:val="Hyperlink"/>
            <w:rFonts w:asciiTheme="minorHAnsi" w:hAnsiTheme="minorHAnsi" w:cstheme="minorBidi"/>
            <w:bCs/>
          </w:rPr>
          <w:t>5</w:t>
        </w:r>
        <w:r w:rsidRPr="00D4786F">
          <w:rPr>
            <w:rStyle w:val="Hyperlink"/>
            <w:rFonts w:asciiTheme="minorHAnsi" w:hAnsiTheme="minorHAnsi" w:cstheme="minorBidi"/>
            <w:bCs/>
          </w:rPr>
          <w:t>)</w:t>
        </w:r>
      </w:hyperlink>
      <w:r>
        <w:t xml:space="preserve"> </w:t>
      </w:r>
      <w:r w:rsidRPr="00D4786F">
        <w:t>the following activities were undertaken</w:t>
      </w:r>
      <w:r>
        <w:t>:</w:t>
      </w:r>
    </w:p>
    <w:p w14:paraId="36320C06" w14:textId="77777777" w:rsidR="00E50349" w:rsidRPr="00D4786F" w:rsidRDefault="00E50349" w:rsidP="00E50349">
      <w:pPr>
        <w:pStyle w:val="Heading2"/>
        <w:spacing w:before="300"/>
      </w:pPr>
      <w:r w:rsidRPr="00D4786F">
        <w:t>1.</w:t>
      </w:r>
      <w:r>
        <w:t>1</w:t>
      </w:r>
      <w:r w:rsidRPr="00D4786F">
        <w:tab/>
        <w:t>Translation of the COP Guidelines</w:t>
      </w:r>
    </w:p>
    <w:p w14:paraId="3904143A" w14:textId="77777777" w:rsidR="00E50349" w:rsidRPr="0042228E" w:rsidRDefault="00E50349" w:rsidP="00120342">
      <w:pPr>
        <w:pStyle w:val="enumlev1"/>
        <w:jc w:val="both"/>
        <w:rPr>
          <w:lang w:val="en-US"/>
        </w:rPr>
      </w:pPr>
      <w:r w:rsidRPr="00D4786F">
        <w:t>–</w:t>
      </w:r>
      <w:r w:rsidRPr="00D4786F">
        <w:tab/>
      </w:r>
      <w:r>
        <w:rPr>
          <w:lang w:val="en-US"/>
        </w:rPr>
        <w:t>In Malta a</w:t>
      </w:r>
      <w:r w:rsidRPr="00D36743">
        <w:rPr>
          <w:lang w:val="en-US"/>
        </w:rPr>
        <w:t xml:space="preserve"> national event w</w:t>
      </w:r>
      <w:r>
        <w:rPr>
          <w:lang w:val="en-US"/>
        </w:rPr>
        <w:t>as</w:t>
      </w:r>
      <w:r w:rsidRPr="00D36743">
        <w:rPr>
          <w:lang w:val="en-US"/>
        </w:rPr>
        <w:t xml:space="preserve"> held, where stakeholders discuss</w:t>
      </w:r>
      <w:r>
        <w:rPr>
          <w:lang w:val="en-US"/>
        </w:rPr>
        <w:t>ed the national</w:t>
      </w:r>
      <w:r w:rsidRPr="00D36743">
        <w:rPr>
          <w:lang w:val="en-US"/>
        </w:rPr>
        <w:t xml:space="preserve"> </w:t>
      </w:r>
      <w:r>
        <w:rPr>
          <w:lang w:val="en-US"/>
        </w:rPr>
        <w:t>child online protection effort</w:t>
      </w:r>
      <w:r w:rsidRPr="00D36743">
        <w:rPr>
          <w:lang w:val="en-US"/>
        </w:rPr>
        <w:t xml:space="preserve">, and the translated guidelines </w:t>
      </w:r>
      <w:r>
        <w:rPr>
          <w:lang w:val="en-US"/>
        </w:rPr>
        <w:t>were</w:t>
      </w:r>
      <w:r w:rsidRPr="00D36743">
        <w:rPr>
          <w:lang w:val="en-US"/>
        </w:rPr>
        <w:t xml:space="preserve"> officially presented.</w:t>
      </w:r>
    </w:p>
    <w:p w14:paraId="6C88CAF0" w14:textId="77777777" w:rsidR="00E50349" w:rsidRPr="00D4786F" w:rsidRDefault="00E50349" w:rsidP="00E50349">
      <w:pPr>
        <w:pStyle w:val="Heading2"/>
        <w:spacing w:before="300"/>
      </w:pPr>
      <w:r w:rsidRPr="00D4786F">
        <w:t>1.</w:t>
      </w:r>
      <w:r>
        <w:t>2</w:t>
      </w:r>
      <w:r w:rsidRPr="00D4786F">
        <w:tab/>
        <w:t>Capacity building</w:t>
      </w:r>
    </w:p>
    <w:p w14:paraId="56DE392B" w14:textId="77777777" w:rsidR="00E50349" w:rsidRDefault="00E50349" w:rsidP="00E50349">
      <w:pPr>
        <w:pStyle w:val="enumlev1"/>
      </w:pPr>
      <w:r w:rsidRPr="00D4786F">
        <w:t>–</w:t>
      </w:r>
      <w:r w:rsidRPr="00D4786F">
        <w:tab/>
      </w:r>
      <w:r>
        <w:t xml:space="preserve">In the Maldives, the </w:t>
      </w:r>
      <w:r w:rsidRPr="00D4786F">
        <w:t xml:space="preserve">Training of Trainers for Educators </w:t>
      </w:r>
      <w:r>
        <w:t>was held</w:t>
      </w:r>
      <w:r w:rsidRPr="00D4786F">
        <w:t>.</w:t>
      </w:r>
    </w:p>
    <w:p w14:paraId="26441AB0" w14:textId="77777777" w:rsidR="00E50349" w:rsidRPr="00D36743" w:rsidRDefault="00E50349" w:rsidP="00E50349">
      <w:pPr>
        <w:pStyle w:val="enumlev1"/>
        <w:rPr>
          <w:lang w:val="en-US"/>
        </w:rPr>
      </w:pPr>
      <w:r w:rsidRPr="00D4786F">
        <w:t>–</w:t>
      </w:r>
      <w:r w:rsidRPr="00D4786F">
        <w:tab/>
      </w:r>
      <w:r>
        <w:t xml:space="preserve">In Malta, ITU </w:t>
      </w:r>
      <w:r>
        <w:rPr>
          <w:lang w:val="en-US"/>
        </w:rPr>
        <w:t xml:space="preserve">supported the capacity building of </w:t>
      </w:r>
      <w:r w:rsidRPr="00D36743">
        <w:rPr>
          <w:lang w:val="en-US"/>
        </w:rPr>
        <w:t>national police force</w:t>
      </w:r>
      <w:r>
        <w:rPr>
          <w:lang w:val="en-US"/>
        </w:rPr>
        <w:t>.</w:t>
      </w:r>
      <w:r w:rsidRPr="00D36743">
        <w:rPr>
          <w:lang w:val="en-US"/>
        </w:rPr>
        <w:t xml:space="preserve"> </w:t>
      </w:r>
    </w:p>
    <w:p w14:paraId="1DC09347" w14:textId="77777777" w:rsidR="00E50349" w:rsidRPr="00D4786F" w:rsidRDefault="00E50349" w:rsidP="00E50349">
      <w:pPr>
        <w:pStyle w:val="Heading2"/>
        <w:spacing w:before="300"/>
      </w:pPr>
      <w:r w:rsidRPr="00D4786F">
        <w:t>1.3</w:t>
      </w:r>
      <w:r w:rsidRPr="00D4786F">
        <w:tab/>
        <w:t>National COP framework</w:t>
      </w:r>
      <w:r>
        <w:t>s</w:t>
      </w:r>
    </w:p>
    <w:p w14:paraId="7FDECD40" w14:textId="77777777" w:rsidR="00E50349" w:rsidRDefault="00E50349" w:rsidP="00E50349">
      <w:pPr>
        <w:pStyle w:val="enumlev1"/>
      </w:pPr>
      <w:r w:rsidRPr="00D4786F">
        <w:t>–</w:t>
      </w:r>
      <w:r w:rsidRPr="00D4786F">
        <w:tab/>
      </w:r>
      <w:r>
        <w:t>In the Bahamas and Suriname, ITU d</w:t>
      </w:r>
      <w:r w:rsidRPr="00D4786F">
        <w:t xml:space="preserve">elivered a </w:t>
      </w:r>
      <w:r>
        <w:t xml:space="preserve">draft </w:t>
      </w:r>
      <w:r w:rsidRPr="00D4786F">
        <w:t xml:space="preserve">national </w:t>
      </w:r>
      <w:r>
        <w:t>f</w:t>
      </w:r>
      <w:r w:rsidRPr="00D4786F">
        <w:t>ramework.</w:t>
      </w:r>
    </w:p>
    <w:p w14:paraId="217514E0" w14:textId="77777777" w:rsidR="00E50349" w:rsidRPr="00D4786F" w:rsidRDefault="00E50349" w:rsidP="00E50349">
      <w:pPr>
        <w:pStyle w:val="enumlev1"/>
      </w:pPr>
      <w:r w:rsidRPr="00D4786F">
        <w:t>–</w:t>
      </w:r>
      <w:r w:rsidRPr="00D4786F">
        <w:tab/>
      </w:r>
      <w:r>
        <w:t>In Andorra and Eswatini, ITU initiated the technical assistance.</w:t>
      </w:r>
    </w:p>
    <w:p w14:paraId="23AE9C56" w14:textId="77777777" w:rsidR="00E50349" w:rsidRPr="00D4786F" w:rsidRDefault="00E50349" w:rsidP="00E50349">
      <w:pPr>
        <w:pStyle w:val="Heading2"/>
        <w:spacing w:before="300"/>
      </w:pPr>
      <w:r w:rsidRPr="00D4786F">
        <w:t>1.4</w:t>
      </w:r>
      <w:r w:rsidRPr="00D4786F">
        <w:tab/>
        <w:t>Child participation</w:t>
      </w:r>
    </w:p>
    <w:p w14:paraId="7CB0433D" w14:textId="77777777" w:rsidR="00E50349" w:rsidRPr="00D4786F" w:rsidRDefault="00E50349" w:rsidP="00120342">
      <w:pPr>
        <w:pStyle w:val="enumlev1"/>
        <w:jc w:val="both"/>
      </w:pPr>
      <w:r w:rsidRPr="00D4786F">
        <w:t>–</w:t>
      </w:r>
      <w:r w:rsidRPr="00D4786F">
        <w:tab/>
      </w:r>
      <w:r>
        <w:t>The</w:t>
      </w:r>
      <w:r w:rsidRPr="00D4786F">
        <w:t xml:space="preserve"> collaboration with the Western Sydney University to set up national </w:t>
      </w:r>
      <w:r>
        <w:t xml:space="preserve">child </w:t>
      </w:r>
      <w:r w:rsidRPr="00D4786F">
        <w:t xml:space="preserve">taskforces </w:t>
      </w:r>
      <w:r>
        <w:t>continued</w:t>
      </w:r>
      <w:r w:rsidRPr="00D4786F">
        <w:t>.</w:t>
      </w:r>
    </w:p>
    <w:p w14:paraId="11107D9D" w14:textId="77777777" w:rsidR="00E50349" w:rsidRDefault="00E50349" w:rsidP="00120342">
      <w:pPr>
        <w:pStyle w:val="enumlev1"/>
        <w:jc w:val="both"/>
      </w:pPr>
      <w:r w:rsidRPr="00D4786F">
        <w:t>–</w:t>
      </w:r>
      <w:r w:rsidRPr="00D4786F">
        <w:tab/>
        <w:t xml:space="preserve">Within this context, </w:t>
      </w:r>
      <w:r>
        <w:t xml:space="preserve">consultation workshops with the established child taskforces were completed in Indonesia, Lebanon and Malawi and further consultation workshops with newly established child taskforces in Ecuador are planned for Q1 2025. </w:t>
      </w:r>
    </w:p>
    <w:p w14:paraId="40AFACA7" w14:textId="77777777" w:rsidR="00E50349" w:rsidRPr="00D4786F" w:rsidRDefault="00E50349" w:rsidP="00E50349">
      <w:pPr>
        <w:pStyle w:val="Heading1"/>
      </w:pPr>
      <w:r w:rsidRPr="00D4786F">
        <w:t>2</w:t>
      </w:r>
      <w:r w:rsidRPr="00D4786F">
        <w:tab/>
        <w:t>Collaborating across sectors, the ITU COP Initiative took further actions:</w:t>
      </w:r>
    </w:p>
    <w:p w14:paraId="2E7F5A7C" w14:textId="77777777" w:rsidR="00E50349" w:rsidRPr="00D4786F" w:rsidRDefault="00E50349" w:rsidP="00E50349">
      <w:pPr>
        <w:pStyle w:val="Heading2"/>
        <w:spacing w:before="300"/>
      </w:pPr>
      <w:r w:rsidRPr="00D4786F">
        <w:t>2.1</w:t>
      </w:r>
      <w:r w:rsidRPr="00D4786F">
        <w:tab/>
      </w:r>
      <w:r>
        <w:t>Child online protection in Sports</w:t>
      </w:r>
    </w:p>
    <w:p w14:paraId="66BF1C63" w14:textId="77777777" w:rsidR="00E50349" w:rsidRPr="00D4786F" w:rsidRDefault="00E50349" w:rsidP="00120342">
      <w:pPr>
        <w:pStyle w:val="enumlev1"/>
        <w:jc w:val="both"/>
      </w:pPr>
      <w:r w:rsidRPr="00D4786F">
        <w:t>–</w:t>
      </w:r>
      <w:r w:rsidRPr="00D4786F">
        <w:tab/>
      </w:r>
      <w:r>
        <w:t xml:space="preserve">In Ecuador, in collaboration with the </w:t>
      </w:r>
      <w:proofErr w:type="spellStart"/>
      <w:r>
        <w:t>Scort</w:t>
      </w:r>
      <w:proofErr w:type="spellEnd"/>
      <w:r>
        <w:t xml:space="preserve"> Foundation, and in the context of ITU’s efforts in building the capacity of relevant stakeholders on child online protection, a training webinar for young coaches was held.</w:t>
      </w:r>
    </w:p>
    <w:p w14:paraId="4CB0FDE5" w14:textId="77777777" w:rsidR="00E50349" w:rsidRPr="00D4786F" w:rsidRDefault="00E50349" w:rsidP="00E50349">
      <w:pPr>
        <w:pStyle w:val="Heading2"/>
        <w:rPr>
          <w:rFonts w:asciiTheme="minorHAnsi" w:hAnsiTheme="minorHAnsi" w:cstheme="minorHAnsi"/>
          <w:bCs/>
        </w:rPr>
      </w:pPr>
      <w:hyperlink r:id="rId14">
        <w:r w:rsidRPr="00D4786F">
          <w:t>2.2</w:t>
        </w:r>
        <w:r w:rsidRPr="00D4786F">
          <w:tab/>
        </w:r>
        <w:proofErr w:type="spellStart"/>
        <w:r w:rsidRPr="00D4786F">
          <w:rPr>
            <w:rFonts w:asciiTheme="minorHAnsi" w:hAnsiTheme="minorHAnsi" w:cstheme="minorHAnsi"/>
            <w:bCs/>
          </w:rPr>
          <w:t>PoP</w:t>
        </w:r>
        <w:proofErr w:type="spellEnd"/>
        <w:r w:rsidRPr="00D4786F">
          <w:rPr>
            <w:rFonts w:asciiTheme="minorHAnsi" w:hAnsiTheme="minorHAnsi" w:cstheme="minorHAnsi"/>
            <w:bCs/>
          </w:rPr>
          <w:t>: Protection through online participation</w:t>
        </w:r>
      </w:hyperlink>
    </w:p>
    <w:p w14:paraId="3D0924AA" w14:textId="77777777" w:rsidR="00E50349" w:rsidRPr="00D4786F" w:rsidRDefault="00E50349" w:rsidP="00120342">
      <w:pPr>
        <w:pStyle w:val="enumlev1"/>
        <w:jc w:val="both"/>
      </w:pPr>
      <w:r w:rsidRPr="00D4786F">
        <w:t>–</w:t>
      </w:r>
      <w:r w:rsidRPr="00D4786F">
        <w:tab/>
      </w:r>
      <w:r>
        <w:t xml:space="preserve">This </w:t>
      </w:r>
      <w:hyperlink r:id="rId15" w:history="1">
        <w:r w:rsidRPr="00787E6D">
          <w:rPr>
            <w:rStyle w:val="Hyperlink"/>
          </w:rPr>
          <w:t>multistakeholder partnership,</w:t>
        </w:r>
      </w:hyperlink>
      <w:r>
        <w:t xml:space="preserve"> l</w:t>
      </w:r>
      <w:r w:rsidRPr="00D4786F">
        <w:t>ed by ITU and the Office of the Special Representative of the Secretary-General on Violence against Children</w:t>
      </w:r>
      <w:r>
        <w:t>, brings together 30+ partners from different sectors including the UN, big technology platforms, CSOs and academia</w:t>
      </w:r>
      <w:r w:rsidRPr="00D4786F">
        <w:t>.</w:t>
      </w:r>
    </w:p>
    <w:p w14:paraId="22D06BDF" w14:textId="77777777" w:rsidR="00E50349" w:rsidRPr="00D4786F" w:rsidRDefault="00E50349" w:rsidP="00120342">
      <w:pPr>
        <w:pStyle w:val="enumlev1"/>
        <w:jc w:val="both"/>
      </w:pPr>
      <w:r w:rsidRPr="00D4786F">
        <w:t>–</w:t>
      </w:r>
      <w:r w:rsidRPr="00D4786F">
        <w:tab/>
      </w:r>
      <w:r>
        <w:t>It a</w:t>
      </w:r>
      <w:r w:rsidRPr="00D4786F">
        <w:t xml:space="preserve">ims to provide insights and recommendations on the development, implementation, and improvement of </w:t>
      </w:r>
      <w:r>
        <w:t>support</w:t>
      </w:r>
      <w:r w:rsidRPr="00D4786F">
        <w:t xml:space="preserve"> </w:t>
      </w:r>
      <w:r>
        <w:t>systems</w:t>
      </w:r>
      <w:r w:rsidRPr="00D4786F">
        <w:t xml:space="preserve"> that function </w:t>
      </w:r>
      <w:r>
        <w:t>through online means</w:t>
      </w:r>
      <w:r w:rsidRPr="00D4786F">
        <w:t xml:space="preserve"> and </w:t>
      </w:r>
      <w:r>
        <w:t xml:space="preserve">that </w:t>
      </w:r>
      <w:r w:rsidRPr="00D4786F">
        <w:t>address</w:t>
      </w:r>
      <w:r>
        <w:t xml:space="preserve"> violence against children – both online and offline. </w:t>
      </w:r>
    </w:p>
    <w:p w14:paraId="30C702E2" w14:textId="77777777" w:rsidR="00E50349" w:rsidRPr="00D4786F" w:rsidRDefault="00E50349" w:rsidP="00120342">
      <w:pPr>
        <w:pStyle w:val="enumlev1"/>
        <w:jc w:val="both"/>
      </w:pPr>
      <w:r w:rsidRPr="00D4786F">
        <w:t>–</w:t>
      </w:r>
      <w:r w:rsidRPr="00D4786F">
        <w:tab/>
      </w:r>
      <w:r>
        <w:t xml:space="preserve">Draft guiding principles were shared for consultation with the partnership </w:t>
      </w:r>
      <w:r w:rsidRPr="00D4786F">
        <w:t>addressing child helplines and similar services functioning online, and technology platforms.</w:t>
      </w:r>
    </w:p>
    <w:p w14:paraId="5DC66CC5" w14:textId="77777777" w:rsidR="00E50349" w:rsidRPr="00D4786F" w:rsidRDefault="00E50349" w:rsidP="00120342">
      <w:pPr>
        <w:pStyle w:val="enumlev1"/>
        <w:jc w:val="both"/>
      </w:pPr>
      <w:r w:rsidRPr="00D4786F">
        <w:t>–</w:t>
      </w:r>
      <w:r w:rsidRPr="00D4786F">
        <w:tab/>
        <w:t xml:space="preserve">In </w:t>
      </w:r>
      <w:r>
        <w:t xml:space="preserve">Q1 2025 </w:t>
      </w:r>
      <w:r w:rsidRPr="00D4786F">
        <w:t xml:space="preserve">the </w:t>
      </w:r>
      <w:r>
        <w:t>final guiding principles will be released</w:t>
      </w:r>
      <w:r w:rsidRPr="00D4786F">
        <w:t xml:space="preserve"> </w:t>
      </w:r>
      <w:r>
        <w:t xml:space="preserve">in a publication </w:t>
      </w:r>
      <w:r w:rsidRPr="00D4786F">
        <w:t>for child helplines, tech platforms, and policy makers.</w:t>
      </w:r>
    </w:p>
    <w:p w14:paraId="2047A526" w14:textId="77777777" w:rsidR="00E50349" w:rsidRPr="00D4786F" w:rsidRDefault="00E50349" w:rsidP="00120342">
      <w:pPr>
        <w:pStyle w:val="enumlev1"/>
        <w:jc w:val="both"/>
      </w:pPr>
      <w:r w:rsidRPr="00D4786F">
        <w:t>–</w:t>
      </w:r>
      <w:r w:rsidRPr="00D4786F">
        <w:tab/>
        <w:t xml:space="preserve">In 2025, </w:t>
      </w:r>
      <w:proofErr w:type="spellStart"/>
      <w:r w:rsidRPr="00D4786F">
        <w:t>PoP</w:t>
      </w:r>
      <w:proofErr w:type="spellEnd"/>
      <w:r w:rsidRPr="00D4786F">
        <w:t xml:space="preserve"> will:</w:t>
      </w:r>
    </w:p>
    <w:p w14:paraId="779765A3" w14:textId="77777777" w:rsidR="00E50349" w:rsidRDefault="00E50349" w:rsidP="00120342">
      <w:pPr>
        <w:pStyle w:val="enumlev2"/>
        <w:jc w:val="both"/>
      </w:pPr>
      <w:r w:rsidRPr="00D4786F">
        <w:t>•</w:t>
      </w:r>
      <w:r w:rsidRPr="00D4786F">
        <w:tab/>
      </w:r>
      <w:r>
        <w:t xml:space="preserve">Collect and publish good practices of online functioning support systems for children. </w:t>
      </w:r>
    </w:p>
    <w:p w14:paraId="06231F52" w14:textId="77777777" w:rsidR="00E50349" w:rsidRDefault="00E50349" w:rsidP="00120342">
      <w:pPr>
        <w:pStyle w:val="enumlev2"/>
        <w:jc w:val="both"/>
      </w:pPr>
      <w:r w:rsidRPr="00D4786F">
        <w:t>•</w:t>
      </w:r>
      <w:r w:rsidRPr="00D4786F">
        <w:tab/>
      </w:r>
      <w:r>
        <w:t>Further engage the ICT industry to increase the understanding of how emerging technologies (including AI) are used to facilitate children’s access to protection and support as well as collect insights and lessons learned on how children and youth connect with protection and support through gaming.</w:t>
      </w:r>
    </w:p>
    <w:p w14:paraId="0C753F12" w14:textId="5BA3531B" w:rsidR="00E50349" w:rsidRDefault="00E50349" w:rsidP="00120342">
      <w:pPr>
        <w:pStyle w:val="enumlev2"/>
        <w:jc w:val="both"/>
      </w:pPr>
      <w:r w:rsidRPr="00D4786F">
        <w:t>•</w:t>
      </w:r>
      <w:r w:rsidRPr="00D4786F">
        <w:tab/>
      </w:r>
      <w:r>
        <w:t xml:space="preserve">Further engage with children and youth to map child and </w:t>
      </w:r>
      <w:r w:rsidR="00B14002">
        <w:t>youth-led</w:t>
      </w:r>
      <w:r>
        <w:t xml:space="preserve"> solutions. </w:t>
      </w:r>
    </w:p>
    <w:p w14:paraId="09014473" w14:textId="77777777" w:rsidR="00E50349" w:rsidRPr="00D4786F" w:rsidRDefault="00E50349" w:rsidP="00E50349">
      <w:pPr>
        <w:pStyle w:val="Heading2"/>
        <w:spacing w:before="300"/>
        <w:rPr>
          <w:rFonts w:asciiTheme="minorHAnsi" w:hAnsiTheme="minorHAnsi" w:cstheme="minorHAnsi"/>
          <w:bCs/>
        </w:rPr>
      </w:pPr>
      <w:hyperlink r:id="rId16">
        <w:r w:rsidRPr="00D4786F">
          <w:t>2.</w:t>
        </w:r>
        <w:r>
          <w:t>3</w:t>
        </w:r>
        <w:r w:rsidRPr="00D4786F">
          <w:tab/>
        </w:r>
        <w:r>
          <w:rPr>
            <w:rFonts w:asciiTheme="minorHAnsi" w:hAnsiTheme="minorHAnsi" w:cstheme="minorHAnsi"/>
            <w:bCs/>
          </w:rPr>
          <w:t>Joint</w:t>
        </w:r>
      </w:hyperlink>
      <w:r>
        <w:rPr>
          <w:rFonts w:asciiTheme="minorHAnsi" w:hAnsiTheme="minorHAnsi" w:cstheme="minorHAnsi"/>
          <w:bCs/>
        </w:rPr>
        <w:t xml:space="preserve"> Statement on child protection and in the context of AI</w:t>
      </w:r>
    </w:p>
    <w:p w14:paraId="10AB9804" w14:textId="77777777" w:rsidR="00E50349" w:rsidRDefault="00E50349" w:rsidP="00120342">
      <w:pPr>
        <w:pStyle w:val="enumlev1"/>
        <w:jc w:val="both"/>
      </w:pPr>
      <w:r w:rsidRPr="00D4786F">
        <w:t>–</w:t>
      </w:r>
      <w:r w:rsidRPr="00D4786F">
        <w:tab/>
      </w:r>
      <w:r>
        <w:t xml:space="preserve">In a collaborative effort with the Committee on the Rights of the Child and its vice-chair, bringing together different international organisations, ITU has initiated the drafting process of a Joint Statement on child protection in the context of AI. The statement will be presented for consultation and adoption to the Committee on the Rights of the Child in 2025. </w:t>
      </w:r>
    </w:p>
    <w:p w14:paraId="21F399B0" w14:textId="50D292AC" w:rsidR="00E50349" w:rsidRDefault="00E50349" w:rsidP="00E50349">
      <w:pPr>
        <w:pStyle w:val="Heading2"/>
        <w:spacing w:before="300"/>
        <w:rPr>
          <w:rFonts w:asciiTheme="minorHAnsi" w:hAnsiTheme="minorHAnsi" w:cstheme="minorHAnsi"/>
          <w:bCs/>
        </w:rPr>
      </w:pPr>
      <w:r w:rsidRPr="006242DE">
        <w:t>2.4</w:t>
      </w:r>
      <w:r w:rsidRPr="006242DE">
        <w:tab/>
      </w:r>
      <w:r w:rsidRPr="006242DE">
        <w:rPr>
          <w:rFonts w:asciiTheme="minorHAnsi" w:hAnsiTheme="minorHAnsi" w:cstheme="minorHAnsi"/>
          <w:bCs/>
        </w:rPr>
        <w:t xml:space="preserve">ITU’s engagement in UN </w:t>
      </w:r>
      <w:r w:rsidR="00B14002">
        <w:rPr>
          <w:rFonts w:asciiTheme="minorHAnsi" w:hAnsiTheme="minorHAnsi" w:cstheme="minorHAnsi"/>
          <w:bCs/>
        </w:rPr>
        <w:t>Inter-Agency</w:t>
      </w:r>
      <w:r w:rsidRPr="006242DE">
        <w:rPr>
          <w:rFonts w:asciiTheme="minorHAnsi" w:hAnsiTheme="minorHAnsi" w:cstheme="minorHAnsi"/>
          <w:bCs/>
        </w:rPr>
        <w:t xml:space="preserve"> Processes: </w:t>
      </w:r>
    </w:p>
    <w:p w14:paraId="195BAC50" w14:textId="14C4A008" w:rsidR="00E50349" w:rsidRPr="001D20B7" w:rsidRDefault="00E50349" w:rsidP="00120342">
      <w:pPr>
        <w:pStyle w:val="enumlev1"/>
        <w:jc w:val="both"/>
        <w:rPr>
          <w:rFonts w:asciiTheme="minorHAnsi" w:hAnsiTheme="minorHAnsi" w:cstheme="minorHAnsi"/>
          <w:szCs w:val="24"/>
        </w:rPr>
      </w:pPr>
      <w:r w:rsidRPr="00D4786F">
        <w:t>–</w:t>
      </w:r>
      <w:r w:rsidRPr="00D4786F">
        <w:tab/>
      </w:r>
      <w:r>
        <w:t>As member of t</w:t>
      </w:r>
      <w:r w:rsidRPr="00216E9C">
        <w:rPr>
          <w:rFonts w:asciiTheme="minorHAnsi" w:hAnsiTheme="minorHAnsi" w:cstheme="minorHAnsi"/>
          <w:szCs w:val="24"/>
        </w:rPr>
        <w:t xml:space="preserve">he </w:t>
      </w:r>
      <w:hyperlink r:id="rId17" w:history="1">
        <w:r w:rsidRPr="00216E9C">
          <w:rPr>
            <w:rStyle w:val="Hyperlink"/>
            <w:rFonts w:asciiTheme="minorHAnsi" w:hAnsiTheme="minorHAnsi" w:cstheme="minorHAnsi"/>
            <w:szCs w:val="24"/>
          </w:rPr>
          <w:t>Inter</w:t>
        </w:r>
        <w:r w:rsidR="00B14002">
          <w:rPr>
            <w:rStyle w:val="Hyperlink"/>
            <w:rFonts w:asciiTheme="minorHAnsi" w:hAnsiTheme="minorHAnsi" w:cstheme="minorHAnsi"/>
            <w:szCs w:val="24"/>
          </w:rPr>
          <w:t>-</w:t>
        </w:r>
        <w:r w:rsidRPr="00216E9C">
          <w:rPr>
            <w:rStyle w:val="Hyperlink"/>
            <w:rFonts w:asciiTheme="minorHAnsi" w:hAnsiTheme="minorHAnsi" w:cstheme="minorHAnsi"/>
            <w:szCs w:val="24"/>
          </w:rPr>
          <w:t>Agency Coordination Group Against Trafficking in Persons (ICAT)</w:t>
        </w:r>
      </w:hyperlink>
      <w:r w:rsidRPr="00216E9C">
        <w:rPr>
          <w:rFonts w:asciiTheme="minorHAnsi" w:hAnsiTheme="minorHAnsi" w:cstheme="minorHAnsi"/>
          <w:szCs w:val="24"/>
        </w:rPr>
        <w:t xml:space="preserve">, established in 2007 and coordinated by the United Nations Office on Drugs and Crime (UNODC), </w:t>
      </w:r>
      <w:r>
        <w:rPr>
          <w:rFonts w:asciiTheme="minorHAnsi" w:hAnsiTheme="minorHAnsi" w:cstheme="minorHAnsi"/>
          <w:szCs w:val="24"/>
        </w:rPr>
        <w:t xml:space="preserve">ITU contributed and endorsed the </w:t>
      </w:r>
      <w:hyperlink r:id="rId18" w:history="1">
        <w:r w:rsidRPr="005C02C6">
          <w:rPr>
            <w:rStyle w:val="Hyperlink"/>
            <w:rFonts w:asciiTheme="minorHAnsi" w:hAnsiTheme="minorHAnsi" w:cstheme="minorHAnsi"/>
            <w:szCs w:val="24"/>
          </w:rPr>
          <w:t xml:space="preserve">ICAT Principles Joint </w:t>
        </w:r>
        <w:r w:rsidR="00B14002">
          <w:rPr>
            <w:rStyle w:val="Hyperlink"/>
            <w:rFonts w:asciiTheme="minorHAnsi" w:hAnsiTheme="minorHAnsi" w:cstheme="minorHAnsi"/>
            <w:szCs w:val="24"/>
          </w:rPr>
          <w:t>S</w:t>
        </w:r>
        <w:r w:rsidRPr="005C02C6">
          <w:rPr>
            <w:rStyle w:val="Hyperlink"/>
            <w:rFonts w:asciiTheme="minorHAnsi" w:hAnsiTheme="minorHAnsi" w:cstheme="minorHAnsi"/>
            <w:szCs w:val="24"/>
          </w:rPr>
          <w:t>tatement</w:t>
        </w:r>
      </w:hyperlink>
      <w:r>
        <w:rPr>
          <w:rFonts w:asciiTheme="minorHAnsi" w:hAnsiTheme="minorHAnsi" w:cstheme="minorHAnsi"/>
          <w:szCs w:val="24"/>
        </w:rPr>
        <w:t xml:space="preserve"> on the </w:t>
      </w:r>
      <w:r w:rsidRPr="00EE30B4">
        <w:rPr>
          <w:rFonts w:asciiTheme="minorHAnsi" w:hAnsiTheme="minorHAnsi" w:cstheme="minorHAnsi"/>
          <w:szCs w:val="24"/>
        </w:rPr>
        <w:t xml:space="preserve">rising threats </w:t>
      </w:r>
      <w:r>
        <w:rPr>
          <w:rFonts w:asciiTheme="minorHAnsi" w:hAnsiTheme="minorHAnsi" w:cstheme="minorHAnsi"/>
          <w:szCs w:val="24"/>
        </w:rPr>
        <w:t>for children in the</w:t>
      </w:r>
      <w:r w:rsidRPr="00EE30B4">
        <w:rPr>
          <w:rFonts w:asciiTheme="minorHAnsi" w:hAnsiTheme="minorHAnsi" w:cstheme="minorHAnsi"/>
          <w:szCs w:val="24"/>
        </w:rPr>
        <w:t xml:space="preserve"> trafficking in persons</w:t>
      </w:r>
      <w:r>
        <w:rPr>
          <w:rFonts w:asciiTheme="minorHAnsi" w:hAnsiTheme="minorHAnsi" w:cstheme="minorHAnsi"/>
          <w:szCs w:val="24"/>
        </w:rPr>
        <w:t>.</w:t>
      </w:r>
    </w:p>
    <w:p w14:paraId="7BF60903" w14:textId="515752DF" w:rsidR="00A514A4" w:rsidRPr="00E50349" w:rsidRDefault="00E50349" w:rsidP="00E50349">
      <w:pPr>
        <w:spacing w:before="720"/>
        <w:jc w:val="center"/>
      </w:pPr>
      <w:r w:rsidRPr="00D4786F">
        <w:t>______________</w:t>
      </w:r>
    </w:p>
    <w:sectPr w:rsidR="00A514A4" w:rsidRPr="00E50349" w:rsidSect="00AD3606">
      <w:footerReference w:type="default" r:id="rId19"/>
      <w:headerReference w:type="first" r:id="rId20"/>
      <w:footerReference w:type="first" r:id="rId21"/>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949319" w14:textId="77777777" w:rsidR="00E85115" w:rsidRDefault="00E85115">
      <w:r>
        <w:separator/>
      </w:r>
    </w:p>
  </w:endnote>
  <w:endnote w:type="continuationSeparator" w:id="0">
    <w:p w14:paraId="5374A3BC" w14:textId="77777777" w:rsidR="00E85115" w:rsidRDefault="00E85115">
      <w:r>
        <w:continuationSeparator/>
      </w:r>
    </w:p>
  </w:endnote>
  <w:endnote w:type="continuationNotice" w:id="1">
    <w:p w14:paraId="3E10BBC5" w14:textId="77777777" w:rsidR="00B67C18" w:rsidRDefault="00B67C1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B248BC" w14:paraId="48221C36" w14:textId="77777777" w:rsidTr="0042469C">
      <w:trPr>
        <w:jc w:val="center"/>
      </w:trPr>
      <w:tc>
        <w:tcPr>
          <w:tcW w:w="1803" w:type="dxa"/>
          <w:vAlign w:val="center"/>
        </w:tcPr>
        <w:p w14:paraId="2EEAAC71" w14:textId="77777777" w:rsidR="00EE49E8" w:rsidRDefault="00EE49E8" w:rsidP="00EE49E8">
          <w:pPr>
            <w:pStyle w:val="Header"/>
            <w:jc w:val="left"/>
            <w:rPr>
              <w:noProof/>
            </w:rPr>
          </w:pPr>
        </w:p>
      </w:tc>
      <w:tc>
        <w:tcPr>
          <w:tcW w:w="8261" w:type="dxa"/>
        </w:tcPr>
        <w:p w14:paraId="7BE62B90" w14:textId="639EDD32" w:rsidR="00EE49E8" w:rsidRPr="00BA3A51" w:rsidRDefault="00EE49E8" w:rsidP="0025570E">
          <w:pPr>
            <w:pStyle w:val="Header"/>
            <w:tabs>
              <w:tab w:val="left" w:pos="6309"/>
              <w:tab w:val="right" w:pos="8505"/>
              <w:tab w:val="right" w:pos="9639"/>
            </w:tabs>
            <w:jc w:val="left"/>
            <w:rPr>
              <w:rFonts w:ascii="Arial" w:hAnsi="Arial" w:cs="Arial"/>
              <w:b/>
              <w:bCs/>
              <w:szCs w:val="18"/>
              <w:lang w:val="fr-CH"/>
            </w:rPr>
          </w:pPr>
          <w:r w:rsidRPr="005C13D4">
            <w:rPr>
              <w:bCs/>
              <w:lang w:val="fr-CH"/>
            </w:rPr>
            <w:tab/>
          </w:r>
          <w:r w:rsidR="00A52C84" w:rsidRPr="00BA3A51">
            <w:rPr>
              <w:bCs/>
              <w:lang w:val="fr-CH"/>
            </w:rPr>
            <w:t>CWG-</w:t>
          </w:r>
          <w:r w:rsidR="0025570E">
            <w:rPr>
              <w:bCs/>
              <w:lang w:val="fr-CH"/>
            </w:rPr>
            <w:t>COP</w:t>
          </w:r>
          <w:r w:rsidR="00A52C84" w:rsidRPr="00BA3A51">
            <w:rPr>
              <w:bCs/>
              <w:lang w:val="fr-CH"/>
            </w:rPr>
            <w:t>-</w:t>
          </w:r>
          <w:r w:rsidR="0025570E">
            <w:rPr>
              <w:bCs/>
              <w:lang w:val="fr-CH"/>
            </w:rPr>
            <w:t>22</w:t>
          </w:r>
          <w:r w:rsidR="00A52C84" w:rsidRPr="00BA3A51">
            <w:rPr>
              <w:bCs/>
              <w:lang w:val="fr-CH"/>
            </w:rPr>
            <w:t>/</w:t>
          </w:r>
          <w:r w:rsidR="00E50349">
            <w:rPr>
              <w:bCs/>
              <w:lang w:val="fr-CH"/>
            </w:rPr>
            <w:t>2</w:t>
          </w:r>
          <w:r w:rsidR="00A52C84" w:rsidRPr="00BA3A51">
            <w:rPr>
              <w:bCs/>
              <w:lang w:val="fr-CH"/>
            </w:rPr>
            <w:t>-E</w:t>
          </w:r>
          <w:r w:rsidRPr="00BA3A51">
            <w:rPr>
              <w:bCs/>
              <w:lang w:val="fr-CH"/>
            </w:rPr>
            <w:tab/>
          </w:r>
          <w:r>
            <w:fldChar w:fldCharType="begin"/>
          </w:r>
          <w:r w:rsidRPr="00BA3A51">
            <w:rPr>
              <w:lang w:val="fr-CH"/>
            </w:rPr>
            <w:instrText>PAGE</w:instrText>
          </w:r>
          <w:r>
            <w:fldChar w:fldCharType="separate"/>
          </w:r>
          <w:r w:rsidRPr="00BA3A51">
            <w:rPr>
              <w:lang w:val="fr-CH"/>
            </w:rPr>
            <w:t>1</w:t>
          </w:r>
          <w:r>
            <w:rPr>
              <w:noProof/>
            </w:rPr>
            <w:fldChar w:fldCharType="end"/>
          </w:r>
        </w:p>
      </w:tc>
    </w:tr>
  </w:tbl>
  <w:p w14:paraId="5FA128D8" w14:textId="77777777" w:rsidR="00EE49E8" w:rsidRPr="00BA3A51" w:rsidRDefault="00EE49E8" w:rsidP="00EE49E8">
    <w:pPr>
      <w:pStyle w:val="Header"/>
      <w:tabs>
        <w:tab w:val="left" w:pos="8080"/>
        <w:tab w:val="right" w:pos="9072"/>
      </w:tabs>
      <w:jc w:val="left"/>
      <w:rPr>
        <w:bCs/>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B248BC" w14:paraId="78A593DA" w14:textId="77777777" w:rsidTr="00A52C84">
      <w:trPr>
        <w:jc w:val="center"/>
      </w:trPr>
      <w:tc>
        <w:tcPr>
          <w:tcW w:w="3107" w:type="dxa"/>
          <w:vAlign w:val="center"/>
        </w:tcPr>
        <w:p w14:paraId="2AD600F6" w14:textId="77777777" w:rsidR="00EE49E8" w:rsidRPr="00D6261A" w:rsidRDefault="0025570E" w:rsidP="00EE49E8">
          <w:pPr>
            <w:pStyle w:val="Header"/>
            <w:jc w:val="left"/>
            <w:rPr>
              <w:noProof/>
            </w:rPr>
          </w:pPr>
          <w:hyperlink r:id="rId1" w:history="1">
            <w:r w:rsidRPr="00D6261A">
              <w:rPr>
                <w:rStyle w:val="Hyperlink"/>
                <w:u w:val="none"/>
              </w:rPr>
              <w:t>https://council.itu.int/working-groups</w:t>
            </w:r>
          </w:hyperlink>
        </w:p>
      </w:tc>
      <w:tc>
        <w:tcPr>
          <w:tcW w:w="6957" w:type="dxa"/>
        </w:tcPr>
        <w:p w14:paraId="6EEF97F5" w14:textId="40B6C4B5" w:rsidR="00EE49E8" w:rsidRPr="00BA3A51" w:rsidRDefault="00EE49E8" w:rsidP="0025570E">
          <w:pPr>
            <w:pStyle w:val="Header"/>
            <w:tabs>
              <w:tab w:val="left" w:pos="5008"/>
              <w:tab w:val="right" w:pos="8505"/>
              <w:tab w:val="right" w:pos="9639"/>
            </w:tabs>
            <w:jc w:val="left"/>
            <w:rPr>
              <w:rFonts w:ascii="Arial" w:hAnsi="Arial" w:cs="Arial"/>
              <w:b/>
              <w:bCs/>
              <w:szCs w:val="18"/>
              <w:lang w:val="fr-CH"/>
            </w:rPr>
          </w:pPr>
          <w:r>
            <w:rPr>
              <w:bCs/>
            </w:rPr>
            <w:tab/>
          </w:r>
          <w:r w:rsidRPr="00BA3A51">
            <w:rPr>
              <w:bCs/>
              <w:lang w:val="fr-CH"/>
            </w:rPr>
            <w:t>C</w:t>
          </w:r>
          <w:r w:rsidR="00A52C84" w:rsidRPr="00BA3A51">
            <w:rPr>
              <w:bCs/>
              <w:lang w:val="fr-CH"/>
            </w:rPr>
            <w:t>WG-</w:t>
          </w:r>
          <w:r w:rsidR="0025570E">
            <w:rPr>
              <w:bCs/>
              <w:lang w:val="fr-CH"/>
            </w:rPr>
            <w:t>COP</w:t>
          </w:r>
          <w:r w:rsidR="00A52C84" w:rsidRPr="00BA3A51">
            <w:rPr>
              <w:bCs/>
              <w:lang w:val="fr-CH"/>
            </w:rPr>
            <w:t>-</w:t>
          </w:r>
          <w:r w:rsidR="0025570E">
            <w:rPr>
              <w:bCs/>
              <w:lang w:val="fr-CH"/>
            </w:rPr>
            <w:t>22</w:t>
          </w:r>
          <w:r w:rsidRPr="00BA3A51">
            <w:rPr>
              <w:bCs/>
              <w:lang w:val="fr-CH"/>
            </w:rPr>
            <w:t>/</w:t>
          </w:r>
          <w:r w:rsidR="00E50349">
            <w:rPr>
              <w:bCs/>
              <w:lang w:val="fr-CH"/>
            </w:rPr>
            <w:t>2</w:t>
          </w:r>
          <w:r w:rsidRPr="00BA3A51">
            <w:rPr>
              <w:bCs/>
              <w:lang w:val="fr-CH"/>
            </w:rPr>
            <w:t>-E</w:t>
          </w:r>
          <w:r w:rsidRPr="00BA3A51">
            <w:rPr>
              <w:bCs/>
              <w:lang w:val="fr-CH"/>
            </w:rPr>
            <w:tab/>
          </w:r>
          <w:r>
            <w:fldChar w:fldCharType="begin"/>
          </w:r>
          <w:r w:rsidRPr="00BA3A51">
            <w:rPr>
              <w:lang w:val="fr-CH"/>
            </w:rPr>
            <w:instrText>PAGE</w:instrText>
          </w:r>
          <w:r>
            <w:fldChar w:fldCharType="separate"/>
          </w:r>
          <w:r w:rsidRPr="00BA3A51">
            <w:rPr>
              <w:lang w:val="fr-CH"/>
            </w:rPr>
            <w:t>1</w:t>
          </w:r>
          <w:r>
            <w:rPr>
              <w:noProof/>
            </w:rPr>
            <w:fldChar w:fldCharType="end"/>
          </w:r>
        </w:p>
      </w:tc>
    </w:tr>
  </w:tbl>
  <w:p w14:paraId="03260A29" w14:textId="77777777" w:rsidR="00A514A4" w:rsidRPr="00BA3A51" w:rsidRDefault="00A514A4" w:rsidP="00EE49E8">
    <w:pPr>
      <w:pStyle w:val="Header"/>
      <w:tabs>
        <w:tab w:val="left" w:pos="8080"/>
        <w:tab w:val="right" w:pos="9072"/>
      </w:tabs>
      <w:jc w:val="right"/>
      <w:rPr>
        <w:bCs/>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BD321D" w14:textId="77777777" w:rsidR="00E85115" w:rsidRDefault="00E85115">
      <w:r>
        <w:t>____________________</w:t>
      </w:r>
    </w:p>
  </w:footnote>
  <w:footnote w:type="continuationSeparator" w:id="0">
    <w:p w14:paraId="077417A5" w14:textId="77777777" w:rsidR="00E85115" w:rsidRDefault="00E85115">
      <w:r>
        <w:continuationSeparator/>
      </w:r>
    </w:p>
  </w:footnote>
  <w:footnote w:type="continuationNotice" w:id="1">
    <w:p w14:paraId="51C399CF" w14:textId="77777777" w:rsidR="00B67C18" w:rsidRDefault="00B67C18">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08991027" w14:textId="77777777" w:rsidTr="00F74694">
      <w:trPr>
        <w:trHeight w:val="1304"/>
        <w:jc w:val="center"/>
      </w:trPr>
      <w:tc>
        <w:tcPr>
          <w:tcW w:w="6546" w:type="dxa"/>
        </w:tcPr>
        <w:bookmarkStart w:id="12" w:name="_Hlk133422111"/>
        <w:p w14:paraId="1B2DEE1F" w14:textId="77777777" w:rsidR="00AD3606" w:rsidRPr="009621F8" w:rsidRDefault="00D6261A" w:rsidP="00130599">
          <w:pPr>
            <w:pStyle w:val="Header"/>
            <w:jc w:val="left"/>
            <w:rPr>
              <w:rFonts w:ascii="Arial" w:hAnsi="Arial" w:cs="Arial"/>
              <w:b/>
              <w:bCs/>
              <w:color w:val="009CD6"/>
              <w:sz w:val="36"/>
              <w:szCs w:val="36"/>
            </w:rPr>
          </w:pPr>
          <w:r w:rsidRPr="00130599">
            <w:rPr>
              <w:rFonts w:ascii="Arial" w:hAnsi="Arial" w:cs="Arial"/>
              <w:b/>
              <w:bCs/>
              <w:noProof/>
              <w:color w:val="009CD6"/>
              <w:szCs w:val="18"/>
            </w:rPr>
            <mc:AlternateContent>
              <mc:Choice Requires="wps">
                <w:drawing>
                  <wp:anchor distT="0" distB="0" distL="114300" distR="114300" simplePos="0" relativeHeight="251658241" behindDoc="0" locked="0" layoutInCell="1" allowOverlap="1" wp14:anchorId="19D9522F" wp14:editId="30C4224D">
                    <wp:simplePos x="0" y="0"/>
                    <wp:positionH relativeFrom="column">
                      <wp:posOffset>1438331</wp:posOffset>
                    </wp:positionH>
                    <wp:positionV relativeFrom="paragraph">
                      <wp:posOffset>-635</wp:posOffset>
                    </wp:positionV>
                    <wp:extent cx="3999230" cy="471170"/>
                    <wp:effectExtent l="0" t="0" r="127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headEnd/>
                              <a:tailEnd/>
                            </a:ln>
                          </wps:spPr>
                          <wps:txbx>
                            <w:txbxContent>
                              <w:p w14:paraId="69515966" w14:textId="77777777" w:rsidR="00130599" w:rsidRDefault="000120E4" w:rsidP="000120E4">
                                <w:pPr>
                                  <w:spacing w:before="0"/>
                                </w:pPr>
                                <w:r w:rsidRPr="00F74694">
                                  <w:rPr>
                                    <w:b/>
                                    <w:bCs/>
                                    <w:szCs w:val="24"/>
                                  </w:rPr>
                                  <w:t xml:space="preserve">Council Working Group </w:t>
                                </w:r>
                                <w:r w:rsidRPr="00F74694">
                                  <w:rPr>
                                    <w:b/>
                                    <w:bCs/>
                                    <w:szCs w:val="24"/>
                                  </w:rPr>
                                  <w:br/>
                                  <w:t xml:space="preserve">on </w:t>
                                </w:r>
                                <w:r>
                                  <w:rPr>
                                    <w:b/>
                                    <w:bCs/>
                                    <w:szCs w:val="24"/>
                                  </w:rPr>
                                  <w:t>child online protection</w:t>
                                </w:r>
                                <w:r>
                                  <w:br/>
                                </w:r>
                                <w:r>
                                  <w:rPr>
                                    <w:sz w:val="20"/>
                                  </w:rPr>
                                  <w:t>Twenty-</w:t>
                                </w:r>
                                <w:r w:rsidR="0025570E">
                                  <w:rPr>
                                    <w:sz w:val="20"/>
                                  </w:rPr>
                                  <w:t>second</w:t>
                                </w:r>
                                <w:r w:rsidRPr="00130599">
                                  <w:rPr>
                                    <w:sz w:val="20"/>
                                  </w:rPr>
                                  <w:t xml:space="preserve"> meeting </w:t>
                                </w:r>
                                <w:r>
                                  <w:rPr>
                                    <w:sz w:val="20"/>
                                  </w:rPr>
                                  <w:t>– From 12 (p.m.) to 13 February 2025</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9D9522F" id="_x0000_t202" coordsize="21600,21600" o:spt="202" path="m,l,21600r21600,l21600,xe">
                    <v:stroke joinstyle="miter"/>
                    <v:path gradientshapeok="t" o:connecttype="rect"/>
                  </v:shapetype>
                  <v:shape id="Text Box 2" o:spid="_x0000_s1026" type="#_x0000_t202" style="position:absolute;margin-left:113.25pt;margin-top:-.05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" fillcolor="white [3212]" stroked="f">
                    <v:textbox style="mso-fit-shape-to-text:t" inset="1mm">
                      <w:txbxContent>
                        <w:p w14:paraId="69515966" w14:textId="77777777" w:rsidR="00130599" w:rsidRDefault="000120E4" w:rsidP="000120E4">
                          <w:pPr>
                            <w:spacing w:before="0"/>
                          </w:pPr>
                          <w:r w:rsidRPr="00F74694">
                            <w:rPr>
                              <w:b/>
                              <w:bCs/>
                              <w:szCs w:val="24"/>
                            </w:rPr>
                            <w:t xml:space="preserve">Council Working Group </w:t>
                          </w:r>
                          <w:r w:rsidRPr="00F74694">
                            <w:rPr>
                              <w:b/>
                              <w:bCs/>
                              <w:szCs w:val="24"/>
                            </w:rPr>
                            <w:br/>
                            <w:t xml:space="preserve">on </w:t>
                          </w:r>
                          <w:r>
                            <w:rPr>
                              <w:b/>
                              <w:bCs/>
                              <w:szCs w:val="24"/>
                            </w:rPr>
                            <w:t>child online protection</w:t>
                          </w:r>
                          <w:r>
                            <w:br/>
                          </w:r>
                          <w:r>
                            <w:rPr>
                              <w:sz w:val="20"/>
                            </w:rPr>
                            <w:t>Twenty-</w:t>
                          </w:r>
                          <w:r w:rsidR="0025570E">
                            <w:rPr>
                              <w:sz w:val="20"/>
                            </w:rPr>
                            <w:t>second</w:t>
                          </w:r>
                          <w:r w:rsidRPr="00130599">
                            <w:rPr>
                              <w:sz w:val="20"/>
                            </w:rPr>
                            <w:t xml:space="preserve"> meeting </w:t>
                          </w:r>
                          <w:r>
                            <w:rPr>
                              <w:sz w:val="20"/>
                            </w:rPr>
                            <w:t>– From 12 (p.m.) to 13 February 2025</w:t>
                          </w:r>
                        </w:p>
                      </w:txbxContent>
                    </v:textbox>
                  </v:shape>
                </w:pict>
              </mc:Fallback>
            </mc:AlternateContent>
          </w:r>
          <w:r>
            <w:rPr>
              <w:rFonts w:ascii="Arial" w:hAnsi="Arial" w:cs="Arial"/>
              <w:b/>
              <w:bCs/>
              <w:noProof/>
              <w:color w:val="009CD6"/>
              <w:sz w:val="36"/>
              <w:szCs w:val="36"/>
            </w:rPr>
            <w:drawing>
              <wp:inline distT="0" distB="0" distL="0" distR="0" wp14:anchorId="4D92F987" wp14:editId="1A7B9460">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4C14D5B5" w14:textId="77777777" w:rsidR="00AD3606" w:rsidRDefault="00AD3606" w:rsidP="00AD3606">
          <w:pPr>
            <w:pStyle w:val="Header"/>
            <w:jc w:val="right"/>
            <w:rPr>
              <w:rFonts w:ascii="Arial" w:hAnsi="Arial" w:cs="Arial"/>
              <w:b/>
              <w:bCs/>
              <w:color w:val="009CD6"/>
              <w:szCs w:val="18"/>
            </w:rPr>
          </w:pPr>
        </w:p>
        <w:p w14:paraId="56574E4E" w14:textId="77777777" w:rsidR="00AD3606" w:rsidRDefault="00AD3606" w:rsidP="00AD3606">
          <w:pPr>
            <w:pStyle w:val="Header"/>
            <w:jc w:val="right"/>
            <w:rPr>
              <w:rFonts w:ascii="Arial" w:hAnsi="Arial" w:cs="Arial"/>
              <w:b/>
              <w:bCs/>
              <w:color w:val="009CD6"/>
              <w:szCs w:val="18"/>
            </w:rPr>
          </w:pPr>
        </w:p>
        <w:p w14:paraId="6E63E019"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2"/>
  <w:p w14:paraId="730D5F63" w14:textId="77777777"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11F7E2AC" wp14:editId="6DBF9202">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85DDC9"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374816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115"/>
    <w:rsid w:val="00007074"/>
    <w:rsid w:val="000120E4"/>
    <w:rsid w:val="000210D4"/>
    <w:rsid w:val="00063016"/>
    <w:rsid w:val="00066795"/>
    <w:rsid w:val="00076AF6"/>
    <w:rsid w:val="000830D8"/>
    <w:rsid w:val="00085CF2"/>
    <w:rsid w:val="000B1705"/>
    <w:rsid w:val="000D75B2"/>
    <w:rsid w:val="000E65E8"/>
    <w:rsid w:val="001121F5"/>
    <w:rsid w:val="00120342"/>
    <w:rsid w:val="00130599"/>
    <w:rsid w:val="001312F8"/>
    <w:rsid w:val="001400DC"/>
    <w:rsid w:val="00140CE1"/>
    <w:rsid w:val="00147C54"/>
    <w:rsid w:val="0017539C"/>
    <w:rsid w:val="00175AC2"/>
    <w:rsid w:val="0017609F"/>
    <w:rsid w:val="0019308F"/>
    <w:rsid w:val="001A7D1D"/>
    <w:rsid w:val="001B51DD"/>
    <w:rsid w:val="001C628E"/>
    <w:rsid w:val="001E0F7B"/>
    <w:rsid w:val="001E0FBE"/>
    <w:rsid w:val="001E5FE7"/>
    <w:rsid w:val="002119FD"/>
    <w:rsid w:val="002130E0"/>
    <w:rsid w:val="00244F7F"/>
    <w:rsid w:val="0025570E"/>
    <w:rsid w:val="00264425"/>
    <w:rsid w:val="00265875"/>
    <w:rsid w:val="0027303B"/>
    <w:rsid w:val="0028109B"/>
    <w:rsid w:val="002A2188"/>
    <w:rsid w:val="002B1F58"/>
    <w:rsid w:val="002C1C7A"/>
    <w:rsid w:val="002C54E2"/>
    <w:rsid w:val="002E0AC3"/>
    <w:rsid w:val="0030160F"/>
    <w:rsid w:val="003145DF"/>
    <w:rsid w:val="00320223"/>
    <w:rsid w:val="00322D0D"/>
    <w:rsid w:val="00361465"/>
    <w:rsid w:val="003877F5"/>
    <w:rsid w:val="003942D4"/>
    <w:rsid w:val="0039514F"/>
    <w:rsid w:val="003958A8"/>
    <w:rsid w:val="003B29C2"/>
    <w:rsid w:val="003C20CA"/>
    <w:rsid w:val="003C2533"/>
    <w:rsid w:val="003D5A7F"/>
    <w:rsid w:val="003D635C"/>
    <w:rsid w:val="004016E2"/>
    <w:rsid w:val="0040435A"/>
    <w:rsid w:val="00416A24"/>
    <w:rsid w:val="0042059E"/>
    <w:rsid w:val="00431D9E"/>
    <w:rsid w:val="00433CE8"/>
    <w:rsid w:val="00434A5C"/>
    <w:rsid w:val="004544D9"/>
    <w:rsid w:val="00472BAD"/>
    <w:rsid w:val="00484009"/>
    <w:rsid w:val="00490E72"/>
    <w:rsid w:val="00491157"/>
    <w:rsid w:val="004921C8"/>
    <w:rsid w:val="00495B0B"/>
    <w:rsid w:val="004A1B8B"/>
    <w:rsid w:val="004D1851"/>
    <w:rsid w:val="004D599D"/>
    <w:rsid w:val="004E2EA5"/>
    <w:rsid w:val="004E3AEB"/>
    <w:rsid w:val="0050223C"/>
    <w:rsid w:val="00502A04"/>
    <w:rsid w:val="005243FF"/>
    <w:rsid w:val="005311D6"/>
    <w:rsid w:val="00536422"/>
    <w:rsid w:val="00564FBC"/>
    <w:rsid w:val="005800BC"/>
    <w:rsid w:val="00582442"/>
    <w:rsid w:val="005A335D"/>
    <w:rsid w:val="005C13D4"/>
    <w:rsid w:val="005E2BD5"/>
    <w:rsid w:val="005F3269"/>
    <w:rsid w:val="00623AE3"/>
    <w:rsid w:val="00626E0A"/>
    <w:rsid w:val="0064737F"/>
    <w:rsid w:val="006535F1"/>
    <w:rsid w:val="0065557D"/>
    <w:rsid w:val="00660D50"/>
    <w:rsid w:val="00662984"/>
    <w:rsid w:val="006716BB"/>
    <w:rsid w:val="00692B49"/>
    <w:rsid w:val="006B1859"/>
    <w:rsid w:val="006B6680"/>
    <w:rsid w:val="006B6DCC"/>
    <w:rsid w:val="00701C70"/>
    <w:rsid w:val="00702DEF"/>
    <w:rsid w:val="00706861"/>
    <w:rsid w:val="0075051B"/>
    <w:rsid w:val="00775655"/>
    <w:rsid w:val="00785052"/>
    <w:rsid w:val="00793188"/>
    <w:rsid w:val="00794D34"/>
    <w:rsid w:val="007B277E"/>
    <w:rsid w:val="007D3EE0"/>
    <w:rsid w:val="00806E3C"/>
    <w:rsid w:val="00813E5E"/>
    <w:rsid w:val="00816C2C"/>
    <w:rsid w:val="0083581B"/>
    <w:rsid w:val="00860EED"/>
    <w:rsid w:val="00863874"/>
    <w:rsid w:val="00864AFF"/>
    <w:rsid w:val="00865925"/>
    <w:rsid w:val="00891503"/>
    <w:rsid w:val="008B4A6A"/>
    <w:rsid w:val="008C7E27"/>
    <w:rsid w:val="008F1A23"/>
    <w:rsid w:val="008F3822"/>
    <w:rsid w:val="008F3BF2"/>
    <w:rsid w:val="008F7448"/>
    <w:rsid w:val="0090147A"/>
    <w:rsid w:val="0090389B"/>
    <w:rsid w:val="009173EF"/>
    <w:rsid w:val="00932906"/>
    <w:rsid w:val="00961860"/>
    <w:rsid w:val="00961B0B"/>
    <w:rsid w:val="00962D33"/>
    <w:rsid w:val="009B38C3"/>
    <w:rsid w:val="009E17BD"/>
    <w:rsid w:val="009E485A"/>
    <w:rsid w:val="00A04CEC"/>
    <w:rsid w:val="00A27F92"/>
    <w:rsid w:val="00A32257"/>
    <w:rsid w:val="00A36D20"/>
    <w:rsid w:val="00A46CD0"/>
    <w:rsid w:val="00A514A4"/>
    <w:rsid w:val="00A52C84"/>
    <w:rsid w:val="00A55622"/>
    <w:rsid w:val="00A83502"/>
    <w:rsid w:val="00AD15B3"/>
    <w:rsid w:val="00AD3606"/>
    <w:rsid w:val="00AD4A3D"/>
    <w:rsid w:val="00AF6E49"/>
    <w:rsid w:val="00B04A67"/>
    <w:rsid w:val="00B0583C"/>
    <w:rsid w:val="00B14002"/>
    <w:rsid w:val="00B248BC"/>
    <w:rsid w:val="00B358B2"/>
    <w:rsid w:val="00B40A81"/>
    <w:rsid w:val="00B44910"/>
    <w:rsid w:val="00B67C18"/>
    <w:rsid w:val="00B72267"/>
    <w:rsid w:val="00B73DD1"/>
    <w:rsid w:val="00B76EB6"/>
    <w:rsid w:val="00B7737B"/>
    <w:rsid w:val="00B824C8"/>
    <w:rsid w:val="00B849D3"/>
    <w:rsid w:val="00B84B9D"/>
    <w:rsid w:val="00BA3A51"/>
    <w:rsid w:val="00BA3A68"/>
    <w:rsid w:val="00BC251A"/>
    <w:rsid w:val="00BD032B"/>
    <w:rsid w:val="00BD0614"/>
    <w:rsid w:val="00BD094B"/>
    <w:rsid w:val="00BE2640"/>
    <w:rsid w:val="00C01189"/>
    <w:rsid w:val="00C374DE"/>
    <w:rsid w:val="00C47AD4"/>
    <w:rsid w:val="00C52D81"/>
    <w:rsid w:val="00C55198"/>
    <w:rsid w:val="00C56BCD"/>
    <w:rsid w:val="00C922C7"/>
    <w:rsid w:val="00CA6393"/>
    <w:rsid w:val="00CB18FF"/>
    <w:rsid w:val="00CD0C08"/>
    <w:rsid w:val="00CD3C91"/>
    <w:rsid w:val="00CE03FB"/>
    <w:rsid w:val="00CE433C"/>
    <w:rsid w:val="00CF0161"/>
    <w:rsid w:val="00CF33F3"/>
    <w:rsid w:val="00D06183"/>
    <w:rsid w:val="00D20729"/>
    <w:rsid w:val="00D22C42"/>
    <w:rsid w:val="00D45669"/>
    <w:rsid w:val="00D464CC"/>
    <w:rsid w:val="00D522F6"/>
    <w:rsid w:val="00D6261A"/>
    <w:rsid w:val="00D65041"/>
    <w:rsid w:val="00DB00D5"/>
    <w:rsid w:val="00DB1936"/>
    <w:rsid w:val="00DB384B"/>
    <w:rsid w:val="00DE6F5C"/>
    <w:rsid w:val="00DF0189"/>
    <w:rsid w:val="00E03FA7"/>
    <w:rsid w:val="00E06FD5"/>
    <w:rsid w:val="00E10E80"/>
    <w:rsid w:val="00E124F0"/>
    <w:rsid w:val="00E227F3"/>
    <w:rsid w:val="00E4728B"/>
    <w:rsid w:val="00E50349"/>
    <w:rsid w:val="00E545C6"/>
    <w:rsid w:val="00E60F04"/>
    <w:rsid w:val="00E65B24"/>
    <w:rsid w:val="00E85115"/>
    <w:rsid w:val="00E854E4"/>
    <w:rsid w:val="00E86DBF"/>
    <w:rsid w:val="00EB0D6F"/>
    <w:rsid w:val="00EB2232"/>
    <w:rsid w:val="00EC5337"/>
    <w:rsid w:val="00EE49E8"/>
    <w:rsid w:val="00F16BAB"/>
    <w:rsid w:val="00F2150A"/>
    <w:rsid w:val="00F231D8"/>
    <w:rsid w:val="00F37C24"/>
    <w:rsid w:val="00F44C00"/>
    <w:rsid w:val="00F45D2C"/>
    <w:rsid w:val="00F46C5F"/>
    <w:rsid w:val="00F632C0"/>
    <w:rsid w:val="00F74694"/>
    <w:rsid w:val="00F86596"/>
    <w:rsid w:val="00F93FD4"/>
    <w:rsid w:val="00F94A63"/>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378BEB"/>
  <w15:docId w15:val="{63D9AD8D-3090-4D88-824F-06954453C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link w:val="Heading2Char"/>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rsid w:val="00961860"/>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806E3C"/>
    <w:rPr>
      <w:color w:val="605E5C"/>
      <w:shd w:val="clear" w:color="auto" w:fill="E1DFDD"/>
    </w:rPr>
  </w:style>
  <w:style w:type="character" w:styleId="PlaceholderText">
    <w:name w:val="Placeholder Text"/>
    <w:basedOn w:val="DefaultParagraphFont"/>
    <w:uiPriority w:val="99"/>
    <w:semiHidden/>
    <w:rsid w:val="00D6261A"/>
    <w:rPr>
      <w:color w:val="666666"/>
    </w:rPr>
  </w:style>
  <w:style w:type="character" w:customStyle="1" w:styleId="Heading2Char">
    <w:name w:val="Heading 2 Char"/>
    <w:basedOn w:val="DefaultParagraphFont"/>
    <w:link w:val="Heading2"/>
    <w:rsid w:val="00E50349"/>
    <w:rPr>
      <w:rFonts w:ascii="Calibri" w:hAnsi="Calibri"/>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ITU-D/Cybersecurity/Pages/COP/COP.aspx" TargetMode="External"/><Relationship Id="rId18" Type="http://schemas.openxmlformats.org/officeDocument/2006/relationships/hyperlink" Target="https://icat.un.org/sites/g/files/tmzbdl461/files/publications/icat_principals_statement_2024.pdf"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itu.int/en/ITU-D/Cybersecurity/Pages/COP/COP.aspx" TargetMode="External"/><Relationship Id="rId17" Type="http://schemas.openxmlformats.org/officeDocument/2006/relationships/hyperlink" Target="https://icat.un.org/sites/g/files/tmzbdl461/files/publications/icat_issue_brief_12_vulnerability_to_tip.pdf" TargetMode="External"/><Relationship Id="rId2" Type="http://schemas.openxmlformats.org/officeDocument/2006/relationships/customXml" Target="../customXml/item2.xml"/><Relationship Id="rId16" Type="http://schemas.openxmlformats.org/officeDocument/2006/relationships/hyperlink" Target="https://www.itu.int/en/ITU-D/Cybersecurity/Pages/COP/POP.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council/cwg-cop/Pages/default.aspx" TargetMode="External"/><Relationship Id="rId5" Type="http://schemas.openxmlformats.org/officeDocument/2006/relationships/numbering" Target="numbering.xml"/><Relationship Id="rId15" Type="http://schemas.openxmlformats.org/officeDocument/2006/relationships/hyperlink" Target="https://www.itu.int/en/ITU-D/Cybersecurity/Pages/COP/POP.asp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ITU-D/Cybersecurity/Pages/COP/POP.aspx"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6B2CC4DF5F10149B2E37F08EDC3AC3A" ma:contentTypeVersion="4" ma:contentTypeDescription="Create a new document." ma:contentTypeScope="" ma:versionID="307ecc74a8eb51dfea6b750f0799606c">
  <xsd:schema xmlns:xsd="http://www.w3.org/2001/XMLSchema" xmlns:xs="http://www.w3.org/2001/XMLSchema" xmlns:p="http://schemas.microsoft.com/office/2006/metadata/properties" xmlns:ns2="a1cf676c-2816-4389-ad5d-0f2e7c7e67c4" targetNamespace="http://schemas.microsoft.com/office/2006/metadata/properties" ma:root="true" ma:fieldsID="80c3ec948e348096898dbd7aed4bed44" ns2:_="">
    <xsd:import namespace="a1cf676c-2816-4389-ad5d-0f2e7c7e67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f676c-2816-4389-ad5d-0f2e7c7e6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AD507F-A3F1-4EBD-9877-4507CFBE75F9}">
  <ds:schemaRefs>
    <ds:schemaRef ds:uri="http://schemas.microsoft.com/sharepoint/v3/contenttype/forms"/>
  </ds:schemaRefs>
</ds:datastoreItem>
</file>

<file path=customXml/itemProps2.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3.xml><?xml version="1.0" encoding="utf-8"?>
<ds:datastoreItem xmlns:ds="http://schemas.openxmlformats.org/officeDocument/2006/customXml" ds:itemID="{877A93EA-586C-4CBD-ACD4-AFC7B54EAFC0}">
  <ds:schemaRefs>
    <ds:schemaRef ds:uri="http://purl.org/dc/terms/"/>
    <ds:schemaRef ds:uri="a1cf676c-2816-4389-ad5d-0f2e7c7e67c4"/>
    <ds:schemaRef ds:uri="http://purl.org/dc/dcmitype/"/>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4B01B2A0-0257-46B8-9C4E-A255CC8650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f676c-2816-4389-ad5d-0f2e7c7e6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721</Words>
  <Characters>4974</Characters>
  <Application>Microsoft Office Word</Application>
  <DocSecurity>0</DocSecurity>
  <Lines>101</Lines>
  <Paragraphs>57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5638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 on the ITU child online protection initiative and the COP global programme</dc:title>
  <dc:subject>ITU Council Working Group on child online protection</dc:subject>
  <dc:creator>LRT</dc:creator>
  <cp:keywords>CWG-COP</cp:keywords>
  <dc:description/>
  <cp:lastModifiedBy>LRT</cp:lastModifiedBy>
  <cp:revision>7</cp:revision>
  <dcterms:created xsi:type="dcterms:W3CDTF">2025-01-07T16:51:00Z</dcterms:created>
  <dcterms:modified xsi:type="dcterms:W3CDTF">2025-01-10T16:15:00Z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0x01010096B2CC4DF5F10149B2E37F08EDC3AC3A</vt:lpwstr>
  </property>
  <property fmtid="{D5CDD505-2E9C-101B-9397-08002B2CF9AE}" pid="3" name="GrammarlyDocumentId">
    <vt:lpwstr>22bacf6973805b34f46f3010fde306f01445755a89ebee40be5782b972b8c850</vt:lpwstr>
  </property>
</Properties>
</file>