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FE4B9B" w14:paraId="3E1C2769" w14:textId="77777777" w:rsidTr="6B7CA00A">
        <w:trPr>
          <w:cantSplit/>
          <w:trHeight w:val="23"/>
        </w:trPr>
        <w:tc>
          <w:tcPr>
            <w:tcW w:w="3969" w:type="dxa"/>
            <w:vMerge w:val="restart"/>
            <w:tcMar>
              <w:left w:w="0" w:type="dxa"/>
            </w:tcMar>
          </w:tcPr>
          <w:p w14:paraId="7147B863" w14:textId="5B542517"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6779937E" w14:textId="187ED0CD" w:rsidR="00AD3606" w:rsidRPr="006E5DF4" w:rsidRDefault="00AD3606" w:rsidP="00472BAD">
            <w:pPr>
              <w:tabs>
                <w:tab w:val="left" w:pos="851"/>
              </w:tabs>
              <w:spacing w:before="0" w:line="240" w:lineRule="atLeast"/>
              <w:jc w:val="right"/>
              <w:rPr>
                <w:b/>
                <w:lang w:val="fr-CH"/>
              </w:rPr>
            </w:pPr>
            <w:r w:rsidRPr="006E5DF4">
              <w:rPr>
                <w:b/>
                <w:lang w:val="fr-CH"/>
              </w:rPr>
              <w:t>Document C2</w:t>
            </w:r>
            <w:r w:rsidR="00BF1FDE" w:rsidRPr="006E5DF4">
              <w:rPr>
                <w:b/>
                <w:lang w:val="fr-CH"/>
              </w:rPr>
              <w:t>5</w:t>
            </w:r>
            <w:r w:rsidRPr="006E5DF4">
              <w:rPr>
                <w:b/>
                <w:lang w:val="fr-CH"/>
              </w:rPr>
              <w:t>/</w:t>
            </w:r>
            <w:r w:rsidR="006E5DF4" w:rsidRPr="006E5DF4">
              <w:rPr>
                <w:b/>
                <w:lang w:val="fr-CH"/>
              </w:rPr>
              <w:t>INF/</w:t>
            </w:r>
            <w:r w:rsidR="00C20A64">
              <w:rPr>
                <w:b/>
                <w:lang w:val="fr-CH"/>
              </w:rPr>
              <w:t>5</w:t>
            </w:r>
            <w:r w:rsidRPr="006E5DF4">
              <w:rPr>
                <w:b/>
                <w:lang w:val="fr-CH"/>
              </w:rPr>
              <w:t>-E</w:t>
            </w:r>
          </w:p>
        </w:tc>
      </w:tr>
      <w:tr w:rsidR="00AD3606" w:rsidRPr="00C0458D" w14:paraId="3E3F9DA5" w14:textId="77777777" w:rsidTr="6B7CA00A">
        <w:trPr>
          <w:cantSplit/>
        </w:trPr>
        <w:tc>
          <w:tcPr>
            <w:tcW w:w="3969" w:type="dxa"/>
            <w:vMerge/>
          </w:tcPr>
          <w:p w14:paraId="5920AA6E" w14:textId="77777777" w:rsidR="00AD3606" w:rsidRPr="006E5DF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55371C25" w14:textId="204F6816" w:rsidR="00AD3606" w:rsidRPr="00C0458D" w:rsidRDefault="00D14C77" w:rsidP="00AD3606">
            <w:pPr>
              <w:tabs>
                <w:tab w:val="left" w:pos="851"/>
              </w:tabs>
              <w:spacing w:before="0"/>
              <w:jc w:val="right"/>
              <w:rPr>
                <w:b/>
              </w:rPr>
            </w:pPr>
            <w:r>
              <w:rPr>
                <w:b/>
              </w:rPr>
              <w:t>22</w:t>
            </w:r>
            <w:r w:rsidR="00DF6909">
              <w:rPr>
                <w:b/>
              </w:rPr>
              <w:t xml:space="preserve"> May</w:t>
            </w:r>
            <w:r w:rsidR="00C60C17">
              <w:rPr>
                <w:b/>
              </w:rPr>
              <w:t xml:space="preserve"> 2025</w:t>
            </w:r>
          </w:p>
        </w:tc>
      </w:tr>
      <w:tr w:rsidR="00AD3606" w:rsidRPr="00C0458D" w14:paraId="75730376" w14:textId="77777777" w:rsidTr="6B7CA00A">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450510D9" w:rsidR="00AD3606" w:rsidRPr="00C0458D" w:rsidRDefault="00AD3606" w:rsidP="00AD3606">
            <w:pPr>
              <w:tabs>
                <w:tab w:val="left" w:pos="851"/>
              </w:tabs>
              <w:spacing w:before="0" w:line="240" w:lineRule="atLeast"/>
              <w:jc w:val="right"/>
              <w:rPr>
                <w:b/>
              </w:rPr>
            </w:pPr>
            <w:r w:rsidRPr="00C0458D">
              <w:rPr>
                <w:b/>
              </w:rPr>
              <w:t>English</w:t>
            </w:r>
            <w:r w:rsidR="006E5DF4">
              <w:rPr>
                <w:b/>
              </w:rPr>
              <w:t xml:space="preserve"> only</w:t>
            </w:r>
          </w:p>
        </w:tc>
      </w:tr>
      <w:tr w:rsidR="00472BAD" w:rsidRPr="00C0458D" w14:paraId="14DA91C4" w14:textId="77777777" w:rsidTr="6B7CA00A">
        <w:trPr>
          <w:cantSplit/>
          <w:trHeight w:val="23"/>
        </w:trPr>
        <w:tc>
          <w:tcPr>
            <w:tcW w:w="3969" w:type="dxa"/>
          </w:tcPr>
          <w:p w14:paraId="5858B25D" w14:textId="77777777"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6B7CA00A">
        <w:trPr>
          <w:cantSplit/>
        </w:trPr>
        <w:tc>
          <w:tcPr>
            <w:tcW w:w="9214" w:type="dxa"/>
            <w:gridSpan w:val="2"/>
            <w:tcMar>
              <w:left w:w="0" w:type="dxa"/>
            </w:tcMar>
          </w:tcPr>
          <w:p w14:paraId="2016C4A0" w14:textId="29E410D4" w:rsidR="00AD3606" w:rsidRPr="000F7289" w:rsidRDefault="006E5DF4" w:rsidP="000F7289">
            <w:pPr>
              <w:pStyle w:val="Source"/>
              <w:framePr w:hSpace="0" w:wrap="auto" w:vAnchor="margin" w:hAnchor="text" w:xAlign="left" w:yAlign="inline"/>
            </w:pPr>
            <w:bookmarkStart w:id="8" w:name="dsource" w:colFirst="0" w:colLast="0"/>
            <w:bookmarkEnd w:id="7"/>
            <w:r>
              <w:t>Note</w:t>
            </w:r>
            <w:r w:rsidR="00AD3606" w:rsidRPr="000F7289">
              <w:t xml:space="preserve"> by the Secretary-General</w:t>
            </w:r>
          </w:p>
        </w:tc>
      </w:tr>
      <w:tr w:rsidR="00AD3606" w:rsidRPr="00C0458D" w14:paraId="3A759762" w14:textId="77777777" w:rsidTr="6B7CA00A">
        <w:trPr>
          <w:cantSplit/>
        </w:trPr>
        <w:tc>
          <w:tcPr>
            <w:tcW w:w="9214" w:type="dxa"/>
            <w:gridSpan w:val="2"/>
            <w:tcMar>
              <w:left w:w="0" w:type="dxa"/>
            </w:tcMar>
          </w:tcPr>
          <w:p w14:paraId="2A2DCF47" w14:textId="6EF94D1A" w:rsidR="00AD3606" w:rsidRPr="000F7289" w:rsidRDefault="00C60C17" w:rsidP="00C20A64">
            <w:pPr>
              <w:pStyle w:val="Subtitle"/>
              <w:framePr w:hSpace="0" w:wrap="auto" w:xAlign="left" w:yAlign="inline"/>
              <w:spacing w:after="0"/>
            </w:pPr>
            <w:bookmarkStart w:id="9" w:name="dtitle1" w:colFirst="0" w:colLast="0"/>
            <w:bookmarkEnd w:id="8"/>
            <w:r>
              <w:t>ITU COUNCIL CONTRIBUTION TO THE HIGH-LEVEL POLITICAL FORUM ON SUSTAINABLE DEVELOPMENT (HLPF) 2025</w:t>
            </w:r>
          </w:p>
        </w:tc>
      </w:tr>
      <w:tr w:rsidR="00AD3606" w:rsidRPr="00C0458D" w14:paraId="72B25568" w14:textId="77777777" w:rsidTr="6B7CA00A">
        <w:trPr>
          <w:cantSplit/>
        </w:trPr>
        <w:tc>
          <w:tcPr>
            <w:tcW w:w="9214" w:type="dxa"/>
            <w:gridSpan w:val="2"/>
            <w:tcBorders>
              <w:top w:val="single" w:sz="4" w:space="0" w:color="auto"/>
              <w:bottom w:val="single" w:sz="4" w:space="0" w:color="auto"/>
            </w:tcBorders>
            <w:tcMar>
              <w:left w:w="0" w:type="dxa"/>
            </w:tcMar>
          </w:tcPr>
          <w:p w14:paraId="4C3D541B" w14:textId="1024FD2F" w:rsidR="00AD3606" w:rsidRPr="00C0458D" w:rsidRDefault="00F16BAB" w:rsidP="00F16BAB">
            <w:pPr>
              <w:spacing w:before="160"/>
              <w:rPr>
                <w:b/>
                <w:bCs/>
                <w:sz w:val="26"/>
                <w:szCs w:val="26"/>
              </w:rPr>
            </w:pPr>
            <w:r w:rsidRPr="00C0458D">
              <w:rPr>
                <w:b/>
                <w:bCs/>
                <w:sz w:val="26"/>
                <w:szCs w:val="26"/>
              </w:rPr>
              <w:t>Purpose</w:t>
            </w:r>
          </w:p>
          <w:p w14:paraId="2DFBA7E0" w14:textId="08AEB9A0" w:rsidR="00E869DE" w:rsidRPr="00C02794" w:rsidRDefault="00FE4B9B" w:rsidP="00774D26">
            <w:pPr>
              <w:jc w:val="both"/>
            </w:pPr>
            <w:r>
              <w:t>This document contains the contribution of the ITU Council submitted on 3 March by the Chair of the ITU Council to the 2025 High-Level Political Forum on Sustainable Development (HLPF), in response to the annual invitation extended to ITU</w:t>
            </w:r>
            <w:r w:rsidR="00774D26">
              <w:t>’</w:t>
            </w:r>
            <w:r>
              <w:t>s intergovernmental body by the President of the United Nations Economic and Social Council (ECOSOC).</w:t>
            </w:r>
            <w:r w:rsidR="00244C02">
              <w:t xml:space="preserve"> </w:t>
            </w:r>
            <w:r w:rsidR="00CC4B57">
              <w:t xml:space="preserve"> </w:t>
            </w:r>
            <w:r w:rsidR="00CC4B57" w:rsidRPr="00CC4B57">
              <w:t>The contribution was finalized, according to the decision by the Council Working Group on WSIS and SDGs at its Forty-second meeting, following the allocated timeline for further comments from member states.</w:t>
            </w:r>
          </w:p>
          <w:p w14:paraId="074FFD82" w14:textId="5015E78B" w:rsidR="00C02794" w:rsidRPr="00E869DE" w:rsidRDefault="00FE4B9B" w:rsidP="00774D26">
            <w:pPr>
              <w:jc w:val="both"/>
              <w:rPr>
                <w:sz w:val="26"/>
                <w:szCs w:val="26"/>
              </w:rPr>
            </w:pPr>
            <w:r w:rsidRPr="00FE4B9B">
              <w:t xml:space="preserve">Within the context of the annual theme </w:t>
            </w:r>
            <w:r w:rsidR="00774D26">
              <w:t>‘</w:t>
            </w:r>
            <w:r w:rsidRPr="00FE4B9B">
              <w:t>Advancing sustainable, inclusive, science- and evidence-based solutions for the 2030 Agenda and its SDGs for leaving no one behind,</w:t>
            </w:r>
            <w:r w:rsidR="00774D26">
              <w:t>’</w:t>
            </w:r>
            <w:r w:rsidRPr="00FE4B9B">
              <w:t xml:space="preserve"> the input provided offers views, findings, research, data, and policy recommendations. It also includes Annex 1, which specifically explores the role of ICTs and ITU</w:t>
            </w:r>
            <w:r w:rsidR="00774D26">
              <w:t>’</w:t>
            </w:r>
            <w:r w:rsidRPr="00FE4B9B">
              <w:t>s contributions towards achieving several key Sustainable Development Goals: SDG 3 (Ensure healthy lives and promote well-being for all at all ages), SDG 5 (Achieve gender equality and empower all women and girls), SDG 8 (Promote sustained, inclusive, and sustainable economic growth, full and productive employment, and decent work for all), SDG 14 (Conserve and sustainably use the oceans, seas, and marine resources for sustainable development), and SDG 17 (Strengthen the means of implementation and revitalize the Global Partnership for Sustainable Development)</w:t>
            </w:r>
            <w:r>
              <w:t xml:space="preserve">, to be </w:t>
            </w:r>
            <w:r w:rsidRPr="00FE4B9B">
              <w:t>reviewed in-depth at the HLPF-2025</w:t>
            </w:r>
            <w:r w:rsidR="00244C02" w:rsidRPr="00C02794">
              <w:t>.</w:t>
            </w:r>
          </w:p>
          <w:p w14:paraId="4288AA6F" w14:textId="77777777" w:rsidR="00AD3606" w:rsidRDefault="00AD3606" w:rsidP="00774D26">
            <w:pPr>
              <w:spacing w:before="160"/>
              <w:jc w:val="both"/>
              <w:rPr>
                <w:b/>
                <w:bCs/>
                <w:sz w:val="26"/>
                <w:szCs w:val="26"/>
              </w:rPr>
            </w:pPr>
            <w:r w:rsidRPr="00C0458D">
              <w:rPr>
                <w:b/>
                <w:bCs/>
                <w:sz w:val="26"/>
                <w:szCs w:val="26"/>
              </w:rPr>
              <w:t>Action required</w:t>
            </w:r>
            <w:r w:rsidR="00F16BAB" w:rsidRPr="00C0458D">
              <w:rPr>
                <w:b/>
                <w:bCs/>
                <w:sz w:val="26"/>
                <w:szCs w:val="26"/>
              </w:rPr>
              <w:t xml:space="preserve"> by the Council</w:t>
            </w:r>
          </w:p>
          <w:p w14:paraId="0FFF2D9B" w14:textId="06A2BB3A" w:rsidR="00722551" w:rsidRDefault="006E5DF4" w:rsidP="00774D26">
            <w:pPr>
              <w:jc w:val="both"/>
            </w:pPr>
            <w:r w:rsidRPr="006E5DF4">
              <w:t xml:space="preserve">This document is transmitted to the Council </w:t>
            </w:r>
            <w:r w:rsidRPr="006E5DF4">
              <w:rPr>
                <w:b/>
                <w:bCs/>
              </w:rPr>
              <w:t>for information</w:t>
            </w:r>
            <w:r w:rsidRPr="006E5DF4">
              <w:t>.</w:t>
            </w:r>
          </w:p>
          <w:p w14:paraId="08939791" w14:textId="77777777" w:rsidR="00C0458D" w:rsidRDefault="00C0458D">
            <w:r>
              <w:t>_______________</w:t>
            </w:r>
          </w:p>
          <w:p w14:paraId="212A584A" w14:textId="77777777" w:rsidR="00AD3606" w:rsidRPr="00C0458D" w:rsidRDefault="00AD3606" w:rsidP="00F16BAB">
            <w:pPr>
              <w:spacing w:before="160"/>
              <w:rPr>
                <w:b/>
                <w:bCs/>
                <w:sz w:val="26"/>
                <w:szCs w:val="26"/>
              </w:rPr>
            </w:pPr>
            <w:r w:rsidRPr="00C0458D">
              <w:rPr>
                <w:b/>
                <w:bCs/>
                <w:sz w:val="26"/>
                <w:szCs w:val="26"/>
              </w:rPr>
              <w:t>References</w:t>
            </w:r>
          </w:p>
          <w:p w14:paraId="7089D4B7" w14:textId="3ED8C680" w:rsidR="00AD3606" w:rsidRPr="00C60C17" w:rsidRDefault="00151D9B" w:rsidP="00F16BAB">
            <w:pPr>
              <w:spacing w:after="160"/>
              <w:rPr>
                <w:i/>
                <w:sz w:val="22"/>
                <w:szCs w:val="22"/>
              </w:rPr>
            </w:pPr>
            <w:r w:rsidRPr="00C60C17">
              <w:rPr>
                <w:i/>
                <w:sz w:val="22"/>
                <w:szCs w:val="22"/>
              </w:rPr>
              <w:t xml:space="preserve">ITU Council Contributions to the HLPF: </w:t>
            </w:r>
            <w:hyperlink r:id="rId11" w:history="1">
              <w:r w:rsidRPr="00C60C17">
                <w:rPr>
                  <w:rStyle w:val="Hyperlink"/>
                  <w:i/>
                  <w:sz w:val="22"/>
                  <w:szCs w:val="22"/>
                </w:rPr>
                <w:t>2016</w:t>
              </w:r>
            </w:hyperlink>
            <w:r w:rsidRPr="00C60C17">
              <w:rPr>
                <w:i/>
                <w:color w:val="1F497D"/>
                <w:sz w:val="22"/>
                <w:szCs w:val="22"/>
              </w:rPr>
              <w:t xml:space="preserve">; </w:t>
            </w:r>
            <w:hyperlink r:id="rId12" w:history="1">
              <w:r w:rsidRPr="00C60C17">
                <w:rPr>
                  <w:rStyle w:val="Hyperlink"/>
                  <w:i/>
                  <w:sz w:val="22"/>
                  <w:szCs w:val="22"/>
                </w:rPr>
                <w:t>2017</w:t>
              </w:r>
            </w:hyperlink>
            <w:r w:rsidRPr="00C60C17">
              <w:rPr>
                <w:i/>
                <w:color w:val="1F497D"/>
                <w:sz w:val="22"/>
                <w:szCs w:val="22"/>
              </w:rPr>
              <w:t xml:space="preserve">; </w:t>
            </w:r>
            <w:hyperlink r:id="rId13" w:history="1">
              <w:r w:rsidRPr="00C60C17">
                <w:rPr>
                  <w:rStyle w:val="Hyperlink"/>
                  <w:i/>
                  <w:sz w:val="22"/>
                  <w:szCs w:val="22"/>
                </w:rPr>
                <w:t>2018</w:t>
              </w:r>
            </w:hyperlink>
            <w:r w:rsidRPr="00C60C17">
              <w:rPr>
                <w:i/>
                <w:sz w:val="22"/>
                <w:szCs w:val="22"/>
              </w:rPr>
              <w:t xml:space="preserve">; </w:t>
            </w:r>
            <w:hyperlink r:id="rId14" w:history="1">
              <w:r w:rsidRPr="00C60C17">
                <w:rPr>
                  <w:rStyle w:val="Hyperlink"/>
                  <w:i/>
                  <w:sz w:val="22"/>
                  <w:szCs w:val="22"/>
                </w:rPr>
                <w:t>2019</w:t>
              </w:r>
            </w:hyperlink>
            <w:r w:rsidRPr="00C60C17">
              <w:rPr>
                <w:i/>
                <w:sz w:val="22"/>
                <w:szCs w:val="22"/>
              </w:rPr>
              <w:t xml:space="preserve">; </w:t>
            </w:r>
            <w:hyperlink r:id="rId15" w:history="1">
              <w:r w:rsidRPr="00C60C17">
                <w:rPr>
                  <w:rStyle w:val="Hyperlink"/>
                  <w:i/>
                  <w:sz w:val="22"/>
                  <w:szCs w:val="22"/>
                </w:rPr>
                <w:t>2020</w:t>
              </w:r>
            </w:hyperlink>
            <w:r w:rsidRPr="00C60C17">
              <w:rPr>
                <w:rStyle w:val="Hyperlink"/>
                <w:i/>
                <w:sz w:val="22"/>
                <w:szCs w:val="22"/>
                <w:u w:val="none"/>
              </w:rPr>
              <w:t xml:space="preserve">; </w:t>
            </w:r>
            <w:hyperlink r:id="rId16" w:history="1">
              <w:r w:rsidRPr="00C60C17">
                <w:rPr>
                  <w:rStyle w:val="Hyperlink"/>
                  <w:i/>
                  <w:sz w:val="22"/>
                  <w:szCs w:val="22"/>
                </w:rPr>
                <w:t>2021</w:t>
              </w:r>
            </w:hyperlink>
            <w:r w:rsidRPr="00C60C17">
              <w:rPr>
                <w:rStyle w:val="Hyperlink"/>
                <w:i/>
                <w:sz w:val="22"/>
                <w:szCs w:val="22"/>
                <w:u w:val="none"/>
              </w:rPr>
              <w:t xml:space="preserve">; </w:t>
            </w:r>
            <w:hyperlink r:id="rId17" w:history="1">
              <w:r w:rsidRPr="00C60C17">
                <w:rPr>
                  <w:rStyle w:val="Hyperlink"/>
                  <w:i/>
                  <w:sz w:val="22"/>
                  <w:szCs w:val="22"/>
                </w:rPr>
                <w:t>2022</w:t>
              </w:r>
            </w:hyperlink>
            <w:r w:rsidRPr="00C60C17">
              <w:rPr>
                <w:rStyle w:val="Hyperlink"/>
                <w:i/>
                <w:sz w:val="22"/>
                <w:szCs w:val="22"/>
                <w:u w:val="none"/>
              </w:rPr>
              <w:t xml:space="preserve">; </w:t>
            </w:r>
            <w:hyperlink r:id="rId18" w:history="1">
              <w:r w:rsidRPr="00C60C17">
                <w:rPr>
                  <w:rStyle w:val="Hyperlink"/>
                  <w:i/>
                  <w:sz w:val="22"/>
                  <w:szCs w:val="22"/>
                </w:rPr>
                <w:t>2023</w:t>
              </w:r>
            </w:hyperlink>
            <w:r w:rsidRPr="00C60C17">
              <w:rPr>
                <w:i/>
                <w:sz w:val="22"/>
                <w:szCs w:val="22"/>
              </w:rPr>
              <w:t xml:space="preserve">; </w:t>
            </w:r>
            <w:hyperlink r:id="rId19" w:history="1">
              <w:r w:rsidR="00F64145" w:rsidRPr="00C60C17">
                <w:rPr>
                  <w:rStyle w:val="Hyperlink"/>
                  <w:i/>
                  <w:sz w:val="22"/>
                  <w:szCs w:val="22"/>
                </w:rPr>
                <w:t>2024</w:t>
              </w:r>
            </w:hyperlink>
          </w:p>
        </w:tc>
      </w:tr>
    </w:tbl>
    <w:p w14:paraId="3E836A65"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52958905" w14:textId="709D41C8" w:rsidR="0090147A" w:rsidRPr="00C0458D" w:rsidRDefault="003D1C88" w:rsidP="00A201CA">
      <w:pPr>
        <w:pStyle w:val="Figure"/>
        <w:rPr>
          <w:b/>
        </w:rPr>
      </w:pPr>
      <w:r w:rsidRPr="003D1C88">
        <w:rPr>
          <w:noProof/>
        </w:rPr>
        <w:lastRenderedPageBreak/>
        <w:drawing>
          <wp:inline distT="0" distB="0" distL="0" distR="0" wp14:anchorId="53238A5E" wp14:editId="5BF18CB7">
            <wp:extent cx="5760085" cy="8159115"/>
            <wp:effectExtent l="0" t="0" r="0" b="0"/>
            <wp:docPr id="965974770" name="Picture 1" descr="A close-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974770" name="Picture 1" descr="A close-up of a letter&#10;&#10;AI-generated content may be incorrect."/>
                    <pic:cNvPicPr/>
                  </pic:nvPicPr>
                  <pic:blipFill>
                    <a:blip r:embed="rId20"/>
                    <a:stretch>
                      <a:fillRect/>
                    </a:stretch>
                  </pic:blipFill>
                  <pic:spPr>
                    <a:xfrm>
                      <a:off x="0" y="0"/>
                      <a:ext cx="5760085" cy="8159115"/>
                    </a:xfrm>
                    <a:prstGeom prst="rect">
                      <a:avLst/>
                    </a:prstGeom>
                  </pic:spPr>
                </pic:pic>
              </a:graphicData>
            </a:graphic>
          </wp:inline>
        </w:drawing>
      </w:r>
      <w:r w:rsidRPr="003D1C88">
        <w:t xml:space="preserve"> </w:t>
      </w:r>
      <w:r w:rsidR="0090147A" w:rsidRPr="00C0458D">
        <w:br w:type="page"/>
      </w:r>
    </w:p>
    <w:tbl>
      <w:tblPr>
        <w:tblStyle w:val="TableGrid"/>
        <w:tblW w:w="9060" w:type="dxa"/>
        <w:tblLayout w:type="fixed"/>
        <w:tblLook w:val="04A0" w:firstRow="1" w:lastRow="0" w:firstColumn="1" w:lastColumn="0" w:noHBand="0" w:noVBand="1"/>
      </w:tblPr>
      <w:tblGrid>
        <w:gridCol w:w="9060"/>
      </w:tblGrid>
      <w:tr w:rsidR="00BD0702" w14:paraId="6927C4AD" w14:textId="77777777" w:rsidTr="008611C0">
        <w:tc>
          <w:tcPr>
            <w:tcW w:w="9060" w:type="dxa"/>
            <w:tcBorders>
              <w:top w:val="single" w:sz="8" w:space="0" w:color="auto"/>
              <w:left w:val="single" w:sz="8" w:space="0" w:color="auto"/>
              <w:bottom w:val="single" w:sz="8" w:space="0" w:color="auto"/>
              <w:right w:val="single" w:sz="8" w:space="0" w:color="auto"/>
            </w:tcBorders>
            <w:tcMar>
              <w:left w:w="108" w:type="dxa"/>
              <w:right w:w="108" w:type="dxa"/>
            </w:tcMar>
          </w:tcPr>
          <w:bookmarkEnd w:id="5"/>
          <w:bookmarkEnd w:id="10"/>
          <w:p w14:paraId="4D4038C9" w14:textId="5A7FE1FF" w:rsidR="00BD0702" w:rsidRPr="00530FA2" w:rsidRDefault="00BD0702" w:rsidP="008611C0">
            <w:pPr>
              <w:pStyle w:val="Annextitle"/>
              <w:rPr>
                <w:rFonts w:asciiTheme="minorHAnsi" w:hAnsiTheme="minorHAnsi" w:cstheme="minorHAnsi"/>
                <w:color w:val="4F81BD" w:themeColor="accent1"/>
                <w:sz w:val="24"/>
                <w:szCs w:val="24"/>
              </w:rPr>
            </w:pPr>
            <w:r w:rsidRPr="00530FA2">
              <w:rPr>
                <w:rFonts w:asciiTheme="minorHAnsi" w:hAnsiTheme="minorHAnsi" w:cstheme="minorHAnsi"/>
                <w:color w:val="4F81BD" w:themeColor="accent1"/>
                <w:szCs w:val="28"/>
              </w:rPr>
              <w:lastRenderedPageBreak/>
              <w:t xml:space="preserve">ITU </w:t>
            </w:r>
            <w:r w:rsidR="00A201CA" w:rsidRPr="00530FA2">
              <w:rPr>
                <w:rFonts w:asciiTheme="minorHAnsi" w:hAnsiTheme="minorHAnsi" w:cstheme="minorHAnsi"/>
                <w:color w:val="4F81BD" w:themeColor="accent1"/>
                <w:szCs w:val="28"/>
              </w:rPr>
              <w:t xml:space="preserve">Council contribution to the High-Level Political Forum </w:t>
            </w:r>
            <w:r w:rsidR="00A201CA">
              <w:rPr>
                <w:rFonts w:asciiTheme="minorHAnsi" w:hAnsiTheme="minorHAnsi" w:cstheme="minorHAnsi"/>
                <w:color w:val="4F81BD" w:themeColor="accent1"/>
                <w:szCs w:val="28"/>
              </w:rPr>
              <w:br/>
            </w:r>
            <w:r w:rsidR="00A201CA" w:rsidRPr="00530FA2">
              <w:rPr>
                <w:rFonts w:asciiTheme="minorHAnsi" w:hAnsiTheme="minorHAnsi" w:cstheme="minorHAnsi"/>
                <w:color w:val="4F81BD" w:themeColor="accent1"/>
                <w:szCs w:val="28"/>
              </w:rPr>
              <w:t xml:space="preserve">on sustainable development </w:t>
            </w:r>
            <w:r w:rsidRPr="00530FA2">
              <w:rPr>
                <w:rFonts w:asciiTheme="minorHAnsi" w:hAnsiTheme="minorHAnsi" w:cstheme="minorHAnsi"/>
                <w:color w:val="4F81BD" w:themeColor="accent1"/>
                <w:szCs w:val="28"/>
              </w:rPr>
              <w:t>(HLPF) 2025</w:t>
            </w:r>
          </w:p>
          <w:p w14:paraId="33CF61F1" w14:textId="69AF0E55" w:rsidR="00BD0702" w:rsidRPr="00530FA2" w:rsidRDefault="00BD0702" w:rsidP="008611C0">
            <w:pPr>
              <w:pStyle w:val="enumlev1"/>
              <w:rPr>
                <w:rFonts w:asciiTheme="minorHAnsi" w:hAnsiTheme="minorHAnsi" w:cstheme="minorHAnsi"/>
                <w:szCs w:val="24"/>
              </w:rPr>
            </w:pPr>
            <w:r w:rsidRPr="00530FA2">
              <w:rPr>
                <w:rFonts w:asciiTheme="minorHAnsi" w:hAnsiTheme="minorHAnsi" w:cstheme="minorHAnsi"/>
                <w:b/>
                <w:bCs/>
                <w:szCs w:val="24"/>
              </w:rPr>
              <w:tab/>
              <w:t xml:space="preserve">Theme: </w:t>
            </w:r>
            <w:r w:rsidR="00774D26">
              <w:rPr>
                <w:rFonts w:asciiTheme="minorHAnsi" w:hAnsiTheme="minorHAnsi" w:cstheme="minorHAnsi"/>
                <w:szCs w:val="24"/>
              </w:rPr>
              <w:t>“</w:t>
            </w:r>
            <w:r w:rsidRPr="00530FA2">
              <w:rPr>
                <w:rFonts w:asciiTheme="minorHAnsi" w:hAnsiTheme="minorHAnsi" w:cstheme="minorHAnsi"/>
                <w:szCs w:val="24"/>
              </w:rPr>
              <w:t>Advancing sustainable, inclusive, science- and evidence-based solutions for the 2030 Agenda and its SDGs for leaving no one behind</w:t>
            </w:r>
            <w:r w:rsidR="00774D26">
              <w:rPr>
                <w:rFonts w:asciiTheme="minorHAnsi" w:hAnsiTheme="minorHAnsi" w:cstheme="minorHAnsi"/>
                <w:szCs w:val="24"/>
              </w:rPr>
              <w:t>”</w:t>
            </w:r>
          </w:p>
          <w:p w14:paraId="35ED3C1C" w14:textId="77777777" w:rsidR="00BD0702" w:rsidRPr="00530FA2" w:rsidRDefault="00BD0702" w:rsidP="008611C0">
            <w:pPr>
              <w:pStyle w:val="enumlev1"/>
              <w:spacing w:after="120"/>
              <w:rPr>
                <w:rFonts w:asciiTheme="minorHAnsi" w:hAnsiTheme="minorHAnsi" w:cstheme="minorHAnsi"/>
                <w:szCs w:val="24"/>
              </w:rPr>
            </w:pPr>
            <w:r w:rsidRPr="00530FA2">
              <w:rPr>
                <w:rFonts w:asciiTheme="minorHAnsi" w:hAnsiTheme="minorHAnsi" w:cstheme="minorHAnsi"/>
                <w:b/>
                <w:bCs/>
                <w:szCs w:val="24"/>
              </w:rPr>
              <w:tab/>
              <w:t>Sustainable Development Goals under review:</w:t>
            </w:r>
            <w:r w:rsidRPr="00530FA2">
              <w:rPr>
                <w:rFonts w:asciiTheme="minorHAnsi" w:hAnsiTheme="minorHAnsi" w:cstheme="minorHAnsi"/>
                <w:szCs w:val="24"/>
              </w:rPr>
              <w:t xml:space="preserve"> (</w:t>
            </w:r>
            <w:r w:rsidRPr="00530FA2">
              <w:rPr>
                <w:rFonts w:asciiTheme="minorHAnsi" w:hAnsiTheme="minorHAnsi" w:cstheme="minorHAnsi"/>
                <w:b/>
                <w:bCs/>
                <w:szCs w:val="24"/>
              </w:rPr>
              <w:t>SDG 3</w:t>
            </w:r>
            <w:r w:rsidRPr="00530FA2">
              <w:rPr>
                <w:rFonts w:asciiTheme="minorHAnsi" w:hAnsiTheme="minorHAnsi" w:cstheme="minorHAnsi"/>
                <w:szCs w:val="24"/>
              </w:rPr>
              <w:t>) Ensure healthy lives and promote well-being for all at all ages;</w:t>
            </w:r>
            <w:r w:rsidRPr="00530FA2">
              <w:rPr>
                <w:rFonts w:asciiTheme="minorHAnsi" w:hAnsiTheme="minorHAnsi" w:cstheme="minorHAnsi"/>
                <w:b/>
                <w:bCs/>
                <w:szCs w:val="24"/>
              </w:rPr>
              <w:t xml:space="preserve"> </w:t>
            </w:r>
            <w:r w:rsidRPr="00530FA2">
              <w:rPr>
                <w:rFonts w:asciiTheme="minorHAnsi" w:hAnsiTheme="minorHAnsi" w:cstheme="minorHAnsi"/>
                <w:szCs w:val="24"/>
              </w:rPr>
              <w:t>(</w:t>
            </w:r>
            <w:r w:rsidRPr="00530FA2">
              <w:rPr>
                <w:rFonts w:asciiTheme="minorHAnsi" w:hAnsiTheme="minorHAnsi" w:cstheme="minorHAnsi"/>
                <w:b/>
                <w:bCs/>
                <w:szCs w:val="24"/>
              </w:rPr>
              <w:t>SDG 5</w:t>
            </w:r>
            <w:r w:rsidRPr="00530FA2">
              <w:rPr>
                <w:rFonts w:asciiTheme="minorHAnsi" w:hAnsiTheme="minorHAnsi" w:cstheme="minorHAnsi"/>
                <w:szCs w:val="24"/>
              </w:rPr>
              <w:t>) Achieve gender equality and empower all women and girls; (</w:t>
            </w:r>
            <w:r w:rsidRPr="00530FA2">
              <w:rPr>
                <w:rFonts w:asciiTheme="minorHAnsi" w:hAnsiTheme="minorHAnsi" w:cstheme="minorHAnsi"/>
                <w:b/>
                <w:bCs/>
                <w:szCs w:val="24"/>
              </w:rPr>
              <w:t>SDG 8</w:t>
            </w:r>
            <w:r w:rsidRPr="00530FA2">
              <w:rPr>
                <w:rFonts w:asciiTheme="minorHAnsi" w:hAnsiTheme="minorHAnsi" w:cstheme="minorHAnsi"/>
                <w:szCs w:val="24"/>
              </w:rPr>
              <w:t>) Promote sustained, inclusive and sustainable economic growth, full and productive employment and decent work for all; (</w:t>
            </w:r>
            <w:r w:rsidRPr="00530FA2">
              <w:rPr>
                <w:rFonts w:asciiTheme="minorHAnsi" w:hAnsiTheme="minorHAnsi" w:cstheme="minorHAnsi"/>
                <w:b/>
                <w:bCs/>
                <w:szCs w:val="24"/>
              </w:rPr>
              <w:t>SDG 14</w:t>
            </w:r>
            <w:r w:rsidRPr="00530FA2">
              <w:rPr>
                <w:rFonts w:asciiTheme="minorHAnsi" w:hAnsiTheme="minorHAnsi" w:cstheme="minorHAnsi"/>
                <w:szCs w:val="24"/>
              </w:rPr>
              <w:t>) Conserve and sustainably use the oceans, seas and marine resources for sustainable development; and (</w:t>
            </w:r>
            <w:r w:rsidRPr="00530FA2">
              <w:rPr>
                <w:rFonts w:asciiTheme="minorHAnsi" w:hAnsiTheme="minorHAnsi" w:cstheme="minorHAnsi"/>
                <w:b/>
                <w:bCs/>
                <w:szCs w:val="24"/>
              </w:rPr>
              <w:t>SDG 17</w:t>
            </w:r>
            <w:r w:rsidRPr="00530FA2">
              <w:rPr>
                <w:rFonts w:asciiTheme="minorHAnsi" w:hAnsiTheme="minorHAnsi" w:cstheme="minorHAnsi"/>
                <w:szCs w:val="24"/>
              </w:rPr>
              <w:t>) Strengthen the means of implementation and revitalize the Global Partnership for Sustainable Development</w:t>
            </w:r>
          </w:p>
        </w:tc>
      </w:tr>
      <w:tr w:rsidR="00BD0702" w14:paraId="1C918C7E" w14:textId="77777777" w:rsidTr="008611C0">
        <w:tc>
          <w:tcPr>
            <w:tcW w:w="9060" w:type="dxa"/>
            <w:tcBorders>
              <w:top w:val="single" w:sz="8" w:space="0" w:color="auto"/>
              <w:left w:val="single" w:sz="8" w:space="0" w:color="auto"/>
              <w:bottom w:val="single" w:sz="8" w:space="0" w:color="auto"/>
              <w:right w:val="single" w:sz="8" w:space="0" w:color="auto"/>
            </w:tcBorders>
            <w:tcMar>
              <w:left w:w="108" w:type="dxa"/>
              <w:right w:w="108" w:type="dxa"/>
            </w:tcMar>
          </w:tcPr>
          <w:p w14:paraId="35B11E21" w14:textId="77777777" w:rsidR="00BD0702" w:rsidRPr="00530FA2" w:rsidRDefault="00BD0702" w:rsidP="008611C0">
            <w:pPr>
              <w:pStyle w:val="Headingb"/>
              <w:keepNext w:val="0"/>
              <w:keepLines w:val="0"/>
              <w:rPr>
                <w:rFonts w:asciiTheme="minorHAnsi" w:hAnsiTheme="minorHAnsi" w:cstheme="minorHAnsi"/>
                <w:szCs w:val="24"/>
              </w:rPr>
            </w:pPr>
            <w:r w:rsidRPr="00530FA2">
              <w:rPr>
                <w:rFonts w:asciiTheme="minorHAnsi" w:hAnsiTheme="minorHAnsi" w:cstheme="minorHAnsi"/>
                <w:szCs w:val="24"/>
              </w:rPr>
              <w:t xml:space="preserve">General Introduction </w:t>
            </w:r>
          </w:p>
          <w:p w14:paraId="66DDA670" w14:textId="1ECA4AD3" w:rsidR="00BD0702" w:rsidRPr="00530FA2" w:rsidRDefault="00BD0702" w:rsidP="008611C0">
            <w:pPr>
              <w:rPr>
                <w:rFonts w:asciiTheme="minorHAnsi" w:hAnsiTheme="minorHAnsi" w:cstheme="minorHAnsi"/>
                <w:szCs w:val="24"/>
              </w:rPr>
            </w:pPr>
            <w:r w:rsidRPr="00530FA2">
              <w:rPr>
                <w:rFonts w:asciiTheme="minorHAnsi" w:hAnsiTheme="minorHAnsi" w:cstheme="minorHAnsi"/>
                <w:szCs w:val="24"/>
              </w:rPr>
              <w:t xml:space="preserve">The </w:t>
            </w:r>
            <w:hyperlink r:id="rId21">
              <w:r w:rsidRPr="00530FA2">
                <w:rPr>
                  <w:rStyle w:val="Hyperlink"/>
                  <w:rFonts w:asciiTheme="minorHAnsi" w:eastAsia="Times New Roman" w:hAnsiTheme="minorHAnsi" w:cstheme="minorHAnsi"/>
                  <w:szCs w:val="24"/>
                </w:rPr>
                <w:t>International Telecommunication Union (ITU)</w:t>
              </w:r>
            </w:hyperlink>
            <w:r w:rsidRPr="00530FA2">
              <w:rPr>
                <w:rFonts w:asciiTheme="minorHAnsi" w:hAnsiTheme="minorHAnsi" w:cstheme="minorHAnsi"/>
                <w:szCs w:val="24"/>
              </w:rPr>
              <w:t xml:space="preserve"> is the United Nations specialized agency for information and communication technologies (ICTs). ITU allocates global radio spectrum and satellite orbits, develops the technical standards that ensure networks and technologies seamlessly interconnect, and strive to improve access to and use of ICTs to underserved communities worldwide. ITU is committed to connecting all the world</w:t>
            </w:r>
            <w:r w:rsidR="00774D26">
              <w:rPr>
                <w:rFonts w:asciiTheme="minorHAnsi" w:hAnsiTheme="minorHAnsi" w:cstheme="minorHAnsi"/>
                <w:szCs w:val="24"/>
              </w:rPr>
              <w:t>’</w:t>
            </w:r>
            <w:r w:rsidRPr="00530FA2">
              <w:rPr>
                <w:rFonts w:asciiTheme="minorHAnsi" w:hAnsiTheme="minorHAnsi" w:cstheme="minorHAnsi"/>
                <w:szCs w:val="24"/>
              </w:rPr>
              <w:t xml:space="preserve">s people - ensuring that everyone, regardless of age, gender, ability, location, or financial means have available, accessible and affordable access to ICTs. </w:t>
            </w:r>
          </w:p>
          <w:p w14:paraId="6046F758" w14:textId="28CFCA0E" w:rsidR="00BD0702" w:rsidRPr="00530FA2" w:rsidRDefault="00BD0702" w:rsidP="008611C0">
            <w:pPr>
              <w:rPr>
                <w:rFonts w:asciiTheme="minorHAnsi" w:hAnsiTheme="minorHAnsi" w:cstheme="minorHAnsi"/>
                <w:szCs w:val="24"/>
              </w:rPr>
            </w:pPr>
            <w:r w:rsidRPr="00530FA2">
              <w:rPr>
                <w:rFonts w:asciiTheme="minorHAnsi" w:hAnsiTheme="minorHAnsi" w:cstheme="minorHAnsi"/>
                <w:szCs w:val="24"/>
              </w:rPr>
              <w:t>Through ITU</w:t>
            </w:r>
            <w:r w:rsidR="00774D26">
              <w:rPr>
                <w:rFonts w:asciiTheme="minorHAnsi" w:hAnsiTheme="minorHAnsi" w:cstheme="minorHAnsi"/>
                <w:szCs w:val="24"/>
              </w:rPr>
              <w:t>’</w:t>
            </w:r>
            <w:r w:rsidRPr="00530FA2">
              <w:rPr>
                <w:rFonts w:asciiTheme="minorHAnsi" w:hAnsiTheme="minorHAnsi" w:cstheme="minorHAnsi"/>
                <w:szCs w:val="24"/>
              </w:rPr>
              <w:t>s work, we support everyone</w:t>
            </w:r>
            <w:r w:rsidR="00774D26">
              <w:rPr>
                <w:rFonts w:asciiTheme="minorHAnsi" w:hAnsiTheme="minorHAnsi" w:cstheme="minorHAnsi"/>
                <w:szCs w:val="24"/>
              </w:rPr>
              <w:t>’</w:t>
            </w:r>
            <w:r w:rsidRPr="00530FA2">
              <w:rPr>
                <w:rFonts w:asciiTheme="minorHAnsi" w:hAnsiTheme="minorHAnsi" w:cstheme="minorHAnsi"/>
                <w:szCs w:val="24"/>
              </w:rPr>
              <w:t xml:space="preserve">s fundamental right to communicate. The Sustainable Development Goals (SDGs) and Targets stimulate global action in the coming years in areas of critical importance for humanity and the planet. As acknowledged by the 2030 Agenda for Sustainable Development, </w:t>
            </w:r>
            <w:r w:rsidR="00774D26">
              <w:rPr>
                <w:rFonts w:asciiTheme="minorHAnsi" w:hAnsiTheme="minorHAnsi" w:cstheme="minorHAnsi"/>
                <w:szCs w:val="24"/>
              </w:rPr>
              <w:t>“</w:t>
            </w:r>
            <w:r w:rsidRPr="00530FA2">
              <w:rPr>
                <w:rFonts w:asciiTheme="minorHAnsi" w:hAnsiTheme="minorHAnsi" w:cstheme="minorHAnsi"/>
                <w:szCs w:val="24"/>
              </w:rPr>
              <w:t>The spread of information and communications technology and global interconnectedness has great potential to accelerate human progress, to bridge the digital divide and to develop knowledge societies, as does scientific and technological innovation across areas as diverse as medicine and energy</w:t>
            </w:r>
            <w:r w:rsidR="00774D26">
              <w:rPr>
                <w:rFonts w:asciiTheme="minorHAnsi" w:hAnsiTheme="minorHAnsi" w:cstheme="minorHAnsi"/>
                <w:szCs w:val="24"/>
              </w:rPr>
              <w:t>”</w:t>
            </w:r>
            <w:r w:rsidRPr="00530FA2">
              <w:rPr>
                <w:rFonts w:asciiTheme="minorHAnsi" w:hAnsiTheme="minorHAnsi" w:cstheme="minorHAnsi"/>
                <w:szCs w:val="24"/>
              </w:rPr>
              <w:t xml:space="preserve">. </w:t>
            </w:r>
          </w:p>
          <w:p w14:paraId="1D8BD0F3" w14:textId="77777777" w:rsidR="00BD0702" w:rsidRPr="00530FA2" w:rsidRDefault="00BD0702" w:rsidP="008611C0">
            <w:pPr>
              <w:rPr>
                <w:rFonts w:asciiTheme="minorHAnsi" w:hAnsiTheme="minorHAnsi" w:cstheme="minorHAnsi"/>
                <w:szCs w:val="24"/>
              </w:rPr>
            </w:pPr>
            <w:r w:rsidRPr="00530FA2">
              <w:rPr>
                <w:rFonts w:asciiTheme="minorHAnsi" w:hAnsiTheme="minorHAnsi" w:cstheme="minorHAnsi"/>
                <w:szCs w:val="24"/>
              </w:rPr>
              <w:t xml:space="preserve">Increased connectivity, trust, digital technologies, information systems, digital skills and Internet use have the potential to reduce poverty and create jobs through applications and services, such as e-agriculture and digital finance; help end poverty and hunger; ensure inclusive and equitable quality education and promote lifelong learning opportunities; monitor and mitigate climate change and sustain our natural resources; as well as improved efficiency and transparency. All three pillars of sustainable development – economic development, social inclusion and environmental protection – need ICTs as key catalysts. The development potential of ICT as crosscutting enablers must therefore be fully harnessed for achieving the SDGs. </w:t>
            </w:r>
          </w:p>
          <w:p w14:paraId="17DBB5EC" w14:textId="77777777" w:rsidR="00BD0702" w:rsidRPr="00530FA2" w:rsidRDefault="00BD0702" w:rsidP="008611C0">
            <w:pPr>
              <w:rPr>
                <w:rFonts w:asciiTheme="minorHAnsi" w:hAnsiTheme="minorHAnsi" w:cstheme="minorHAnsi"/>
                <w:szCs w:val="24"/>
              </w:rPr>
            </w:pPr>
            <w:r w:rsidRPr="00530FA2">
              <w:rPr>
                <w:rFonts w:asciiTheme="minorHAnsi" w:hAnsiTheme="minorHAnsi" w:cstheme="minorHAnsi"/>
                <w:szCs w:val="24"/>
              </w:rPr>
              <w:t xml:space="preserve">To enable this vision, ITU and its members have adopted the </w:t>
            </w:r>
            <w:hyperlink r:id="rId22">
              <w:r w:rsidRPr="00530FA2">
                <w:rPr>
                  <w:rStyle w:val="Hyperlink"/>
                  <w:rFonts w:asciiTheme="minorHAnsi" w:eastAsia="Times New Roman" w:hAnsiTheme="minorHAnsi" w:cstheme="minorHAnsi"/>
                  <w:szCs w:val="24"/>
                </w:rPr>
                <w:t>ITU Strategic Plan for 2024-2027</w:t>
              </w:r>
            </w:hyperlink>
            <w:r w:rsidRPr="00530FA2">
              <w:rPr>
                <w:rFonts w:asciiTheme="minorHAnsi" w:hAnsiTheme="minorHAnsi" w:cstheme="minorHAnsi"/>
                <w:szCs w:val="24"/>
              </w:rPr>
              <w:t xml:space="preserve"> and the </w:t>
            </w:r>
            <w:hyperlink r:id="rId23">
              <w:r w:rsidRPr="00530FA2">
                <w:rPr>
                  <w:rStyle w:val="Hyperlink"/>
                  <w:rFonts w:asciiTheme="minorHAnsi" w:eastAsia="Times New Roman" w:hAnsiTheme="minorHAnsi" w:cstheme="minorHAnsi"/>
                  <w:szCs w:val="24"/>
                </w:rPr>
                <w:t>Connect 2030 Agenda</w:t>
              </w:r>
            </w:hyperlink>
            <w:r w:rsidRPr="00530FA2">
              <w:rPr>
                <w:rFonts w:asciiTheme="minorHAnsi" w:hAnsiTheme="minorHAnsi" w:cstheme="minorHAnsi"/>
                <w:szCs w:val="24"/>
              </w:rPr>
              <w:t xml:space="preserve"> which are based on 5 ITU strategic Goals. Each Goal has its own indicators that measure the progress towards this shared vision. </w:t>
            </w:r>
          </w:p>
          <w:p w14:paraId="62DEE8B0" w14:textId="77777777" w:rsidR="00BD0702" w:rsidRPr="00530FA2" w:rsidRDefault="00BD0702" w:rsidP="008611C0">
            <w:pPr>
              <w:spacing w:after="120"/>
              <w:rPr>
                <w:rFonts w:asciiTheme="minorHAnsi" w:hAnsiTheme="minorHAnsi" w:cstheme="minorHAnsi"/>
                <w:szCs w:val="24"/>
              </w:rPr>
            </w:pPr>
            <w:r w:rsidRPr="00530FA2">
              <w:rPr>
                <w:rFonts w:asciiTheme="minorHAnsi" w:hAnsiTheme="minorHAnsi" w:cstheme="minorHAnsi"/>
                <w:szCs w:val="24"/>
              </w:rPr>
              <w:t xml:space="preserve">In line with </w:t>
            </w:r>
            <w:hyperlink r:id="rId24">
              <w:r w:rsidRPr="00530FA2">
                <w:rPr>
                  <w:rStyle w:val="Hyperlink"/>
                  <w:rFonts w:asciiTheme="minorHAnsi" w:eastAsia="Times New Roman" w:hAnsiTheme="minorHAnsi" w:cstheme="minorHAnsi"/>
                  <w:szCs w:val="24"/>
                </w:rPr>
                <w:t>UN Resolution A/70/1</w:t>
              </w:r>
            </w:hyperlink>
            <w:r w:rsidRPr="00530FA2">
              <w:rPr>
                <w:rFonts w:asciiTheme="minorHAnsi" w:hAnsiTheme="minorHAnsi" w:cstheme="minorHAnsi"/>
                <w:szCs w:val="24"/>
              </w:rPr>
              <w:t xml:space="preserve"> and </w:t>
            </w:r>
            <w:hyperlink r:id="rId25">
              <w:r w:rsidRPr="00530FA2">
                <w:rPr>
                  <w:rStyle w:val="Hyperlink"/>
                  <w:rFonts w:asciiTheme="minorHAnsi" w:eastAsia="Times New Roman" w:hAnsiTheme="minorHAnsi" w:cstheme="minorHAnsi"/>
                  <w:szCs w:val="24"/>
                </w:rPr>
                <w:t>Resolution A/70/125</w:t>
              </w:r>
            </w:hyperlink>
            <w:r w:rsidRPr="00530FA2">
              <w:rPr>
                <w:rFonts w:asciiTheme="minorHAnsi" w:hAnsiTheme="minorHAnsi" w:cstheme="minorHAnsi"/>
                <w:szCs w:val="24"/>
              </w:rPr>
              <w:t xml:space="preserve">, ITU, in collaboration with more than 40 UN organizations, is continuously working towards strengthening the alignment of the World Summit of the Information Society (WSIS) Process implementation </w:t>
            </w:r>
            <w:r w:rsidRPr="00530FA2">
              <w:rPr>
                <w:rFonts w:asciiTheme="minorHAnsi" w:hAnsiTheme="minorHAnsi" w:cstheme="minorHAnsi"/>
                <w:szCs w:val="24"/>
              </w:rPr>
              <w:lastRenderedPageBreak/>
              <w:t>activities with the 2030 Agenda for Sustainable Development. This ongoing effort emphasizes the direct linkages between WSIS Action Lines and the SDGs. The WSIS Forum, Stocktaking, and related activities, led by ITU and its partners, play a key role in advancing this alignment</w:t>
            </w:r>
            <w:r w:rsidRPr="00020082">
              <w:rPr>
                <w:rFonts w:asciiTheme="minorHAnsi" w:hAnsiTheme="minorHAnsi" w:cstheme="minorHAnsi"/>
                <w:szCs w:val="24"/>
              </w:rPr>
              <w:t>.</w:t>
            </w:r>
            <w:r w:rsidRPr="00020082">
              <w:t xml:space="preserve"> </w:t>
            </w:r>
            <w:r w:rsidRPr="00020082">
              <w:rPr>
                <w:rFonts w:asciiTheme="minorHAnsi" w:hAnsiTheme="minorHAnsi" w:cstheme="minorHAnsi"/>
                <w:szCs w:val="24"/>
              </w:rPr>
              <w:t>In this context, ITU is also committed to aligning its initiatives with the objectives of the Global Digital Compact (GDC), adopted by Member States at the Summit of the Future in September 2024, as an Annex to the Pact for the Future, ensuring that digital transformation efforts globally are harmonized with the aims of the WSIS and SDGs, thereby fostering a more inclusive, sustainable, and connected world.</w:t>
            </w:r>
          </w:p>
        </w:tc>
      </w:tr>
      <w:tr w:rsidR="00BD0702" w14:paraId="722DF706" w14:textId="77777777" w:rsidTr="008611C0">
        <w:tc>
          <w:tcPr>
            <w:tcW w:w="9060" w:type="dxa"/>
            <w:tcBorders>
              <w:top w:val="single" w:sz="8" w:space="0" w:color="auto"/>
              <w:left w:val="single" w:sz="8" w:space="0" w:color="auto"/>
              <w:bottom w:val="single" w:sz="8" w:space="0" w:color="auto"/>
              <w:right w:val="single" w:sz="8" w:space="0" w:color="auto"/>
            </w:tcBorders>
            <w:tcMar>
              <w:left w:w="108" w:type="dxa"/>
              <w:right w:w="108" w:type="dxa"/>
            </w:tcMar>
          </w:tcPr>
          <w:p w14:paraId="16C78E79" w14:textId="77777777" w:rsidR="00BD0702" w:rsidRPr="00530FA2" w:rsidRDefault="00BD0702" w:rsidP="008611C0">
            <w:pPr>
              <w:pStyle w:val="Headingi"/>
              <w:keepNext w:val="0"/>
              <w:keepLines w:val="0"/>
              <w:rPr>
                <w:rFonts w:cstheme="minorHAnsi"/>
                <w:color w:val="4F81BD" w:themeColor="accent1"/>
                <w:szCs w:val="24"/>
              </w:rPr>
            </w:pPr>
            <w:r w:rsidRPr="00530FA2">
              <w:rPr>
                <w:rFonts w:cstheme="minorHAnsi"/>
                <w:color w:val="4F81BD" w:themeColor="accent1"/>
                <w:szCs w:val="24"/>
              </w:rPr>
              <w:lastRenderedPageBreak/>
              <w:t>(a)</w:t>
            </w:r>
            <w:r w:rsidRPr="00530FA2">
              <w:rPr>
                <w:rFonts w:cstheme="minorHAnsi"/>
                <w:color w:val="4F81BD" w:themeColor="accent1"/>
                <w:szCs w:val="24"/>
              </w:rPr>
              <w:tab/>
              <w:t>Your assessment of the impacts of the multiple and interconnected crises on the implementation of SDGs 3, 5, 8, 14 and 17.</w:t>
            </w:r>
          </w:p>
          <w:p w14:paraId="00B1837D" w14:textId="77777777" w:rsidR="00BD0702" w:rsidRPr="00530FA2" w:rsidRDefault="00BD0702" w:rsidP="008611C0">
            <w:pPr>
              <w:rPr>
                <w:rFonts w:asciiTheme="minorHAnsi" w:hAnsiTheme="minorHAnsi" w:cstheme="minorHAnsi"/>
                <w:szCs w:val="24"/>
              </w:rPr>
            </w:pPr>
            <w:r w:rsidRPr="00530FA2">
              <w:rPr>
                <w:rFonts w:asciiTheme="minorHAnsi" w:hAnsiTheme="minorHAnsi" w:cstheme="minorHAnsi"/>
                <w:szCs w:val="24"/>
              </w:rPr>
              <w:t>The digital divide remains a significant barrier to achieving these goals, with an estimated 2.6</w:t>
            </w:r>
            <w:r>
              <w:rPr>
                <w:rFonts w:asciiTheme="minorHAnsi" w:hAnsiTheme="minorHAnsi" w:cstheme="minorHAnsi"/>
                <w:szCs w:val="24"/>
              </w:rPr>
              <w:t> </w:t>
            </w:r>
            <w:r w:rsidRPr="00530FA2">
              <w:rPr>
                <w:rFonts w:asciiTheme="minorHAnsi" w:hAnsiTheme="minorHAnsi" w:cstheme="minorHAnsi"/>
                <w:szCs w:val="24"/>
              </w:rPr>
              <w:t>billion people worldwide still lacking internet access, predominantly in remote, rural, and less developed areas. This is largely fuelled by affordability challenges and difficulties faced by developing countries to access necessary capital impacting the ability of countries and individuals to harness opportunities for better health care and sustainable economic growth. This lack of connectivity impedes progress not only on health and well-being (SDG 3) and gender equality (SDG 5) by limiting access to information and services but also affects economic growth (SDG 8) by restricting participation in the digital economy. Moreover, it hinders efforts towards sustainable management and conservation of marine resources (SDG 14), as digital technologies are crucial for monitoring and protecting our oceans.</w:t>
            </w:r>
          </w:p>
          <w:p w14:paraId="350E097C" w14:textId="77777777" w:rsidR="00BD0702" w:rsidRPr="00530FA2" w:rsidRDefault="00BD0702" w:rsidP="008611C0">
            <w:pPr>
              <w:rPr>
                <w:rFonts w:asciiTheme="minorHAnsi" w:hAnsiTheme="minorHAnsi" w:cstheme="minorHAnsi"/>
                <w:szCs w:val="24"/>
              </w:rPr>
            </w:pPr>
            <w:r w:rsidRPr="00530FA2">
              <w:rPr>
                <w:rFonts w:asciiTheme="minorHAnsi" w:hAnsiTheme="minorHAnsi" w:cstheme="minorHAnsi"/>
                <w:szCs w:val="24"/>
              </w:rPr>
              <w:t>The rapid advancement and deployment of ICT services and technologies, including 5G, artificial intelligence (AI), and cloud computing, offer unprecedented opportunities to address these challenges. These technologies can revolutionize healthcare delivery, empower women and girls by providing access to education and economic opportunities, foster sustainable economic growth, and enhance our ability to protect marine environments through improved data collection and analysis. However, rapid technological advancement also risks creating new and wider divides.</w:t>
            </w:r>
          </w:p>
          <w:p w14:paraId="768EA0ED" w14:textId="77777777" w:rsidR="00BD0702" w:rsidRPr="00530FA2" w:rsidRDefault="00BD0702" w:rsidP="008611C0">
            <w:pPr>
              <w:rPr>
                <w:rFonts w:asciiTheme="minorHAnsi" w:hAnsiTheme="minorHAnsi" w:cstheme="minorHAnsi"/>
                <w:szCs w:val="24"/>
              </w:rPr>
            </w:pPr>
            <w:r w:rsidRPr="00530FA2">
              <w:rPr>
                <w:rFonts w:asciiTheme="minorHAnsi" w:hAnsiTheme="minorHAnsi" w:cstheme="minorHAnsi"/>
                <w:szCs w:val="24"/>
              </w:rPr>
              <w:t>However, to fully leverage these technologies for sustainable development, it is essential to bridge the digital divide and ensure equitable access to digital tools and services. The ITU is committed to this endeavour, focusing on initiatives that promote digital inclusion, enhance the security and reliability of ICT use, and make technologies more user-friendly and accessible to all segments of the population.</w:t>
            </w:r>
          </w:p>
          <w:p w14:paraId="58C0A95B" w14:textId="77777777" w:rsidR="00BD0702" w:rsidRPr="00530FA2" w:rsidRDefault="00BD0702" w:rsidP="008611C0">
            <w:pPr>
              <w:spacing w:after="120"/>
              <w:rPr>
                <w:rFonts w:asciiTheme="minorHAnsi" w:hAnsiTheme="minorHAnsi" w:cstheme="minorHAnsi"/>
                <w:szCs w:val="24"/>
              </w:rPr>
            </w:pPr>
            <w:r w:rsidRPr="00530FA2">
              <w:rPr>
                <w:rFonts w:asciiTheme="minorHAnsi" w:hAnsiTheme="minorHAnsi" w:cstheme="minorHAnsi"/>
                <w:szCs w:val="24"/>
              </w:rPr>
              <w:t>By emphasizing the role of digital technologies in advancing science- and evidence-based solutions for the SDGs, the ITU continues to support global efforts towards sustainable development. Through partnerships (SDG 17), the ITU collaborates with stakeholders across sectors to harness the potential of ICTs in achieving the SDGs, ensuring that technological advancements benefit everyone, everywhere, and contribute to leaving no one behind.</w:t>
            </w:r>
            <w:r w:rsidRPr="00530FA2">
              <w:rPr>
                <w:rFonts w:asciiTheme="minorHAnsi" w:eastAsia="Calibri" w:hAnsiTheme="minorHAnsi" w:cstheme="minorHAnsi"/>
                <w:szCs w:val="24"/>
              </w:rPr>
              <w:t xml:space="preserve"> </w:t>
            </w:r>
          </w:p>
        </w:tc>
      </w:tr>
      <w:tr w:rsidR="00BD0702" w14:paraId="7B4EA01B" w14:textId="77777777" w:rsidTr="008611C0">
        <w:tc>
          <w:tcPr>
            <w:tcW w:w="9060" w:type="dxa"/>
            <w:tcBorders>
              <w:top w:val="single" w:sz="8" w:space="0" w:color="auto"/>
              <w:left w:val="single" w:sz="8" w:space="0" w:color="auto"/>
              <w:bottom w:val="single" w:sz="8" w:space="0" w:color="auto"/>
              <w:right w:val="single" w:sz="8" w:space="0" w:color="auto"/>
            </w:tcBorders>
            <w:tcMar>
              <w:left w:w="108" w:type="dxa"/>
              <w:right w:w="108" w:type="dxa"/>
            </w:tcMar>
          </w:tcPr>
          <w:p w14:paraId="686AA1C1" w14:textId="77777777" w:rsidR="00BD0702" w:rsidRPr="00530FA2" w:rsidRDefault="00BD0702" w:rsidP="00A201CA">
            <w:pPr>
              <w:pStyle w:val="Headingi"/>
              <w:keepLines w:val="0"/>
              <w:rPr>
                <w:rFonts w:cstheme="minorHAnsi"/>
                <w:color w:val="4F81BD" w:themeColor="accent1"/>
                <w:szCs w:val="24"/>
              </w:rPr>
            </w:pPr>
            <w:r w:rsidRPr="00530FA2">
              <w:rPr>
                <w:rFonts w:cstheme="minorHAnsi"/>
                <w:color w:val="4F81BD" w:themeColor="accent1"/>
                <w:szCs w:val="24"/>
              </w:rPr>
              <w:lastRenderedPageBreak/>
              <w:t>(b)</w:t>
            </w:r>
            <w:r w:rsidRPr="00530FA2">
              <w:rPr>
                <w:rFonts w:cstheme="minorHAnsi"/>
                <w:color w:val="4F81BD" w:themeColor="accent1"/>
                <w:szCs w:val="24"/>
              </w:rPr>
              <w:tab/>
              <w:t>Three key areas where sustainable, inclusive, science- and evidence-based solutions for achieving the SDGs and leaving no one behind are being effectively delivered, especially related to the cluster of SDGs under review in 2025, also bearing in mind the three dimensions of sustainable development and the interlinkages across the Goals and targets.</w:t>
            </w:r>
          </w:p>
          <w:p w14:paraId="5DCC5DA0" w14:textId="3ACB763D" w:rsidR="00BD0702" w:rsidRPr="00530FA2" w:rsidRDefault="00BD0702" w:rsidP="008611C0">
            <w:pPr>
              <w:rPr>
                <w:rFonts w:asciiTheme="minorHAnsi" w:eastAsia="Times New Roman" w:hAnsiTheme="minorHAnsi" w:cstheme="minorHAnsi"/>
                <w:color w:val="000000" w:themeColor="text1"/>
                <w:szCs w:val="24"/>
              </w:rPr>
            </w:pPr>
            <w:r w:rsidRPr="00530FA2">
              <w:rPr>
                <w:rFonts w:asciiTheme="minorHAnsi" w:hAnsiTheme="minorHAnsi" w:cstheme="minorHAnsi"/>
                <w:szCs w:val="24"/>
              </w:rPr>
              <w:t>As the ITU, the United Nations</w:t>
            </w:r>
            <w:r w:rsidR="00774D26">
              <w:rPr>
                <w:rFonts w:asciiTheme="minorHAnsi" w:hAnsiTheme="minorHAnsi" w:cstheme="minorHAnsi"/>
                <w:szCs w:val="24"/>
              </w:rPr>
              <w:t>’</w:t>
            </w:r>
            <w:r w:rsidRPr="00530FA2">
              <w:rPr>
                <w:rFonts w:asciiTheme="minorHAnsi" w:hAnsiTheme="minorHAnsi" w:cstheme="minorHAnsi"/>
                <w:szCs w:val="24"/>
              </w:rPr>
              <w:t xml:space="preserve"> primary agency for information and communication technologies, our commitment to harnessing digital technology to accelerate the realization of the United Nations</w:t>
            </w:r>
            <w:r w:rsidR="00774D26">
              <w:rPr>
                <w:rFonts w:asciiTheme="minorHAnsi" w:hAnsiTheme="minorHAnsi" w:cstheme="minorHAnsi"/>
                <w:szCs w:val="24"/>
              </w:rPr>
              <w:t>’</w:t>
            </w:r>
            <w:r w:rsidRPr="00530FA2">
              <w:rPr>
                <w:rFonts w:asciiTheme="minorHAnsi" w:hAnsiTheme="minorHAnsi" w:cstheme="minorHAnsi"/>
                <w:szCs w:val="24"/>
              </w:rPr>
              <w:t xml:space="preserve"> SDGs remains steadfast, particularly in these three key areas:</w:t>
            </w:r>
            <w:r w:rsidRPr="00530FA2">
              <w:rPr>
                <w:rFonts w:asciiTheme="minorHAnsi" w:eastAsia="Times New Roman" w:hAnsiTheme="minorHAnsi" w:cstheme="minorHAnsi"/>
                <w:color w:val="000000" w:themeColor="text1"/>
                <w:szCs w:val="24"/>
              </w:rPr>
              <w:t xml:space="preserve"> </w:t>
            </w:r>
          </w:p>
          <w:p w14:paraId="0430AE47" w14:textId="77777777" w:rsidR="00BD0702" w:rsidRPr="00530FA2" w:rsidRDefault="00BD0702" w:rsidP="008611C0">
            <w:pPr>
              <w:pStyle w:val="enumlev1"/>
              <w:spacing w:before="120"/>
              <w:rPr>
                <w:rFonts w:asciiTheme="minorHAnsi" w:hAnsiTheme="minorHAnsi" w:cstheme="minorHAnsi"/>
                <w:b/>
                <w:bCs/>
                <w:szCs w:val="24"/>
              </w:rPr>
            </w:pPr>
            <w:r w:rsidRPr="00530FA2">
              <w:rPr>
                <w:rFonts w:asciiTheme="minorHAnsi" w:hAnsiTheme="minorHAnsi" w:cstheme="minorHAnsi"/>
                <w:szCs w:val="24"/>
              </w:rPr>
              <w:t>1</w:t>
            </w:r>
            <w:r w:rsidRPr="00530FA2">
              <w:rPr>
                <w:rFonts w:asciiTheme="minorHAnsi" w:hAnsiTheme="minorHAnsi" w:cstheme="minorHAnsi"/>
                <w:szCs w:val="24"/>
              </w:rPr>
              <w:tab/>
            </w:r>
            <w:r w:rsidRPr="00530FA2">
              <w:rPr>
                <w:rFonts w:asciiTheme="minorHAnsi" w:hAnsiTheme="minorHAnsi" w:cstheme="minorHAnsi"/>
                <w:b/>
                <w:bCs/>
                <w:szCs w:val="24"/>
              </w:rPr>
              <w:t>Universal Connectivity Progress:</w:t>
            </w:r>
          </w:p>
          <w:p w14:paraId="5A9A8387" w14:textId="1CFDFCA2" w:rsidR="00BD0702" w:rsidRPr="00530FA2" w:rsidRDefault="00BD0702" w:rsidP="008611C0">
            <w:pPr>
              <w:pStyle w:val="enumlev1"/>
              <w:rPr>
                <w:rFonts w:asciiTheme="minorHAnsi" w:hAnsiTheme="minorHAnsi" w:cstheme="minorHAnsi"/>
                <w:szCs w:val="24"/>
              </w:rPr>
            </w:pPr>
            <w:r w:rsidRPr="00530FA2">
              <w:rPr>
                <w:rFonts w:asciiTheme="minorHAnsi" w:hAnsiTheme="minorHAnsi" w:cstheme="minorHAnsi"/>
                <w:szCs w:val="24"/>
              </w:rPr>
              <w:tab/>
              <w:t xml:space="preserve">Despite significant advancements, the challenge of universal connectivity remains, especially as we aim to leverage this connectivity for health services (SDG 3) and gender equality (SDG 5). Our </w:t>
            </w:r>
            <w:hyperlink r:id="rId26">
              <w:r w:rsidRPr="00530FA2">
                <w:rPr>
                  <w:rStyle w:val="Hyperlink"/>
                  <w:rFonts w:asciiTheme="minorHAnsi" w:eastAsia="Calibri" w:hAnsiTheme="minorHAnsi" w:cstheme="minorHAnsi"/>
                  <w:szCs w:val="24"/>
                </w:rPr>
                <w:t>Connect 2030 Agenda</w:t>
              </w:r>
            </w:hyperlink>
            <w:r w:rsidRPr="00530FA2">
              <w:rPr>
                <w:rFonts w:asciiTheme="minorHAnsi" w:hAnsiTheme="minorHAnsi" w:cstheme="minorHAnsi"/>
                <w:szCs w:val="24"/>
              </w:rPr>
              <w:t xml:space="preserve">, alongside initiatives like </w:t>
            </w:r>
            <w:hyperlink r:id="rId27">
              <w:r w:rsidRPr="00530FA2">
                <w:rPr>
                  <w:rStyle w:val="Hyperlink"/>
                  <w:rFonts w:asciiTheme="minorHAnsi" w:eastAsia="Calibri" w:hAnsiTheme="minorHAnsi" w:cstheme="minorHAnsi"/>
                  <w:szCs w:val="24"/>
                </w:rPr>
                <w:t>Giga</w:t>
              </w:r>
            </w:hyperlink>
            <w:r w:rsidRPr="00530FA2">
              <w:rPr>
                <w:rFonts w:asciiTheme="minorHAnsi" w:hAnsiTheme="minorHAnsi" w:cstheme="minorHAnsi"/>
                <w:szCs w:val="24"/>
              </w:rPr>
              <w:t xml:space="preserve">, connecting every school to the internet, and the </w:t>
            </w:r>
            <w:hyperlink r:id="rId28">
              <w:r w:rsidRPr="00530FA2">
                <w:rPr>
                  <w:rStyle w:val="Hyperlink"/>
                  <w:rFonts w:asciiTheme="minorHAnsi" w:eastAsia="Calibri" w:hAnsiTheme="minorHAnsi" w:cstheme="minorHAnsi"/>
                  <w:szCs w:val="24"/>
                </w:rPr>
                <w:t>Digital Transformation Centres Initiative</w:t>
              </w:r>
            </w:hyperlink>
            <w:r w:rsidRPr="00530FA2">
              <w:rPr>
                <w:rFonts w:asciiTheme="minorHAnsi" w:hAnsiTheme="minorHAnsi" w:cstheme="minorHAnsi"/>
                <w:szCs w:val="24"/>
              </w:rPr>
              <w:t xml:space="preserve">, strengthening digital capacities in underserved communities, has made strides in ensuring equal digital access for all. These efforts are crucial for providing access to essential health information, continuous learning and other information to enable especially young people get productive employment and decent work, and empowering women and girls through targeted programs like </w:t>
            </w:r>
            <w:r w:rsidR="00774D26">
              <w:rPr>
                <w:rFonts w:asciiTheme="minorHAnsi" w:hAnsiTheme="minorHAnsi" w:cstheme="minorHAnsi"/>
                <w:szCs w:val="24"/>
              </w:rPr>
              <w:t>‘</w:t>
            </w:r>
            <w:r w:rsidRPr="00530FA2">
              <w:rPr>
                <w:rFonts w:asciiTheme="minorHAnsi" w:hAnsiTheme="minorHAnsi" w:cstheme="minorHAnsi"/>
                <w:szCs w:val="24"/>
              </w:rPr>
              <w:t>Girls Can Code</w:t>
            </w:r>
            <w:r w:rsidR="00774D26">
              <w:rPr>
                <w:rFonts w:asciiTheme="minorHAnsi" w:hAnsiTheme="minorHAnsi" w:cstheme="minorHAnsi"/>
                <w:szCs w:val="24"/>
              </w:rPr>
              <w:t>’</w:t>
            </w:r>
            <w:r w:rsidRPr="00530FA2">
              <w:rPr>
                <w:rFonts w:asciiTheme="minorHAnsi" w:hAnsiTheme="minorHAnsi" w:cstheme="minorHAnsi"/>
                <w:szCs w:val="24"/>
              </w:rPr>
              <w:t xml:space="preserve"> and </w:t>
            </w:r>
            <w:r w:rsidR="00774D26">
              <w:rPr>
                <w:rFonts w:asciiTheme="minorHAnsi" w:hAnsiTheme="minorHAnsi" w:cstheme="minorHAnsi"/>
                <w:szCs w:val="24"/>
              </w:rPr>
              <w:t>‘</w:t>
            </w:r>
            <w:r w:rsidRPr="00530FA2">
              <w:rPr>
                <w:rFonts w:asciiTheme="minorHAnsi" w:hAnsiTheme="minorHAnsi" w:cstheme="minorHAnsi"/>
                <w:szCs w:val="24"/>
              </w:rPr>
              <w:t>Girls in ICT</w:t>
            </w:r>
            <w:r w:rsidR="00774D26">
              <w:rPr>
                <w:rFonts w:asciiTheme="minorHAnsi" w:hAnsiTheme="minorHAnsi" w:cstheme="minorHAnsi"/>
                <w:szCs w:val="24"/>
              </w:rPr>
              <w:t>’</w:t>
            </w:r>
            <w:r w:rsidRPr="00530FA2">
              <w:rPr>
                <w:rFonts w:asciiTheme="minorHAnsi" w:hAnsiTheme="minorHAnsi" w:cstheme="minorHAnsi"/>
                <w:szCs w:val="24"/>
              </w:rPr>
              <w:t xml:space="preserve">. 34 countries are already working with Giga to connect schools, with over 2.2 million schools across the world mapped, and over 14 000 schools accessing connectivity and benefitting more than 7 million children.  As we progress, our focus remains on bridging the digital divide, which is foundational for achieving the broader spectrum of SDGs. </w:t>
            </w:r>
          </w:p>
          <w:p w14:paraId="74B4B28C" w14:textId="77777777" w:rsidR="00BD0702" w:rsidRPr="00530FA2" w:rsidRDefault="00BD0702" w:rsidP="008611C0">
            <w:pPr>
              <w:pStyle w:val="enumlev1"/>
              <w:rPr>
                <w:rFonts w:asciiTheme="minorHAnsi" w:hAnsiTheme="minorHAnsi" w:cstheme="minorHAnsi"/>
                <w:szCs w:val="24"/>
              </w:rPr>
            </w:pPr>
            <w:r w:rsidRPr="00530FA2">
              <w:rPr>
                <w:rFonts w:asciiTheme="minorHAnsi" w:hAnsiTheme="minorHAnsi" w:cstheme="minorHAnsi"/>
                <w:szCs w:val="24"/>
              </w:rPr>
              <w:t>2</w:t>
            </w:r>
            <w:r w:rsidRPr="00530FA2">
              <w:rPr>
                <w:rFonts w:asciiTheme="minorHAnsi" w:hAnsiTheme="minorHAnsi" w:cstheme="minorHAnsi"/>
                <w:szCs w:val="24"/>
              </w:rPr>
              <w:tab/>
            </w:r>
            <w:r w:rsidRPr="00530FA2">
              <w:rPr>
                <w:rFonts w:asciiTheme="minorHAnsi" w:hAnsiTheme="minorHAnsi" w:cstheme="minorHAnsi"/>
                <w:b/>
                <w:bCs/>
                <w:szCs w:val="24"/>
              </w:rPr>
              <w:t>Advocacy for Sustainable Digital Transformation:</w:t>
            </w:r>
          </w:p>
          <w:p w14:paraId="5332A343" w14:textId="6A00FA85" w:rsidR="00BD0702" w:rsidRPr="00530FA2" w:rsidRDefault="00BD0702" w:rsidP="008611C0">
            <w:pPr>
              <w:pStyle w:val="enumlev1"/>
              <w:rPr>
                <w:rFonts w:asciiTheme="minorHAnsi" w:hAnsiTheme="minorHAnsi" w:cstheme="minorHAnsi"/>
                <w:szCs w:val="24"/>
              </w:rPr>
            </w:pPr>
            <w:r w:rsidRPr="00530FA2">
              <w:rPr>
                <w:rFonts w:asciiTheme="minorHAnsi" w:hAnsiTheme="minorHAnsi" w:cstheme="minorHAnsi"/>
                <w:szCs w:val="24"/>
              </w:rPr>
              <w:tab/>
              <w:t>The digital economy</w:t>
            </w:r>
            <w:r w:rsidR="00774D26">
              <w:rPr>
                <w:rFonts w:asciiTheme="minorHAnsi" w:hAnsiTheme="minorHAnsi" w:cstheme="minorHAnsi"/>
                <w:szCs w:val="24"/>
              </w:rPr>
              <w:t>’</w:t>
            </w:r>
            <w:r w:rsidRPr="00530FA2">
              <w:rPr>
                <w:rFonts w:asciiTheme="minorHAnsi" w:hAnsiTheme="minorHAnsi" w:cstheme="minorHAnsi"/>
                <w:szCs w:val="24"/>
              </w:rPr>
              <w:t xml:space="preserve">s role in bolstering economic prosperity (SDG 8) is undeniable. Our initiatives, such as the </w:t>
            </w:r>
            <w:hyperlink r:id="rId29">
              <w:r w:rsidRPr="00530FA2">
                <w:rPr>
                  <w:rStyle w:val="Hyperlink"/>
                  <w:rFonts w:asciiTheme="minorHAnsi" w:eastAsia="Calibri" w:hAnsiTheme="minorHAnsi" w:cstheme="minorHAnsi"/>
                  <w:szCs w:val="24"/>
                </w:rPr>
                <w:t>Innovation and Entrepreneurship Alliance for Digital Development</w:t>
              </w:r>
            </w:hyperlink>
            <w:r w:rsidRPr="00530FA2">
              <w:rPr>
                <w:rFonts w:asciiTheme="minorHAnsi" w:hAnsiTheme="minorHAnsi" w:cstheme="minorHAnsi"/>
                <w:szCs w:val="24"/>
              </w:rPr>
              <w:t>, emphasize the importance of innovation and entrepreneurship in bridging the digital divide while promoting responsible environmental practices. This dual focus aligns with our efforts to ensure that digital transformation contributes positively to economic growth without compromising our planet</w:t>
            </w:r>
            <w:r w:rsidR="00774D26">
              <w:rPr>
                <w:rFonts w:asciiTheme="minorHAnsi" w:hAnsiTheme="minorHAnsi" w:cstheme="minorHAnsi"/>
                <w:szCs w:val="24"/>
              </w:rPr>
              <w:t>’</w:t>
            </w:r>
            <w:r w:rsidRPr="00530FA2">
              <w:rPr>
                <w:rFonts w:asciiTheme="minorHAnsi" w:hAnsiTheme="minorHAnsi" w:cstheme="minorHAnsi"/>
                <w:szCs w:val="24"/>
              </w:rPr>
              <w:t>s health.</w:t>
            </w:r>
          </w:p>
          <w:p w14:paraId="58AE2BA9" w14:textId="77777777" w:rsidR="00BD0702" w:rsidRPr="00530FA2" w:rsidRDefault="00BD0702" w:rsidP="008611C0">
            <w:pPr>
              <w:pStyle w:val="enumlev1"/>
              <w:rPr>
                <w:rFonts w:asciiTheme="minorHAnsi" w:hAnsiTheme="minorHAnsi" w:cstheme="minorHAnsi"/>
                <w:szCs w:val="24"/>
              </w:rPr>
            </w:pPr>
            <w:r w:rsidRPr="00530FA2">
              <w:rPr>
                <w:rFonts w:asciiTheme="minorHAnsi" w:hAnsiTheme="minorHAnsi" w:cstheme="minorHAnsi"/>
                <w:szCs w:val="24"/>
              </w:rPr>
              <w:tab/>
              <w:t>In addition, a new Resolution on Enhancing Standardization Activities for Sustainable Digital Transformation was adopted during the World Telecommunication Standardization Assembly (WTSA-24). This Resolution aims to bolster global efforts towards sustainable digital transformation by supporting the development and implementation of international standards. Moreover, ITU hosts the Digital Transformation Dialogues, which offer a dynamic platform for fostering a deeper understanding of emerging technologies. These dialogues help reshape traditional processes, enhance operational efficiency, and unlock new possibilities for innovation and standardization.</w:t>
            </w:r>
          </w:p>
          <w:p w14:paraId="2CCDE8EF" w14:textId="77777777" w:rsidR="00BD0702" w:rsidRPr="00530FA2" w:rsidRDefault="00BD0702" w:rsidP="008611C0">
            <w:pPr>
              <w:pStyle w:val="enumlev1"/>
              <w:rPr>
                <w:rFonts w:asciiTheme="minorHAnsi" w:hAnsiTheme="minorHAnsi" w:cstheme="minorHAnsi"/>
                <w:b/>
                <w:bCs/>
                <w:szCs w:val="24"/>
              </w:rPr>
            </w:pPr>
            <w:r w:rsidRPr="00530FA2">
              <w:rPr>
                <w:rFonts w:asciiTheme="minorHAnsi" w:hAnsiTheme="minorHAnsi" w:cstheme="minorHAnsi"/>
                <w:szCs w:val="24"/>
              </w:rPr>
              <w:t>3</w:t>
            </w:r>
            <w:r w:rsidRPr="00530FA2">
              <w:rPr>
                <w:rFonts w:asciiTheme="minorHAnsi" w:hAnsiTheme="minorHAnsi" w:cstheme="minorHAnsi"/>
                <w:szCs w:val="24"/>
              </w:rPr>
              <w:tab/>
            </w:r>
            <w:r w:rsidRPr="00530FA2">
              <w:rPr>
                <w:rFonts w:asciiTheme="minorHAnsi" w:hAnsiTheme="minorHAnsi" w:cstheme="minorHAnsi"/>
                <w:b/>
                <w:bCs/>
                <w:szCs w:val="24"/>
              </w:rPr>
              <w:t>Enhancing Global Digital Cooperation:</w:t>
            </w:r>
          </w:p>
          <w:p w14:paraId="726DD9EF" w14:textId="5146110F" w:rsidR="00BD0702" w:rsidRPr="00530FA2" w:rsidRDefault="00BD0702" w:rsidP="008611C0">
            <w:pPr>
              <w:pStyle w:val="enumlev1"/>
              <w:spacing w:after="120"/>
              <w:rPr>
                <w:rFonts w:asciiTheme="minorHAnsi" w:hAnsiTheme="minorHAnsi" w:cstheme="minorHAnsi"/>
                <w:szCs w:val="24"/>
              </w:rPr>
            </w:pPr>
            <w:r w:rsidRPr="00530FA2">
              <w:rPr>
                <w:rFonts w:asciiTheme="minorHAnsi" w:hAnsiTheme="minorHAnsi" w:cstheme="minorHAnsi"/>
                <w:szCs w:val="24"/>
              </w:rPr>
              <w:tab/>
              <w:t xml:space="preserve">The evolving landscape of digital technologies underscores the need for robust global digital cooperation (SDG 17). Through platforms like the WSIS, the UN Global Digital Compact, and the </w:t>
            </w:r>
            <w:hyperlink r:id="rId30">
              <w:r w:rsidRPr="00530FA2">
                <w:rPr>
                  <w:rStyle w:val="Hyperlink"/>
                  <w:rFonts w:asciiTheme="minorHAnsi" w:eastAsia="Calibri" w:hAnsiTheme="minorHAnsi" w:cstheme="minorHAnsi"/>
                  <w:szCs w:val="24"/>
                </w:rPr>
                <w:t>Partner2Connect</w:t>
              </w:r>
            </w:hyperlink>
            <w:r w:rsidRPr="00530FA2">
              <w:rPr>
                <w:rFonts w:asciiTheme="minorHAnsi" w:hAnsiTheme="minorHAnsi" w:cstheme="minorHAnsi"/>
                <w:szCs w:val="24"/>
              </w:rPr>
              <w:t xml:space="preserve"> (P2C) Digital Coalition, we have facilitated dialogues that are critical for addressing complex digital challenges. WSIS serves as a </w:t>
            </w:r>
            <w:r w:rsidRPr="00530FA2">
              <w:rPr>
                <w:rFonts w:asciiTheme="minorHAnsi" w:hAnsiTheme="minorHAnsi" w:cstheme="minorHAnsi"/>
                <w:szCs w:val="24"/>
              </w:rPr>
              <w:lastRenderedPageBreak/>
              <w:t>leading multistakeholder platform fostering global digital cooperation and providing a well-established framework for addressing complex digital challenges while advancing the SDGs. Guided by its Action Lines, WSIS has stood the test of time as a functioning, inclusive multistakeholder model, with its principles continuing to serve as a key reference point for global digital discussions and governance. Through its annual WSIS Forum, participants engage in multistakeholder dialogues, collaborative partnerships, and coordinated actions, highlighting digital for development. The WSIS Prizes spotlight successful projects worldwide, showcasing innovative solutions that address connectivity challenges and foster digital transformation, further demonstrating WSIS</w:t>
            </w:r>
            <w:r w:rsidR="00774D26">
              <w:rPr>
                <w:rFonts w:asciiTheme="minorHAnsi" w:hAnsiTheme="minorHAnsi" w:cstheme="minorHAnsi"/>
                <w:szCs w:val="24"/>
              </w:rPr>
              <w:t>’</w:t>
            </w:r>
            <w:r w:rsidRPr="00530FA2">
              <w:rPr>
                <w:rFonts w:asciiTheme="minorHAnsi" w:hAnsiTheme="minorHAnsi" w:cstheme="minorHAnsi"/>
                <w:szCs w:val="24"/>
              </w:rPr>
              <w:t>s enduring role as a strong example of digital cooperation in action. The P2C platform</w:t>
            </w:r>
            <w:proofErr w:type="gramStart"/>
            <w:r w:rsidRPr="00530FA2">
              <w:rPr>
                <w:rFonts w:asciiTheme="minorHAnsi" w:hAnsiTheme="minorHAnsi" w:cstheme="minorHAnsi"/>
                <w:szCs w:val="24"/>
              </w:rPr>
              <w:t>, in particular, has</w:t>
            </w:r>
            <w:proofErr w:type="gramEnd"/>
            <w:r w:rsidRPr="00530FA2">
              <w:rPr>
                <w:rFonts w:asciiTheme="minorHAnsi" w:hAnsiTheme="minorHAnsi" w:cstheme="minorHAnsi"/>
                <w:szCs w:val="24"/>
              </w:rPr>
              <w:t xml:space="preserve"> seen significant engagement, with pledges aimed at connecting the hardest-to-reach communities. This global endeavour is essential for deploying emerging technologies responsibly and inclusively, aligning with SDGs 5, 8, and 17.</w:t>
            </w:r>
          </w:p>
        </w:tc>
      </w:tr>
      <w:tr w:rsidR="00BD0702" w14:paraId="06E7E148" w14:textId="77777777" w:rsidTr="008611C0">
        <w:tc>
          <w:tcPr>
            <w:tcW w:w="9060" w:type="dxa"/>
            <w:tcBorders>
              <w:top w:val="single" w:sz="8" w:space="0" w:color="auto"/>
              <w:left w:val="single" w:sz="8" w:space="0" w:color="auto"/>
              <w:bottom w:val="single" w:sz="8" w:space="0" w:color="auto"/>
              <w:right w:val="single" w:sz="8" w:space="0" w:color="auto"/>
            </w:tcBorders>
            <w:tcMar>
              <w:left w:w="108" w:type="dxa"/>
              <w:right w:w="108" w:type="dxa"/>
            </w:tcMar>
          </w:tcPr>
          <w:p w14:paraId="1261166F" w14:textId="77777777" w:rsidR="00BD0702" w:rsidRPr="00530FA2" w:rsidRDefault="00BD0702" w:rsidP="008611C0">
            <w:pPr>
              <w:pStyle w:val="Headingi"/>
              <w:keepNext w:val="0"/>
              <w:keepLines w:val="0"/>
              <w:rPr>
                <w:rFonts w:cstheme="minorHAnsi"/>
                <w:color w:val="4F81BD" w:themeColor="accent1"/>
                <w:szCs w:val="24"/>
              </w:rPr>
            </w:pPr>
            <w:r w:rsidRPr="00530FA2">
              <w:rPr>
                <w:rFonts w:cstheme="minorHAnsi"/>
                <w:color w:val="4F81BD" w:themeColor="accent1"/>
                <w:szCs w:val="24"/>
              </w:rPr>
              <w:lastRenderedPageBreak/>
              <w:t>(c)</w:t>
            </w:r>
            <w:r w:rsidRPr="00530FA2">
              <w:rPr>
                <w:rFonts w:cstheme="minorHAnsi"/>
                <w:color w:val="4F81BD" w:themeColor="accent1"/>
                <w:szCs w:val="24"/>
              </w:rPr>
              <w:tab/>
              <w:t>Three examples of measures to accelerate progress towards SDGs through well-coordinated actions in key transitions to bring progress to scale, building on interlinkages between SDGs to ensure cohesive progress.</w:t>
            </w:r>
          </w:p>
          <w:p w14:paraId="31A66615" w14:textId="67D18B6E" w:rsidR="00BD0702" w:rsidRPr="00530FA2" w:rsidRDefault="00BD0702" w:rsidP="008611C0">
            <w:pPr>
              <w:rPr>
                <w:rFonts w:asciiTheme="minorHAnsi" w:hAnsiTheme="minorHAnsi" w:cstheme="minorHAnsi"/>
              </w:rPr>
            </w:pPr>
            <w:r w:rsidRPr="00530FA2">
              <w:rPr>
                <w:rFonts w:asciiTheme="minorHAnsi" w:hAnsiTheme="minorHAnsi" w:cstheme="minorHAnsi"/>
              </w:rPr>
              <w:t>The ITU emphasizes the critical need to bridge the digital divide that still affects a substantial portion of the global population, hindering progress towards the Sustainable Development Goals (SDGs) by 2030. Despite advancements, the ITU</w:t>
            </w:r>
            <w:r w:rsidR="00774D26">
              <w:rPr>
                <w:rFonts w:asciiTheme="minorHAnsi" w:hAnsiTheme="minorHAnsi" w:cstheme="minorHAnsi"/>
              </w:rPr>
              <w:t>’</w:t>
            </w:r>
            <w:r w:rsidRPr="00530FA2">
              <w:rPr>
                <w:rFonts w:asciiTheme="minorHAnsi" w:hAnsiTheme="minorHAnsi" w:cstheme="minorHAnsi"/>
              </w:rPr>
              <w:t>s latest report reveals ongoing disparities in global Internet connectivity, particularly between high-income and low-income countries. To accelerate progress towards SDGs 3, 5, 8, 14, and 17, the ITU identifies three pivotal actions:</w:t>
            </w:r>
          </w:p>
          <w:p w14:paraId="57A71196" w14:textId="77777777" w:rsidR="00BD0702" w:rsidRPr="00530FA2" w:rsidRDefault="00BD0702" w:rsidP="008611C0">
            <w:pPr>
              <w:pStyle w:val="enumlev1"/>
              <w:rPr>
                <w:rFonts w:asciiTheme="minorHAnsi" w:hAnsiTheme="minorHAnsi" w:cstheme="minorHAnsi"/>
                <w:b/>
                <w:bCs/>
                <w:szCs w:val="24"/>
              </w:rPr>
            </w:pPr>
            <w:r w:rsidRPr="00530FA2">
              <w:rPr>
                <w:rFonts w:asciiTheme="minorHAnsi" w:hAnsiTheme="minorHAnsi" w:cstheme="minorHAnsi"/>
                <w:szCs w:val="24"/>
              </w:rPr>
              <w:t>1</w:t>
            </w:r>
            <w:r w:rsidRPr="00530FA2">
              <w:rPr>
                <w:rFonts w:asciiTheme="minorHAnsi" w:hAnsiTheme="minorHAnsi" w:cstheme="minorHAnsi"/>
                <w:szCs w:val="24"/>
              </w:rPr>
              <w:tab/>
            </w:r>
            <w:r w:rsidRPr="00530FA2">
              <w:rPr>
                <w:rFonts w:asciiTheme="minorHAnsi" w:hAnsiTheme="minorHAnsi" w:cstheme="minorHAnsi"/>
                <w:b/>
                <w:bCs/>
                <w:szCs w:val="24"/>
              </w:rPr>
              <w:t>Enhanced Access to Affordable Broadband and Universal Connectivity:</w:t>
            </w:r>
          </w:p>
          <w:p w14:paraId="3F5A9F27" w14:textId="77777777" w:rsidR="00BD0702" w:rsidRPr="00530FA2" w:rsidRDefault="00BD0702" w:rsidP="008611C0">
            <w:pPr>
              <w:pStyle w:val="enumlev1"/>
              <w:rPr>
                <w:rFonts w:asciiTheme="minorHAnsi" w:eastAsia="Calibri" w:hAnsiTheme="minorHAnsi" w:cstheme="minorHAnsi"/>
                <w:szCs w:val="24"/>
              </w:rPr>
            </w:pPr>
            <w:r w:rsidRPr="00530FA2">
              <w:rPr>
                <w:rFonts w:asciiTheme="minorHAnsi" w:eastAsia="Calibri" w:hAnsiTheme="minorHAnsi" w:cstheme="minorHAnsi"/>
                <w:szCs w:val="24"/>
              </w:rPr>
              <w:tab/>
              <w:t>Building on the foundation laid in 2024, the urgent need for affordable broadband services and universal connectivity remains paramount, especially in advancing SDGs 3 (Good Health and Well-being), 5 (Gender Equality), and 8 (Decent Work and Economic Growth). The stark digital divide continues to hinder progress, necessitating aggressive measures to make broadband affordable and accessible in underserved areas, including LDCs, LLDCs, and SIDS. This action supports the broader ambition of ensuring no one is left behind by providing the infrastructure necessary for inclusive economic growth, access to health services, and empowerment of women and girls through digital inclusion. Associated with this is the critical need for affordable internet-enabled terminal/user devices.</w:t>
            </w:r>
          </w:p>
          <w:p w14:paraId="12987815" w14:textId="77777777" w:rsidR="00BD0702" w:rsidRPr="00530FA2" w:rsidRDefault="00BD0702" w:rsidP="008611C0">
            <w:pPr>
              <w:pStyle w:val="enumlev1"/>
              <w:rPr>
                <w:rFonts w:asciiTheme="minorHAnsi" w:eastAsia="Calibri" w:hAnsiTheme="minorHAnsi" w:cstheme="minorHAnsi"/>
                <w:szCs w:val="24"/>
              </w:rPr>
            </w:pPr>
            <w:r w:rsidRPr="00530FA2">
              <w:rPr>
                <w:rFonts w:asciiTheme="minorHAnsi" w:eastAsia="Calibri" w:hAnsiTheme="minorHAnsi" w:cstheme="minorHAnsi"/>
                <w:szCs w:val="24"/>
              </w:rPr>
              <w:t>2</w:t>
            </w:r>
            <w:r w:rsidRPr="00530FA2">
              <w:rPr>
                <w:rFonts w:asciiTheme="minorHAnsi" w:eastAsia="Calibri" w:hAnsiTheme="minorHAnsi" w:cstheme="minorHAnsi"/>
                <w:szCs w:val="24"/>
              </w:rPr>
              <w:tab/>
            </w:r>
            <w:r w:rsidRPr="00530FA2">
              <w:rPr>
                <w:rFonts w:asciiTheme="minorHAnsi" w:eastAsia="Calibri" w:hAnsiTheme="minorHAnsi" w:cstheme="minorHAnsi"/>
                <w:b/>
                <w:bCs/>
                <w:szCs w:val="24"/>
              </w:rPr>
              <w:t>Scaling Digital Skills Development and Literacy</w:t>
            </w:r>
            <w:r w:rsidRPr="00530FA2">
              <w:rPr>
                <w:rFonts w:asciiTheme="minorHAnsi" w:eastAsia="Calibri" w:hAnsiTheme="minorHAnsi" w:cstheme="minorHAnsi"/>
                <w:szCs w:val="24"/>
              </w:rPr>
              <w:t>:</w:t>
            </w:r>
          </w:p>
          <w:p w14:paraId="7E437A18" w14:textId="525DA6F7" w:rsidR="00BD0702" w:rsidRPr="00530FA2" w:rsidRDefault="00BD0702" w:rsidP="008611C0">
            <w:pPr>
              <w:pStyle w:val="enumlev1"/>
              <w:rPr>
                <w:rFonts w:asciiTheme="minorHAnsi" w:eastAsia="Calibri" w:hAnsiTheme="minorHAnsi" w:cstheme="minorHAnsi"/>
                <w:szCs w:val="24"/>
              </w:rPr>
            </w:pPr>
            <w:r w:rsidRPr="00530FA2">
              <w:rPr>
                <w:rFonts w:asciiTheme="minorHAnsi" w:eastAsia="Calibri" w:hAnsiTheme="minorHAnsi" w:cstheme="minorHAnsi"/>
                <w:szCs w:val="24"/>
              </w:rPr>
              <w:tab/>
              <w:t xml:space="preserve">Digital literacy and skills are critical for full participation in the digital economy and society, directly impacting SDG 5 (Gender Equality) by addressing the gender digital divide and fostering economic growth (SDG 8) through </w:t>
            </w:r>
            <w:r w:rsidRPr="00530FA2">
              <w:rPr>
                <w:rFonts w:asciiTheme="minorHAnsi" w:hAnsiTheme="minorHAnsi" w:cstheme="minorHAnsi"/>
                <w:szCs w:val="24"/>
              </w:rPr>
              <w:t>increased</w:t>
            </w:r>
            <w:r w:rsidRPr="00530FA2">
              <w:rPr>
                <w:rFonts w:asciiTheme="minorHAnsi" w:eastAsia="Calibri" w:hAnsiTheme="minorHAnsi" w:cstheme="minorHAnsi"/>
                <w:szCs w:val="24"/>
              </w:rPr>
              <w:t xml:space="preserve"> employability and entrepreneurship opportunities. The ITU</w:t>
            </w:r>
            <w:r w:rsidR="00774D26">
              <w:rPr>
                <w:rFonts w:asciiTheme="minorHAnsi" w:eastAsia="Calibri" w:hAnsiTheme="minorHAnsi" w:cstheme="minorHAnsi"/>
                <w:szCs w:val="24"/>
              </w:rPr>
              <w:t>’</w:t>
            </w:r>
            <w:r w:rsidRPr="00530FA2">
              <w:rPr>
                <w:rFonts w:asciiTheme="minorHAnsi" w:eastAsia="Calibri" w:hAnsiTheme="minorHAnsi" w:cstheme="minorHAnsi"/>
                <w:szCs w:val="24"/>
              </w:rPr>
              <w:t xml:space="preserve">s commitment to empowering millions with digital skills by 2030 should expand to include targeted programs for vulnerable and marginalized groups, ensuring equitable access to quality education (SDG 4) and digital literacy for all. This focus aligns with the </w:t>
            </w:r>
            <w:r w:rsidR="00774D26">
              <w:rPr>
                <w:rFonts w:asciiTheme="minorHAnsi" w:eastAsia="Calibri" w:hAnsiTheme="minorHAnsi" w:cstheme="minorHAnsi"/>
                <w:szCs w:val="24"/>
              </w:rPr>
              <w:t>‘</w:t>
            </w:r>
            <w:r w:rsidRPr="00530FA2">
              <w:rPr>
                <w:rFonts w:asciiTheme="minorHAnsi" w:eastAsia="Calibri" w:hAnsiTheme="minorHAnsi" w:cstheme="minorHAnsi"/>
                <w:szCs w:val="24"/>
              </w:rPr>
              <w:t>Innovation</w:t>
            </w:r>
            <w:r w:rsidR="00774D26">
              <w:rPr>
                <w:rFonts w:asciiTheme="minorHAnsi" w:eastAsia="Calibri" w:hAnsiTheme="minorHAnsi" w:cstheme="minorHAnsi"/>
                <w:szCs w:val="24"/>
              </w:rPr>
              <w:t>’</w:t>
            </w:r>
            <w:r w:rsidRPr="00530FA2">
              <w:rPr>
                <w:rFonts w:asciiTheme="minorHAnsi" w:eastAsia="Calibri" w:hAnsiTheme="minorHAnsi" w:cstheme="minorHAnsi"/>
                <w:szCs w:val="24"/>
              </w:rPr>
              <w:t xml:space="preserve"> and </w:t>
            </w:r>
            <w:r w:rsidR="00774D26">
              <w:rPr>
                <w:rFonts w:asciiTheme="minorHAnsi" w:eastAsia="Calibri" w:hAnsiTheme="minorHAnsi" w:cstheme="minorHAnsi"/>
                <w:szCs w:val="24"/>
              </w:rPr>
              <w:t>‘</w:t>
            </w:r>
            <w:r w:rsidRPr="00530FA2">
              <w:rPr>
                <w:rFonts w:asciiTheme="minorHAnsi" w:eastAsia="Calibri" w:hAnsiTheme="minorHAnsi" w:cstheme="minorHAnsi"/>
                <w:szCs w:val="24"/>
              </w:rPr>
              <w:t>Inclusiveness</w:t>
            </w:r>
            <w:r w:rsidR="00774D26">
              <w:rPr>
                <w:rFonts w:asciiTheme="minorHAnsi" w:eastAsia="Calibri" w:hAnsiTheme="minorHAnsi" w:cstheme="minorHAnsi"/>
                <w:szCs w:val="24"/>
              </w:rPr>
              <w:t>’</w:t>
            </w:r>
            <w:r w:rsidRPr="00530FA2">
              <w:rPr>
                <w:rFonts w:asciiTheme="minorHAnsi" w:eastAsia="Calibri" w:hAnsiTheme="minorHAnsi" w:cstheme="minorHAnsi"/>
                <w:szCs w:val="24"/>
              </w:rPr>
              <w:t xml:space="preserve"> objectives of the ITU</w:t>
            </w:r>
            <w:r w:rsidR="00774D26">
              <w:rPr>
                <w:rFonts w:asciiTheme="minorHAnsi" w:eastAsia="Calibri" w:hAnsiTheme="minorHAnsi" w:cstheme="minorHAnsi"/>
                <w:szCs w:val="24"/>
              </w:rPr>
              <w:t>’</w:t>
            </w:r>
            <w:r w:rsidRPr="00530FA2">
              <w:rPr>
                <w:rFonts w:asciiTheme="minorHAnsi" w:eastAsia="Calibri" w:hAnsiTheme="minorHAnsi" w:cstheme="minorHAnsi"/>
                <w:szCs w:val="24"/>
              </w:rPr>
              <w:t xml:space="preserve">s Connect 2030 Agenda, emphasizing the importance of equipping everyone with the skills needed for the 21st century. This commitment is aligned with WSIS Action Line C4: Capacity Building, which emphasizes the </w:t>
            </w:r>
            <w:r w:rsidRPr="00530FA2">
              <w:rPr>
                <w:rFonts w:asciiTheme="minorHAnsi" w:eastAsia="Calibri" w:hAnsiTheme="minorHAnsi" w:cstheme="minorHAnsi"/>
                <w:szCs w:val="24"/>
              </w:rPr>
              <w:lastRenderedPageBreak/>
              <w:t>development of skills and competencies in digital technologies, and Action Line C7: E-Learning, which highlights the role of e-learning in bridging gaps in access to digital education and skills.</w:t>
            </w:r>
          </w:p>
          <w:p w14:paraId="7DAFDAF5" w14:textId="77777777" w:rsidR="00BD0702" w:rsidRPr="00530FA2" w:rsidRDefault="00BD0702" w:rsidP="008611C0">
            <w:pPr>
              <w:pStyle w:val="enumlev1"/>
              <w:rPr>
                <w:rFonts w:asciiTheme="minorHAnsi" w:eastAsia="Calibri" w:hAnsiTheme="minorHAnsi" w:cstheme="minorHAnsi"/>
                <w:szCs w:val="24"/>
              </w:rPr>
            </w:pPr>
            <w:r w:rsidRPr="00530FA2">
              <w:rPr>
                <w:rFonts w:asciiTheme="minorHAnsi" w:eastAsia="Calibri" w:hAnsiTheme="minorHAnsi" w:cstheme="minorHAnsi"/>
                <w:szCs w:val="24"/>
              </w:rPr>
              <w:t>3</w:t>
            </w:r>
            <w:r w:rsidRPr="00530FA2">
              <w:rPr>
                <w:rFonts w:asciiTheme="minorHAnsi" w:eastAsia="Calibri" w:hAnsiTheme="minorHAnsi" w:cstheme="minorHAnsi"/>
                <w:szCs w:val="24"/>
              </w:rPr>
              <w:tab/>
            </w:r>
            <w:r w:rsidRPr="00530FA2">
              <w:rPr>
                <w:rFonts w:asciiTheme="minorHAnsi" w:eastAsia="Calibri" w:hAnsiTheme="minorHAnsi" w:cstheme="minorHAnsi"/>
                <w:b/>
                <w:bCs/>
                <w:szCs w:val="24"/>
              </w:rPr>
              <w:t>Promoting Inclusive Digital Transformation</w:t>
            </w:r>
            <w:r w:rsidRPr="00530FA2">
              <w:rPr>
                <w:rFonts w:asciiTheme="minorHAnsi" w:eastAsia="Calibri" w:hAnsiTheme="minorHAnsi" w:cstheme="minorHAnsi"/>
                <w:szCs w:val="24"/>
              </w:rPr>
              <w:t>:</w:t>
            </w:r>
          </w:p>
          <w:p w14:paraId="5E6FED1A" w14:textId="4538434E" w:rsidR="00BD0702" w:rsidRPr="00530FA2" w:rsidRDefault="00BD0702" w:rsidP="008611C0">
            <w:pPr>
              <w:pStyle w:val="enumlev1"/>
              <w:spacing w:after="120"/>
              <w:rPr>
                <w:rFonts w:asciiTheme="minorHAnsi" w:eastAsia="Calibri" w:hAnsiTheme="minorHAnsi" w:cstheme="minorHAnsi"/>
                <w:szCs w:val="24"/>
              </w:rPr>
            </w:pPr>
            <w:r w:rsidRPr="00530FA2">
              <w:rPr>
                <w:rFonts w:asciiTheme="minorHAnsi" w:eastAsia="Calibri" w:hAnsiTheme="minorHAnsi" w:cstheme="minorHAnsi"/>
                <w:szCs w:val="24"/>
              </w:rPr>
              <w:tab/>
              <w:t xml:space="preserve">Inclusive digital transformation, ensuring policies that promote affordability, inclusivity, and digital literacy, remains a cornerstone for achieving sustainable development. This transformation is crucial for bridging the gender digital divide (SDG 5), enhancing economic growth (SDG 8), and ensuring sustainable use of oceans (SDG 14) through innovations like digital monitoring of </w:t>
            </w:r>
            <w:r w:rsidRPr="00530FA2">
              <w:rPr>
                <w:rFonts w:asciiTheme="minorHAnsi" w:hAnsiTheme="minorHAnsi" w:cstheme="minorHAnsi"/>
                <w:szCs w:val="24"/>
              </w:rPr>
              <w:t>marine</w:t>
            </w:r>
            <w:r w:rsidRPr="00530FA2">
              <w:rPr>
                <w:rFonts w:asciiTheme="minorHAnsi" w:eastAsia="Calibri" w:hAnsiTheme="minorHAnsi" w:cstheme="minorHAnsi"/>
                <w:szCs w:val="24"/>
              </w:rPr>
              <w:t xml:space="preserve"> environments. Policies must prioritize the affordability of digital services in low-income economies and encourage the participation of women and girls in STEM fields. This approach is in line with the </w:t>
            </w:r>
            <w:r w:rsidR="00774D26">
              <w:rPr>
                <w:rFonts w:asciiTheme="minorHAnsi" w:eastAsia="Calibri" w:hAnsiTheme="minorHAnsi" w:cstheme="minorHAnsi"/>
                <w:szCs w:val="24"/>
              </w:rPr>
              <w:t>‘</w:t>
            </w:r>
            <w:r w:rsidRPr="00530FA2">
              <w:rPr>
                <w:rFonts w:asciiTheme="minorHAnsi" w:eastAsia="Calibri" w:hAnsiTheme="minorHAnsi" w:cstheme="minorHAnsi"/>
                <w:szCs w:val="24"/>
              </w:rPr>
              <w:t>Sustainability</w:t>
            </w:r>
            <w:r w:rsidR="00774D26">
              <w:rPr>
                <w:rFonts w:asciiTheme="minorHAnsi" w:eastAsia="Calibri" w:hAnsiTheme="minorHAnsi" w:cstheme="minorHAnsi"/>
                <w:szCs w:val="24"/>
              </w:rPr>
              <w:t>’</w:t>
            </w:r>
            <w:r w:rsidRPr="00530FA2">
              <w:rPr>
                <w:rFonts w:asciiTheme="minorHAnsi" w:eastAsia="Calibri" w:hAnsiTheme="minorHAnsi" w:cstheme="minorHAnsi"/>
                <w:szCs w:val="24"/>
              </w:rPr>
              <w:t xml:space="preserve"> and </w:t>
            </w:r>
            <w:r w:rsidR="00774D26">
              <w:rPr>
                <w:rFonts w:asciiTheme="minorHAnsi" w:eastAsia="Calibri" w:hAnsiTheme="minorHAnsi" w:cstheme="minorHAnsi"/>
                <w:szCs w:val="24"/>
              </w:rPr>
              <w:t>‘</w:t>
            </w:r>
            <w:r w:rsidRPr="00530FA2">
              <w:rPr>
                <w:rFonts w:asciiTheme="minorHAnsi" w:eastAsia="Calibri" w:hAnsiTheme="minorHAnsi" w:cstheme="minorHAnsi"/>
                <w:szCs w:val="24"/>
              </w:rPr>
              <w:t>Partnerships</w:t>
            </w:r>
            <w:r w:rsidR="00774D26">
              <w:rPr>
                <w:rFonts w:asciiTheme="minorHAnsi" w:eastAsia="Calibri" w:hAnsiTheme="minorHAnsi" w:cstheme="minorHAnsi"/>
                <w:szCs w:val="24"/>
              </w:rPr>
              <w:t>’</w:t>
            </w:r>
            <w:r w:rsidRPr="00530FA2">
              <w:rPr>
                <w:rFonts w:asciiTheme="minorHAnsi" w:eastAsia="Calibri" w:hAnsiTheme="minorHAnsi" w:cstheme="minorHAnsi"/>
                <w:szCs w:val="24"/>
              </w:rPr>
              <w:t xml:space="preserve"> (SDG 17) goals of the Connect 2030 Agenda, advocating for a holistic and inclusive digital ecosystem that supports the SDGs.</w:t>
            </w:r>
          </w:p>
        </w:tc>
      </w:tr>
      <w:tr w:rsidR="00BD0702" w14:paraId="63BCA739" w14:textId="77777777" w:rsidTr="008611C0">
        <w:tc>
          <w:tcPr>
            <w:tcW w:w="9060" w:type="dxa"/>
            <w:tcBorders>
              <w:top w:val="single" w:sz="8" w:space="0" w:color="auto"/>
              <w:left w:val="single" w:sz="8" w:space="0" w:color="auto"/>
              <w:bottom w:val="single" w:sz="8" w:space="0" w:color="auto"/>
              <w:right w:val="single" w:sz="8" w:space="0" w:color="auto"/>
            </w:tcBorders>
            <w:tcMar>
              <w:left w:w="108" w:type="dxa"/>
              <w:right w:w="108" w:type="dxa"/>
            </w:tcMar>
          </w:tcPr>
          <w:p w14:paraId="08BA2AAD" w14:textId="77777777" w:rsidR="00BD0702" w:rsidRPr="00530FA2" w:rsidRDefault="00BD0702" w:rsidP="008611C0">
            <w:pPr>
              <w:pStyle w:val="Headingi"/>
              <w:keepNext w:val="0"/>
              <w:keepLines w:val="0"/>
              <w:rPr>
                <w:rFonts w:cstheme="minorHAnsi"/>
                <w:color w:val="4F81BD" w:themeColor="accent1"/>
                <w:szCs w:val="24"/>
              </w:rPr>
            </w:pPr>
            <w:r w:rsidRPr="00530FA2">
              <w:rPr>
                <w:rFonts w:cstheme="minorHAnsi"/>
                <w:color w:val="4F81BD" w:themeColor="accent1"/>
                <w:szCs w:val="24"/>
              </w:rPr>
              <w:lastRenderedPageBreak/>
              <w:t>(d)</w:t>
            </w:r>
            <w:r w:rsidRPr="00530FA2">
              <w:rPr>
                <w:rFonts w:cstheme="minorHAnsi"/>
                <w:color w:val="4F81BD" w:themeColor="accent1"/>
                <w:szCs w:val="24"/>
              </w:rPr>
              <w:tab/>
              <w:t xml:space="preserve">Follow-up actions and measures being undertaken by your intergovernmental body or forum to support the implementation of the 2023 SDG Summit Political Declaration and the outcomes of the 2024 Summit of the Future to advance the implementation of the 2030 Agenda for Sustainable Development.  </w:t>
            </w:r>
          </w:p>
          <w:p w14:paraId="6903E611" w14:textId="7D4CC7F7" w:rsidR="00BD0702" w:rsidRPr="00530FA2" w:rsidRDefault="00BD0702" w:rsidP="008611C0">
            <w:pPr>
              <w:rPr>
                <w:rFonts w:asciiTheme="minorHAnsi" w:hAnsiTheme="minorHAnsi" w:cstheme="minorHAnsi"/>
                <w:szCs w:val="24"/>
              </w:rPr>
            </w:pPr>
            <w:r w:rsidRPr="00530FA2">
              <w:rPr>
                <w:rFonts w:asciiTheme="minorHAnsi" w:hAnsiTheme="minorHAnsi" w:cstheme="minorHAnsi"/>
                <w:szCs w:val="24"/>
              </w:rPr>
              <w:t>The ITU</w:t>
            </w:r>
            <w:r w:rsidR="00774D26">
              <w:rPr>
                <w:rFonts w:asciiTheme="minorHAnsi" w:hAnsiTheme="minorHAnsi" w:cstheme="minorHAnsi"/>
                <w:szCs w:val="24"/>
              </w:rPr>
              <w:t>’</w:t>
            </w:r>
            <w:r w:rsidRPr="00530FA2">
              <w:rPr>
                <w:rFonts w:asciiTheme="minorHAnsi" w:hAnsiTheme="minorHAnsi" w:cstheme="minorHAnsi"/>
                <w:szCs w:val="24"/>
              </w:rPr>
              <w:t>s commitment to the Political Declaration of the SDG Summit is dynamically demonstrated through its strategic initiatives, partnerships, and decisive actions. ITU</w:t>
            </w:r>
            <w:r w:rsidR="00774D26">
              <w:rPr>
                <w:rFonts w:asciiTheme="minorHAnsi" w:hAnsiTheme="minorHAnsi" w:cstheme="minorHAnsi"/>
                <w:szCs w:val="24"/>
              </w:rPr>
              <w:t>’</w:t>
            </w:r>
            <w:r w:rsidRPr="00530FA2">
              <w:rPr>
                <w:rFonts w:asciiTheme="minorHAnsi" w:hAnsiTheme="minorHAnsi" w:cstheme="minorHAnsi"/>
                <w:szCs w:val="24"/>
              </w:rPr>
              <w:t>s work is motivated by a desire to drive transformative changes, foster global digital inclusion, and respond effectively to the pressing challenges outlined in the Declaration. Its initiatives promote universal connectivity, digital inclusion, gender equality, and sustainable digital transformation. ITU leverages technology to respond to global crises, protect the environment, and reduce the digital divide. Furthermore, ITU is dedicated to improving data and statistical capacities, fostering global digital cooperation and development, and supporting the integration of SDGs into national policy frameworks. As ITU navigates the complexities of the digital era, it aims to align its actions and initiatives with the Political Declaration, creating a more accessible, inclusive, and sustainable digital future for all.</w:t>
            </w:r>
          </w:p>
          <w:p w14:paraId="559E155B" w14:textId="77777777" w:rsidR="00BD0702" w:rsidRPr="00530FA2" w:rsidRDefault="00BD0702" w:rsidP="008611C0">
            <w:pPr>
              <w:pStyle w:val="Headingb"/>
              <w:keepNext w:val="0"/>
              <w:keepLines w:val="0"/>
              <w:rPr>
                <w:rFonts w:asciiTheme="minorHAnsi" w:hAnsiTheme="minorHAnsi" w:cstheme="minorHAnsi"/>
                <w:szCs w:val="24"/>
              </w:rPr>
            </w:pPr>
            <w:r w:rsidRPr="00530FA2">
              <w:rPr>
                <w:rFonts w:asciiTheme="minorHAnsi" w:hAnsiTheme="minorHAnsi" w:cstheme="minorHAnsi"/>
                <w:szCs w:val="24"/>
              </w:rPr>
              <w:t>Key actions</w:t>
            </w:r>
          </w:p>
          <w:p w14:paraId="2CA63594" w14:textId="77777777" w:rsidR="00BD0702" w:rsidRPr="00530FA2" w:rsidRDefault="00BD0702" w:rsidP="008611C0">
            <w:pPr>
              <w:pStyle w:val="enumlev1"/>
              <w:rPr>
                <w:rFonts w:asciiTheme="minorHAnsi" w:hAnsiTheme="minorHAnsi" w:cstheme="minorHAnsi"/>
                <w:szCs w:val="24"/>
              </w:rPr>
            </w:pPr>
            <w:r w:rsidRPr="00530FA2">
              <w:rPr>
                <w:rFonts w:asciiTheme="minorHAnsi" w:hAnsiTheme="minorHAnsi" w:cstheme="minorHAnsi"/>
                <w:szCs w:val="24"/>
              </w:rPr>
              <w:t>1</w:t>
            </w:r>
            <w:r w:rsidRPr="00530FA2">
              <w:rPr>
                <w:rFonts w:asciiTheme="minorHAnsi" w:hAnsiTheme="minorHAnsi" w:cstheme="minorHAnsi"/>
                <w:szCs w:val="24"/>
              </w:rPr>
              <w:tab/>
              <w:t>Universal Connectivity and Sustainable Digital Transformation:</w:t>
            </w:r>
          </w:p>
          <w:p w14:paraId="7F62295B" w14:textId="724315AB" w:rsidR="00BD0702" w:rsidRPr="00530FA2" w:rsidRDefault="00BD0702" w:rsidP="008611C0">
            <w:pPr>
              <w:pStyle w:val="enumlev1"/>
              <w:rPr>
                <w:rFonts w:asciiTheme="minorHAnsi" w:eastAsia="Calibri" w:hAnsiTheme="minorHAnsi" w:cstheme="minorHAnsi"/>
                <w:color w:val="323130"/>
                <w:szCs w:val="24"/>
              </w:rPr>
            </w:pPr>
            <w:r w:rsidRPr="00530FA2">
              <w:rPr>
                <w:rFonts w:asciiTheme="minorHAnsi" w:eastAsia="Calibri" w:hAnsiTheme="minorHAnsi" w:cstheme="minorHAnsi"/>
                <w:color w:val="323130"/>
                <w:szCs w:val="24"/>
              </w:rPr>
              <w:tab/>
              <w:t xml:space="preserve">The </w:t>
            </w:r>
            <w:hyperlink r:id="rId31">
              <w:r w:rsidRPr="00530FA2">
                <w:rPr>
                  <w:rStyle w:val="Hyperlink"/>
                  <w:rFonts w:asciiTheme="minorHAnsi" w:eastAsia="Calibri" w:hAnsiTheme="minorHAnsi" w:cstheme="minorHAnsi"/>
                  <w:szCs w:val="24"/>
                </w:rPr>
                <w:t>ITU</w:t>
              </w:r>
              <w:r w:rsidR="00774D26">
                <w:rPr>
                  <w:rStyle w:val="Hyperlink"/>
                  <w:rFonts w:asciiTheme="minorHAnsi" w:eastAsia="Calibri" w:hAnsiTheme="minorHAnsi" w:cstheme="minorHAnsi"/>
                  <w:szCs w:val="24"/>
                </w:rPr>
                <w:t>’</w:t>
              </w:r>
              <w:r w:rsidRPr="00530FA2">
                <w:rPr>
                  <w:rStyle w:val="Hyperlink"/>
                  <w:rFonts w:asciiTheme="minorHAnsi" w:eastAsia="Calibri" w:hAnsiTheme="minorHAnsi" w:cstheme="minorHAnsi"/>
                  <w:szCs w:val="24"/>
                </w:rPr>
                <w:t>s strategic plan for 2024-2027</w:t>
              </w:r>
            </w:hyperlink>
            <w:r w:rsidRPr="00530FA2">
              <w:rPr>
                <w:rFonts w:asciiTheme="minorHAnsi" w:eastAsia="Calibri" w:hAnsiTheme="minorHAnsi" w:cstheme="minorHAnsi"/>
                <w:color w:val="323130"/>
                <w:szCs w:val="24"/>
              </w:rPr>
              <w:t xml:space="preserve"> emphasizes Universal Connectivity and Sustainable Digital Transformation, reflecting its commitment to the goals outlined in the Political Declaration of the SDG Summit. These plans guide its continued efforts to expand access to </w:t>
            </w:r>
            <w:r w:rsidRPr="00530FA2">
              <w:rPr>
                <w:rFonts w:asciiTheme="minorHAnsi" w:hAnsiTheme="minorHAnsi" w:cstheme="minorHAnsi"/>
                <w:szCs w:val="24"/>
              </w:rPr>
              <w:t>digital</w:t>
            </w:r>
            <w:r w:rsidRPr="00530FA2">
              <w:rPr>
                <w:rFonts w:asciiTheme="minorHAnsi" w:eastAsia="Calibri" w:hAnsiTheme="minorHAnsi" w:cstheme="minorHAnsi"/>
                <w:color w:val="323130"/>
                <w:szCs w:val="24"/>
              </w:rPr>
              <w:t xml:space="preserve"> technologies and promote sustainable development.</w:t>
            </w:r>
          </w:p>
          <w:p w14:paraId="73D989E8" w14:textId="77777777" w:rsidR="00BD0702" w:rsidRPr="00530FA2" w:rsidRDefault="00BD0702" w:rsidP="008611C0">
            <w:pPr>
              <w:pStyle w:val="enumlev1"/>
              <w:rPr>
                <w:rFonts w:asciiTheme="minorHAnsi" w:eastAsia="Calibri" w:hAnsiTheme="minorHAnsi" w:cstheme="minorHAnsi"/>
                <w:color w:val="323130"/>
                <w:szCs w:val="24"/>
              </w:rPr>
            </w:pPr>
            <w:r w:rsidRPr="00530FA2">
              <w:rPr>
                <w:rFonts w:asciiTheme="minorHAnsi" w:eastAsia="Calibri" w:hAnsiTheme="minorHAnsi" w:cstheme="minorHAnsi"/>
                <w:color w:val="323130"/>
                <w:szCs w:val="24"/>
              </w:rPr>
              <w:t>2</w:t>
            </w:r>
            <w:r w:rsidRPr="00530FA2">
              <w:rPr>
                <w:rFonts w:asciiTheme="minorHAnsi" w:eastAsia="Calibri" w:hAnsiTheme="minorHAnsi" w:cstheme="minorHAnsi"/>
                <w:color w:val="323130"/>
                <w:szCs w:val="24"/>
              </w:rPr>
              <w:tab/>
              <w:t>Inclusive and Equitable Quality Education, Gender Equality, and Digital Literacy:</w:t>
            </w:r>
          </w:p>
          <w:p w14:paraId="7B8C813D" w14:textId="1B5E86DE" w:rsidR="00BD0702" w:rsidRPr="00530FA2" w:rsidRDefault="00BD0702" w:rsidP="008611C0">
            <w:pPr>
              <w:pStyle w:val="enumlev1"/>
              <w:rPr>
                <w:rFonts w:asciiTheme="minorHAnsi" w:eastAsia="Calibri" w:hAnsiTheme="minorHAnsi" w:cstheme="minorHAnsi"/>
                <w:color w:val="323130"/>
                <w:szCs w:val="24"/>
              </w:rPr>
            </w:pPr>
            <w:r w:rsidRPr="00530FA2">
              <w:rPr>
                <w:rFonts w:asciiTheme="minorHAnsi" w:eastAsia="Calibri" w:hAnsiTheme="minorHAnsi" w:cstheme="minorHAnsi"/>
                <w:color w:val="323130"/>
                <w:szCs w:val="24"/>
              </w:rPr>
              <w:tab/>
              <w:t>ITU</w:t>
            </w:r>
            <w:r w:rsidR="00774D26">
              <w:rPr>
                <w:rFonts w:asciiTheme="minorHAnsi" w:eastAsia="Calibri" w:hAnsiTheme="minorHAnsi" w:cstheme="minorHAnsi"/>
                <w:color w:val="323130"/>
                <w:szCs w:val="24"/>
              </w:rPr>
              <w:t>’</w:t>
            </w:r>
            <w:r w:rsidRPr="00530FA2">
              <w:rPr>
                <w:rFonts w:asciiTheme="minorHAnsi" w:eastAsia="Calibri" w:hAnsiTheme="minorHAnsi" w:cstheme="minorHAnsi"/>
                <w:color w:val="323130"/>
                <w:szCs w:val="24"/>
              </w:rPr>
              <w:t xml:space="preserve">s initiatives, including the </w:t>
            </w:r>
            <w:hyperlink r:id="rId32">
              <w:r w:rsidRPr="00530FA2">
                <w:rPr>
                  <w:rStyle w:val="Hyperlink"/>
                  <w:rFonts w:asciiTheme="minorHAnsi" w:eastAsia="Calibri" w:hAnsiTheme="minorHAnsi" w:cstheme="minorHAnsi"/>
                  <w:szCs w:val="24"/>
                </w:rPr>
                <w:t>EQUALS Global Partnership</w:t>
              </w:r>
            </w:hyperlink>
            <w:r w:rsidRPr="00530FA2">
              <w:rPr>
                <w:rFonts w:asciiTheme="minorHAnsi" w:eastAsia="Calibri" w:hAnsiTheme="minorHAnsi" w:cstheme="minorHAnsi"/>
                <w:color w:val="323130"/>
                <w:szCs w:val="24"/>
              </w:rPr>
              <w:t xml:space="preserve"> to bridge the digital gender divide and the Girls Can Code program, demonstrate its commitment to promoting gender </w:t>
            </w:r>
            <w:r w:rsidRPr="00530FA2">
              <w:rPr>
                <w:rFonts w:asciiTheme="minorHAnsi" w:hAnsiTheme="minorHAnsi" w:cstheme="minorHAnsi"/>
                <w:szCs w:val="24"/>
              </w:rPr>
              <w:t>equality</w:t>
            </w:r>
            <w:r w:rsidRPr="00530FA2">
              <w:rPr>
                <w:rFonts w:asciiTheme="minorHAnsi" w:eastAsia="Calibri" w:hAnsiTheme="minorHAnsi" w:cstheme="minorHAnsi"/>
                <w:color w:val="323130"/>
                <w:szCs w:val="24"/>
              </w:rPr>
              <w:t xml:space="preserve"> and improving digital literacy. Furthermore, the </w:t>
            </w:r>
            <w:r w:rsidRPr="00F94280">
              <w:rPr>
                <w:rFonts w:asciiTheme="minorHAnsi" w:eastAsia="Calibri" w:hAnsiTheme="minorHAnsi" w:cstheme="minorHAnsi"/>
                <w:color w:val="323130"/>
                <w:spacing w:val="-2"/>
                <w:szCs w:val="24"/>
              </w:rPr>
              <w:t>Partner2Connect Digital Coalition has pledged 21.5% of its resources (worth $5</w:t>
            </w:r>
            <w:r>
              <w:rPr>
                <w:rFonts w:asciiTheme="minorHAnsi" w:eastAsia="Calibri" w:hAnsiTheme="minorHAnsi" w:cstheme="minorHAnsi"/>
                <w:color w:val="323130"/>
                <w:spacing w:val="-2"/>
                <w:szCs w:val="24"/>
              </w:rPr>
              <w:t> </w:t>
            </w:r>
            <w:r w:rsidRPr="00F94280">
              <w:rPr>
                <w:rFonts w:asciiTheme="minorHAnsi" w:eastAsia="Calibri" w:hAnsiTheme="minorHAnsi" w:cstheme="minorHAnsi"/>
                <w:color w:val="323130"/>
                <w:spacing w:val="-2"/>
                <w:szCs w:val="24"/>
              </w:rPr>
              <w:t>billion)</w:t>
            </w:r>
            <w:r w:rsidRPr="00530FA2">
              <w:rPr>
                <w:rFonts w:asciiTheme="minorHAnsi" w:eastAsia="Calibri" w:hAnsiTheme="minorHAnsi" w:cstheme="minorHAnsi"/>
                <w:color w:val="323130"/>
                <w:szCs w:val="24"/>
              </w:rPr>
              <w:t xml:space="preserve"> specifically towards women, underscoring its dedication to gender equality in the digital realm.</w:t>
            </w:r>
          </w:p>
          <w:p w14:paraId="5846FA05" w14:textId="77777777" w:rsidR="00BD0702" w:rsidRPr="00530FA2" w:rsidRDefault="00BD0702" w:rsidP="008611C0">
            <w:pPr>
              <w:pStyle w:val="enumlev1"/>
              <w:rPr>
                <w:rFonts w:asciiTheme="minorHAnsi" w:eastAsia="Calibri" w:hAnsiTheme="minorHAnsi" w:cstheme="minorHAnsi"/>
                <w:color w:val="323130"/>
                <w:szCs w:val="24"/>
              </w:rPr>
            </w:pPr>
            <w:r w:rsidRPr="00530FA2">
              <w:rPr>
                <w:rFonts w:asciiTheme="minorHAnsi" w:eastAsia="Calibri" w:hAnsiTheme="minorHAnsi" w:cstheme="minorHAnsi"/>
                <w:color w:val="323130"/>
                <w:szCs w:val="24"/>
              </w:rPr>
              <w:lastRenderedPageBreak/>
              <w:t>3</w:t>
            </w:r>
            <w:r w:rsidRPr="00530FA2">
              <w:rPr>
                <w:rFonts w:asciiTheme="minorHAnsi" w:eastAsia="Calibri" w:hAnsiTheme="minorHAnsi" w:cstheme="minorHAnsi"/>
                <w:color w:val="323130"/>
                <w:szCs w:val="24"/>
              </w:rPr>
              <w:tab/>
            </w:r>
            <w:r w:rsidRPr="00530FA2">
              <w:rPr>
                <w:rFonts w:asciiTheme="minorHAnsi" w:hAnsiTheme="minorHAnsi" w:cstheme="minorHAnsi"/>
                <w:szCs w:val="24"/>
              </w:rPr>
              <w:t>Bridge</w:t>
            </w:r>
            <w:r w:rsidRPr="00530FA2">
              <w:rPr>
                <w:rFonts w:asciiTheme="minorHAnsi" w:eastAsia="Calibri" w:hAnsiTheme="minorHAnsi" w:cstheme="minorHAnsi"/>
                <w:color w:val="323130"/>
                <w:szCs w:val="24"/>
              </w:rPr>
              <w:t xml:space="preserve"> the Digital Divide, Digital Infrastructure Connectivity, and Digital Inclusivity:</w:t>
            </w:r>
          </w:p>
          <w:p w14:paraId="35F26B35" w14:textId="77777777" w:rsidR="00BD0702" w:rsidRPr="00530FA2" w:rsidRDefault="00BD0702" w:rsidP="008611C0">
            <w:pPr>
              <w:pStyle w:val="enumlev1"/>
              <w:rPr>
                <w:rFonts w:asciiTheme="minorHAnsi" w:eastAsia="Calibri" w:hAnsiTheme="minorHAnsi" w:cstheme="minorHAnsi"/>
                <w:color w:val="323130"/>
                <w:szCs w:val="24"/>
              </w:rPr>
            </w:pPr>
            <w:r w:rsidRPr="00530FA2">
              <w:rPr>
                <w:rFonts w:asciiTheme="minorHAnsi" w:eastAsia="Calibri" w:hAnsiTheme="minorHAnsi" w:cstheme="minorHAnsi"/>
                <w:color w:val="323130"/>
                <w:szCs w:val="24"/>
              </w:rPr>
              <w:tab/>
              <w:t xml:space="preserve">Through the </w:t>
            </w:r>
            <w:hyperlink r:id="rId33">
              <w:r w:rsidRPr="00530FA2">
                <w:rPr>
                  <w:rStyle w:val="Hyperlink"/>
                  <w:rFonts w:asciiTheme="minorHAnsi" w:eastAsia="Calibri" w:hAnsiTheme="minorHAnsi" w:cstheme="minorHAnsi"/>
                  <w:szCs w:val="24"/>
                </w:rPr>
                <w:t>Partner2Connect Digital Coalition</w:t>
              </w:r>
            </w:hyperlink>
            <w:r w:rsidRPr="00530FA2">
              <w:rPr>
                <w:rFonts w:asciiTheme="minorHAnsi" w:eastAsia="Calibri" w:hAnsiTheme="minorHAnsi" w:cstheme="minorHAnsi"/>
                <w:color w:val="323130"/>
                <w:szCs w:val="24"/>
              </w:rPr>
              <w:t xml:space="preserve">, ITU is mobilizing over USD 36 Billion to bridge the digital divide and enhance digital infrastructure connectivity. It is also committed to </w:t>
            </w:r>
            <w:r w:rsidRPr="00530FA2">
              <w:rPr>
                <w:rFonts w:asciiTheme="minorHAnsi" w:hAnsiTheme="minorHAnsi" w:cstheme="minorHAnsi"/>
                <w:szCs w:val="24"/>
              </w:rPr>
              <w:t>the</w:t>
            </w:r>
            <w:r w:rsidRPr="00530FA2">
              <w:rPr>
                <w:rFonts w:asciiTheme="minorHAnsi" w:eastAsia="Calibri" w:hAnsiTheme="minorHAnsi" w:cstheme="minorHAnsi"/>
                <w:color w:val="323130"/>
                <w:szCs w:val="24"/>
              </w:rPr>
              <w:t xml:space="preserve"> Global Digital Compact (GDC), which focuses on promoting digital inclusivity and identified Giga as a foundation to build on to connect all schools and health centres.</w:t>
            </w:r>
          </w:p>
          <w:p w14:paraId="30079E7B" w14:textId="77777777" w:rsidR="00BD0702" w:rsidRPr="00530FA2" w:rsidRDefault="00BD0702" w:rsidP="008611C0">
            <w:pPr>
              <w:pStyle w:val="enumlev1"/>
              <w:rPr>
                <w:rFonts w:asciiTheme="minorHAnsi" w:eastAsia="Calibri" w:hAnsiTheme="minorHAnsi" w:cstheme="minorHAnsi"/>
                <w:color w:val="323130"/>
                <w:szCs w:val="24"/>
              </w:rPr>
            </w:pPr>
            <w:r w:rsidRPr="00530FA2">
              <w:rPr>
                <w:rFonts w:asciiTheme="minorHAnsi" w:eastAsia="Calibri" w:hAnsiTheme="minorHAnsi" w:cstheme="minorHAnsi"/>
                <w:color w:val="323130"/>
                <w:szCs w:val="24"/>
              </w:rPr>
              <w:t>4</w:t>
            </w:r>
            <w:r w:rsidRPr="00530FA2">
              <w:rPr>
                <w:rFonts w:asciiTheme="minorHAnsi" w:eastAsia="Calibri" w:hAnsiTheme="minorHAnsi" w:cstheme="minorHAnsi"/>
                <w:color w:val="323130"/>
                <w:szCs w:val="24"/>
              </w:rPr>
              <w:tab/>
            </w:r>
            <w:r w:rsidRPr="00530FA2">
              <w:rPr>
                <w:rFonts w:asciiTheme="minorHAnsi" w:hAnsiTheme="minorHAnsi" w:cstheme="minorHAnsi"/>
                <w:szCs w:val="24"/>
              </w:rPr>
              <w:t>Environmental</w:t>
            </w:r>
            <w:r w:rsidRPr="00530FA2">
              <w:rPr>
                <w:rFonts w:asciiTheme="minorHAnsi" w:eastAsia="Calibri" w:hAnsiTheme="minorHAnsi" w:cstheme="minorHAnsi"/>
                <w:color w:val="323130"/>
                <w:szCs w:val="24"/>
              </w:rPr>
              <w:t xml:space="preserve"> Protection, Technological Innovation, and ICT for Sustainable Industrialization:</w:t>
            </w:r>
          </w:p>
          <w:p w14:paraId="2F57A070" w14:textId="77777777" w:rsidR="00BD0702" w:rsidRPr="00530FA2" w:rsidRDefault="00BD0702" w:rsidP="008611C0">
            <w:pPr>
              <w:pStyle w:val="enumlev1"/>
              <w:rPr>
                <w:rFonts w:asciiTheme="minorHAnsi" w:eastAsia="Calibri" w:hAnsiTheme="minorHAnsi" w:cstheme="minorHAnsi"/>
                <w:color w:val="323130"/>
                <w:szCs w:val="24"/>
              </w:rPr>
            </w:pPr>
            <w:r w:rsidRPr="00530FA2">
              <w:rPr>
                <w:rFonts w:asciiTheme="minorHAnsi" w:eastAsia="Calibri" w:hAnsiTheme="minorHAnsi" w:cstheme="minorHAnsi"/>
                <w:color w:val="323130"/>
                <w:szCs w:val="24"/>
              </w:rPr>
              <w:tab/>
              <w:t xml:space="preserve">ITU is leveraging ICTs for environmental protection and promoting technological innovation for </w:t>
            </w:r>
            <w:r w:rsidRPr="00530FA2">
              <w:rPr>
                <w:rFonts w:asciiTheme="minorHAnsi" w:hAnsiTheme="minorHAnsi" w:cstheme="minorHAnsi"/>
                <w:szCs w:val="24"/>
              </w:rPr>
              <w:t>sustainable</w:t>
            </w:r>
            <w:r w:rsidRPr="00530FA2">
              <w:rPr>
                <w:rFonts w:asciiTheme="minorHAnsi" w:eastAsia="Calibri" w:hAnsiTheme="minorHAnsi" w:cstheme="minorHAnsi"/>
                <w:color w:val="323130"/>
                <w:szCs w:val="24"/>
              </w:rPr>
              <w:t xml:space="preserve"> industrialization. This includes the development of globally accepted standards for emerging fields such as 5G, Internet of Things, artificial intelligence (AI) and the metaverse.</w:t>
            </w:r>
          </w:p>
          <w:p w14:paraId="4FB2B4AA" w14:textId="77777777" w:rsidR="00BD0702" w:rsidRPr="00530FA2" w:rsidRDefault="00BD0702" w:rsidP="008611C0">
            <w:pPr>
              <w:pStyle w:val="enumlev1"/>
              <w:rPr>
                <w:rFonts w:asciiTheme="minorHAnsi" w:eastAsia="Calibri" w:hAnsiTheme="minorHAnsi" w:cstheme="minorHAnsi"/>
                <w:color w:val="323130"/>
                <w:szCs w:val="24"/>
              </w:rPr>
            </w:pPr>
            <w:r w:rsidRPr="00530FA2">
              <w:rPr>
                <w:rFonts w:asciiTheme="minorHAnsi" w:eastAsia="Calibri" w:hAnsiTheme="minorHAnsi" w:cstheme="minorHAnsi"/>
                <w:color w:val="323130"/>
                <w:szCs w:val="24"/>
              </w:rPr>
              <w:t>5</w:t>
            </w:r>
            <w:r w:rsidRPr="00530FA2">
              <w:rPr>
                <w:rFonts w:asciiTheme="minorHAnsi" w:eastAsia="Calibri" w:hAnsiTheme="minorHAnsi" w:cstheme="minorHAnsi"/>
                <w:color w:val="323130"/>
                <w:szCs w:val="24"/>
              </w:rPr>
              <w:tab/>
              <w:t xml:space="preserve">Data and </w:t>
            </w:r>
            <w:r w:rsidRPr="00530FA2">
              <w:rPr>
                <w:rFonts w:asciiTheme="minorHAnsi" w:hAnsiTheme="minorHAnsi" w:cstheme="minorHAnsi"/>
                <w:szCs w:val="24"/>
              </w:rPr>
              <w:t>Statistical</w:t>
            </w:r>
            <w:r w:rsidRPr="00530FA2">
              <w:rPr>
                <w:rFonts w:asciiTheme="minorHAnsi" w:eastAsia="Calibri" w:hAnsiTheme="minorHAnsi" w:cstheme="minorHAnsi"/>
                <w:color w:val="323130"/>
                <w:szCs w:val="24"/>
              </w:rPr>
              <w:t xml:space="preserve"> Capacities, ICTs for Monitoring, and Policymaking:</w:t>
            </w:r>
          </w:p>
          <w:p w14:paraId="15C9BEA5" w14:textId="77777777" w:rsidR="00BD0702" w:rsidRPr="00530FA2" w:rsidRDefault="00BD0702" w:rsidP="008611C0">
            <w:pPr>
              <w:pStyle w:val="enumlev1"/>
              <w:rPr>
                <w:rFonts w:asciiTheme="minorHAnsi" w:eastAsia="Calibri" w:hAnsiTheme="minorHAnsi" w:cstheme="minorHAnsi"/>
                <w:color w:val="323130"/>
                <w:szCs w:val="24"/>
              </w:rPr>
            </w:pPr>
            <w:r w:rsidRPr="00530FA2">
              <w:rPr>
                <w:rFonts w:asciiTheme="minorHAnsi" w:eastAsia="Calibri" w:hAnsiTheme="minorHAnsi" w:cstheme="minorHAnsi"/>
                <w:color w:val="323130"/>
                <w:szCs w:val="24"/>
              </w:rPr>
              <w:tab/>
              <w:t xml:space="preserve">ITU provides </w:t>
            </w:r>
            <w:r w:rsidRPr="00530FA2">
              <w:rPr>
                <w:rFonts w:asciiTheme="minorHAnsi" w:hAnsiTheme="minorHAnsi" w:cstheme="minorHAnsi"/>
                <w:szCs w:val="24"/>
              </w:rPr>
              <w:t>technical</w:t>
            </w:r>
            <w:r w:rsidRPr="00530FA2">
              <w:rPr>
                <w:rFonts w:asciiTheme="minorHAnsi" w:eastAsia="Calibri" w:hAnsiTheme="minorHAnsi" w:cstheme="minorHAnsi"/>
                <w:color w:val="323130"/>
                <w:szCs w:val="24"/>
              </w:rPr>
              <w:t xml:space="preserve"> assistance to Member States, helping them build their ICT capacities and infrastructures for sustainable development. Increasingly, this is done jointly with partners in the UN development system through UN Sustainable Development Cooperation Frameworks with programme countries. It also delivers knowledge sharing sessions, and develops early warning systems, thereby improving data and statistical capacities for effective monitoring and policymaking.</w:t>
            </w:r>
          </w:p>
          <w:p w14:paraId="77A36E18" w14:textId="77777777" w:rsidR="00BD0702" w:rsidRPr="00530FA2" w:rsidRDefault="00BD0702" w:rsidP="008611C0">
            <w:pPr>
              <w:pStyle w:val="enumlev1"/>
              <w:rPr>
                <w:rFonts w:asciiTheme="minorHAnsi" w:eastAsia="Calibri" w:hAnsiTheme="minorHAnsi" w:cstheme="minorHAnsi"/>
                <w:color w:val="323130"/>
                <w:szCs w:val="24"/>
              </w:rPr>
            </w:pPr>
            <w:r w:rsidRPr="00530FA2">
              <w:rPr>
                <w:rFonts w:asciiTheme="minorHAnsi" w:eastAsia="Calibri" w:hAnsiTheme="minorHAnsi" w:cstheme="minorHAnsi"/>
                <w:color w:val="323130"/>
                <w:szCs w:val="24"/>
              </w:rPr>
              <w:t>6</w:t>
            </w:r>
            <w:r w:rsidRPr="00530FA2">
              <w:rPr>
                <w:rFonts w:asciiTheme="minorHAnsi" w:eastAsia="Calibri" w:hAnsiTheme="minorHAnsi" w:cstheme="minorHAnsi"/>
                <w:color w:val="323130"/>
                <w:szCs w:val="24"/>
              </w:rPr>
              <w:tab/>
              <w:t xml:space="preserve">Global </w:t>
            </w:r>
            <w:r w:rsidRPr="00530FA2">
              <w:rPr>
                <w:rFonts w:asciiTheme="minorHAnsi" w:hAnsiTheme="minorHAnsi" w:cstheme="minorHAnsi"/>
                <w:szCs w:val="24"/>
              </w:rPr>
              <w:t>Digital</w:t>
            </w:r>
            <w:r w:rsidRPr="00530FA2">
              <w:rPr>
                <w:rFonts w:asciiTheme="minorHAnsi" w:eastAsia="Calibri" w:hAnsiTheme="minorHAnsi" w:cstheme="minorHAnsi"/>
                <w:color w:val="323130"/>
                <w:szCs w:val="24"/>
              </w:rPr>
              <w:t xml:space="preserve"> Cooperation and Development:</w:t>
            </w:r>
          </w:p>
          <w:p w14:paraId="53C38AB9" w14:textId="77777777" w:rsidR="00BD0702" w:rsidRPr="00530FA2" w:rsidRDefault="00BD0702" w:rsidP="008611C0">
            <w:pPr>
              <w:pStyle w:val="enumlev1"/>
              <w:rPr>
                <w:rFonts w:asciiTheme="minorHAnsi" w:eastAsia="Calibri" w:hAnsiTheme="minorHAnsi" w:cstheme="minorHAnsi"/>
                <w:color w:val="323130"/>
                <w:szCs w:val="24"/>
              </w:rPr>
            </w:pPr>
            <w:r w:rsidRPr="00530FA2">
              <w:rPr>
                <w:rFonts w:asciiTheme="minorHAnsi" w:eastAsia="Calibri" w:hAnsiTheme="minorHAnsi" w:cstheme="minorHAnsi"/>
                <w:color w:val="323130"/>
                <w:szCs w:val="24"/>
              </w:rPr>
              <w:tab/>
              <w:t xml:space="preserve">ITU is </w:t>
            </w:r>
            <w:r w:rsidRPr="00530FA2">
              <w:rPr>
                <w:rFonts w:asciiTheme="minorHAnsi" w:hAnsiTheme="minorHAnsi" w:cstheme="minorHAnsi"/>
                <w:szCs w:val="24"/>
              </w:rPr>
              <w:t>committed</w:t>
            </w:r>
            <w:r w:rsidRPr="00530FA2">
              <w:rPr>
                <w:rFonts w:asciiTheme="minorHAnsi" w:eastAsia="Calibri" w:hAnsiTheme="minorHAnsi" w:cstheme="minorHAnsi"/>
                <w:color w:val="323130"/>
                <w:szCs w:val="24"/>
              </w:rPr>
              <w:t xml:space="preserve"> to improving global digital cooperation and development. This includes convening global conferences, providing platforms for international collaboration, and implementing initiatives promoting gender equality and inclusivity in the field of ICTs.</w:t>
            </w:r>
          </w:p>
          <w:p w14:paraId="0FADCCBA" w14:textId="77777777" w:rsidR="00BD0702" w:rsidRPr="00530FA2" w:rsidRDefault="00BD0702" w:rsidP="008611C0">
            <w:pPr>
              <w:pStyle w:val="enumlev1"/>
              <w:rPr>
                <w:rFonts w:asciiTheme="minorHAnsi" w:eastAsia="Calibri" w:hAnsiTheme="minorHAnsi" w:cstheme="minorHAnsi"/>
                <w:color w:val="323130"/>
                <w:szCs w:val="24"/>
              </w:rPr>
            </w:pPr>
            <w:r w:rsidRPr="00530FA2">
              <w:rPr>
                <w:rFonts w:asciiTheme="minorHAnsi" w:eastAsia="Calibri" w:hAnsiTheme="minorHAnsi" w:cstheme="minorHAnsi"/>
                <w:color w:val="323130"/>
                <w:szCs w:val="24"/>
              </w:rPr>
              <w:t>7</w:t>
            </w:r>
            <w:r w:rsidRPr="00530FA2">
              <w:rPr>
                <w:rFonts w:asciiTheme="minorHAnsi" w:eastAsia="Calibri" w:hAnsiTheme="minorHAnsi" w:cstheme="minorHAnsi"/>
                <w:color w:val="323130"/>
                <w:szCs w:val="24"/>
              </w:rPr>
              <w:tab/>
              <w:t xml:space="preserve">Science, </w:t>
            </w:r>
            <w:r w:rsidRPr="00530FA2">
              <w:rPr>
                <w:rFonts w:asciiTheme="minorHAnsi" w:hAnsiTheme="minorHAnsi" w:cstheme="minorHAnsi"/>
                <w:szCs w:val="24"/>
              </w:rPr>
              <w:t>Technology</w:t>
            </w:r>
            <w:r w:rsidRPr="00530FA2">
              <w:rPr>
                <w:rFonts w:asciiTheme="minorHAnsi" w:eastAsia="Calibri" w:hAnsiTheme="minorHAnsi" w:cstheme="minorHAnsi"/>
                <w:color w:val="323130"/>
                <w:szCs w:val="24"/>
              </w:rPr>
              <w:t xml:space="preserve">, and Innovation Divides, Transfer of Technologies, and Challenges of AI: </w:t>
            </w:r>
          </w:p>
          <w:p w14:paraId="1993B62B" w14:textId="77777777" w:rsidR="00BD0702" w:rsidRPr="00530FA2" w:rsidRDefault="00BD0702" w:rsidP="008611C0">
            <w:pPr>
              <w:pStyle w:val="enumlev1"/>
              <w:rPr>
                <w:rFonts w:asciiTheme="minorHAnsi" w:eastAsia="Calibri" w:hAnsiTheme="minorHAnsi" w:cstheme="minorHAnsi"/>
                <w:color w:val="323130"/>
                <w:szCs w:val="24"/>
              </w:rPr>
            </w:pPr>
            <w:r w:rsidRPr="00530FA2">
              <w:rPr>
                <w:rFonts w:asciiTheme="minorHAnsi" w:eastAsia="Calibri" w:hAnsiTheme="minorHAnsi" w:cstheme="minorHAnsi"/>
                <w:color w:val="323130"/>
                <w:szCs w:val="24"/>
              </w:rPr>
              <w:tab/>
              <w:t xml:space="preserve">ITU </w:t>
            </w:r>
            <w:r w:rsidRPr="00530FA2">
              <w:rPr>
                <w:rFonts w:asciiTheme="minorHAnsi" w:hAnsiTheme="minorHAnsi" w:cstheme="minorHAnsi"/>
                <w:szCs w:val="24"/>
              </w:rPr>
              <w:t>continues</w:t>
            </w:r>
            <w:r w:rsidRPr="00530FA2">
              <w:rPr>
                <w:rFonts w:asciiTheme="minorHAnsi" w:eastAsia="Calibri" w:hAnsiTheme="minorHAnsi" w:cstheme="minorHAnsi"/>
                <w:color w:val="323130"/>
                <w:szCs w:val="24"/>
              </w:rPr>
              <w:t xml:space="preserve"> to work on developing and implementing globally accepted standards for ICTs, especially in emerging fields such as 5G, Internet of Things, and artificial intelligence (AI), </w:t>
            </w:r>
            <w:r w:rsidRPr="00530FA2">
              <w:rPr>
                <w:rFonts w:asciiTheme="minorHAnsi" w:hAnsiTheme="minorHAnsi" w:cstheme="minorHAnsi"/>
                <w:szCs w:val="24"/>
              </w:rPr>
              <w:t>addressing</w:t>
            </w:r>
            <w:r w:rsidRPr="00530FA2">
              <w:rPr>
                <w:rFonts w:asciiTheme="minorHAnsi" w:eastAsia="Calibri" w:hAnsiTheme="minorHAnsi" w:cstheme="minorHAnsi"/>
                <w:color w:val="323130"/>
                <w:szCs w:val="24"/>
              </w:rPr>
              <w:t xml:space="preserve"> the challenges of AI and promoting the transfer of technologies.</w:t>
            </w:r>
          </w:p>
          <w:p w14:paraId="52C044BF" w14:textId="77777777" w:rsidR="00BD0702" w:rsidRPr="00530FA2" w:rsidRDefault="00BD0702" w:rsidP="008611C0">
            <w:pPr>
              <w:pStyle w:val="enumlev1"/>
              <w:rPr>
                <w:rFonts w:asciiTheme="minorHAnsi" w:eastAsia="Calibri" w:hAnsiTheme="minorHAnsi" w:cstheme="minorHAnsi"/>
                <w:color w:val="323130"/>
                <w:szCs w:val="24"/>
              </w:rPr>
            </w:pPr>
            <w:r w:rsidRPr="00530FA2">
              <w:rPr>
                <w:rFonts w:asciiTheme="minorHAnsi" w:eastAsia="Calibri" w:hAnsiTheme="minorHAnsi" w:cstheme="minorHAnsi"/>
                <w:color w:val="323130"/>
                <w:szCs w:val="24"/>
              </w:rPr>
              <w:t>8</w:t>
            </w:r>
            <w:r w:rsidRPr="00530FA2">
              <w:rPr>
                <w:rFonts w:asciiTheme="minorHAnsi" w:eastAsia="Calibri" w:hAnsiTheme="minorHAnsi" w:cstheme="minorHAnsi"/>
                <w:color w:val="323130"/>
                <w:szCs w:val="24"/>
              </w:rPr>
              <w:tab/>
              <w:t>ICTs for Disaster Risk Reduction, Early Warning Systems, and Humanitarian Assistance:</w:t>
            </w:r>
          </w:p>
          <w:p w14:paraId="351A24E9" w14:textId="77777777" w:rsidR="00BD0702" w:rsidRPr="00530FA2" w:rsidRDefault="00BD0702" w:rsidP="008611C0">
            <w:pPr>
              <w:pStyle w:val="enumlev1"/>
              <w:rPr>
                <w:rFonts w:asciiTheme="minorHAnsi" w:eastAsia="Calibri" w:hAnsiTheme="minorHAnsi" w:cstheme="minorHAnsi"/>
                <w:color w:val="323130"/>
                <w:szCs w:val="24"/>
              </w:rPr>
            </w:pPr>
            <w:r w:rsidRPr="00530FA2">
              <w:rPr>
                <w:rFonts w:asciiTheme="minorHAnsi" w:eastAsia="Calibri" w:hAnsiTheme="minorHAnsi" w:cstheme="minorHAnsi"/>
                <w:color w:val="323130"/>
                <w:szCs w:val="24"/>
              </w:rPr>
              <w:tab/>
              <w:t xml:space="preserve">ITU supports the UN Secretary-Generals Early Warning for All initiative and is developing early </w:t>
            </w:r>
            <w:r w:rsidRPr="00530FA2">
              <w:rPr>
                <w:rFonts w:asciiTheme="minorHAnsi" w:hAnsiTheme="minorHAnsi" w:cstheme="minorHAnsi"/>
                <w:szCs w:val="24"/>
              </w:rPr>
              <w:t>warning</w:t>
            </w:r>
            <w:r w:rsidRPr="00530FA2">
              <w:rPr>
                <w:rFonts w:asciiTheme="minorHAnsi" w:eastAsia="Calibri" w:hAnsiTheme="minorHAnsi" w:cstheme="minorHAnsi"/>
                <w:color w:val="323130"/>
                <w:szCs w:val="24"/>
              </w:rPr>
              <w:t xml:space="preserve"> systems and leveraging ICTs for disaster risk reduction and humanitarian assistance, reflecting the priorities outlined in the Political Declaration of the SDG Summit.</w:t>
            </w:r>
          </w:p>
          <w:p w14:paraId="4706CA19" w14:textId="77777777" w:rsidR="00BD0702" w:rsidRPr="00530FA2" w:rsidRDefault="00BD0702" w:rsidP="008611C0">
            <w:pPr>
              <w:pStyle w:val="enumlev1"/>
              <w:rPr>
                <w:rFonts w:asciiTheme="minorHAnsi" w:eastAsia="Calibri" w:hAnsiTheme="minorHAnsi" w:cstheme="minorHAnsi"/>
                <w:color w:val="323130"/>
                <w:szCs w:val="24"/>
              </w:rPr>
            </w:pPr>
            <w:r w:rsidRPr="00530FA2">
              <w:rPr>
                <w:rFonts w:asciiTheme="minorHAnsi" w:eastAsia="Calibri" w:hAnsiTheme="minorHAnsi" w:cstheme="minorHAnsi"/>
                <w:color w:val="323130"/>
                <w:szCs w:val="24"/>
              </w:rPr>
              <w:t>9</w:t>
            </w:r>
            <w:r w:rsidRPr="00530FA2">
              <w:rPr>
                <w:rFonts w:asciiTheme="minorHAnsi" w:eastAsia="Calibri" w:hAnsiTheme="minorHAnsi" w:cstheme="minorHAnsi"/>
                <w:color w:val="323130"/>
                <w:szCs w:val="24"/>
              </w:rPr>
              <w:tab/>
            </w:r>
            <w:r w:rsidRPr="00530FA2">
              <w:rPr>
                <w:rFonts w:asciiTheme="minorHAnsi" w:hAnsiTheme="minorHAnsi" w:cstheme="minorHAnsi"/>
                <w:szCs w:val="24"/>
              </w:rPr>
              <w:t>Integration</w:t>
            </w:r>
            <w:r w:rsidRPr="00530FA2">
              <w:rPr>
                <w:rFonts w:asciiTheme="minorHAnsi" w:eastAsia="Calibri" w:hAnsiTheme="minorHAnsi" w:cstheme="minorHAnsi"/>
                <w:color w:val="323130"/>
                <w:szCs w:val="24"/>
              </w:rPr>
              <w:t xml:space="preserve"> of SDGs into National Policy Frameworks and Development of National Plans:</w:t>
            </w:r>
          </w:p>
          <w:p w14:paraId="6A83F78C" w14:textId="77777777" w:rsidR="00BD0702" w:rsidRPr="00530FA2" w:rsidRDefault="00BD0702" w:rsidP="008611C0">
            <w:pPr>
              <w:pStyle w:val="enumlev1"/>
              <w:rPr>
                <w:rFonts w:asciiTheme="minorHAnsi" w:eastAsia="Calibri" w:hAnsiTheme="minorHAnsi" w:cstheme="minorHAnsi"/>
                <w:color w:val="323130"/>
                <w:szCs w:val="24"/>
              </w:rPr>
            </w:pPr>
            <w:r w:rsidRPr="00530FA2">
              <w:rPr>
                <w:rFonts w:asciiTheme="minorHAnsi" w:eastAsia="Calibri" w:hAnsiTheme="minorHAnsi" w:cstheme="minorHAnsi"/>
                <w:color w:val="323130"/>
                <w:szCs w:val="24"/>
              </w:rPr>
              <w:tab/>
              <w:t>The ITU assists member nations in integrating SDGs into their policy frameworks by developing robust national broadband plans to accelerate progress towards these global goals.</w:t>
            </w:r>
          </w:p>
        </w:tc>
      </w:tr>
      <w:tr w:rsidR="00BD0702" w14:paraId="7551404B" w14:textId="77777777" w:rsidTr="008611C0">
        <w:tc>
          <w:tcPr>
            <w:tcW w:w="9060" w:type="dxa"/>
            <w:tcBorders>
              <w:top w:val="single" w:sz="8" w:space="0" w:color="auto"/>
              <w:left w:val="single" w:sz="8" w:space="0" w:color="auto"/>
              <w:bottom w:val="single" w:sz="8" w:space="0" w:color="auto"/>
              <w:right w:val="single" w:sz="8" w:space="0" w:color="auto"/>
            </w:tcBorders>
            <w:tcMar>
              <w:left w:w="108" w:type="dxa"/>
              <w:right w:w="108" w:type="dxa"/>
            </w:tcMar>
          </w:tcPr>
          <w:p w14:paraId="57682F17" w14:textId="77777777" w:rsidR="00BD0702" w:rsidRPr="00530FA2" w:rsidRDefault="00BD0702" w:rsidP="00A201CA">
            <w:pPr>
              <w:pStyle w:val="Headingi"/>
              <w:keepLines w:val="0"/>
              <w:rPr>
                <w:rFonts w:cstheme="minorHAnsi"/>
                <w:color w:val="4F81BD" w:themeColor="accent1"/>
                <w:szCs w:val="24"/>
              </w:rPr>
            </w:pPr>
            <w:r w:rsidRPr="00530FA2">
              <w:rPr>
                <w:rFonts w:cstheme="minorHAnsi"/>
                <w:color w:val="4F81BD" w:themeColor="accent1"/>
                <w:szCs w:val="24"/>
              </w:rPr>
              <w:lastRenderedPageBreak/>
              <w:t>(e)</w:t>
            </w:r>
            <w:r w:rsidRPr="00530FA2">
              <w:rPr>
                <w:rFonts w:cstheme="minorHAnsi"/>
                <w:color w:val="4F81BD" w:themeColor="accent1"/>
                <w:szCs w:val="24"/>
              </w:rPr>
              <w:tab/>
              <w:t>Recommendations and key messages to be considered for inclusion in the Ministerial Declaration of the 2025 HLP.</w:t>
            </w:r>
            <w:r w:rsidRPr="00530FA2">
              <w:rPr>
                <w:rFonts w:eastAsia="Calibri" w:cstheme="minorHAnsi"/>
                <w:color w:val="4F81BD" w:themeColor="accent1"/>
                <w:szCs w:val="24"/>
              </w:rPr>
              <w:t xml:space="preserve"> </w:t>
            </w:r>
          </w:p>
          <w:p w14:paraId="52E36916" w14:textId="77777777" w:rsidR="00BD0702" w:rsidRPr="00530FA2" w:rsidRDefault="00BD0702" w:rsidP="008611C0">
            <w:pPr>
              <w:rPr>
                <w:rFonts w:asciiTheme="minorHAnsi" w:hAnsiTheme="minorHAnsi" w:cstheme="minorHAnsi"/>
                <w:szCs w:val="24"/>
              </w:rPr>
            </w:pPr>
            <w:r w:rsidRPr="00530FA2">
              <w:rPr>
                <w:rFonts w:asciiTheme="minorHAnsi" w:hAnsiTheme="minorHAnsi" w:cstheme="minorHAnsi"/>
                <w:szCs w:val="24"/>
              </w:rPr>
              <w:t>Our world is increasingly shaped by digital transformation, with technology and the internet playing a profound role in all aspects of our lives. Emerging technologies, such as artificial intelligence (AI), hold great promise to revolutionize sectors from healthcare to education, and from agriculture to energy. Yet, their potential benefits can only be fully realized if these technologies are harnessed for good and access to them is broadened, ensuring that digital transformation is inclusive, equitable, and sustainable. Crucially, we must also establish robust safeguards to ensure the ethical use of AI, protecting against misuse and potential harm.</w:t>
            </w:r>
          </w:p>
          <w:p w14:paraId="794341C3" w14:textId="0D2D11A3" w:rsidR="00BD0702" w:rsidRPr="00530FA2" w:rsidRDefault="00BD0702" w:rsidP="008611C0">
            <w:pPr>
              <w:rPr>
                <w:rFonts w:asciiTheme="minorHAnsi" w:hAnsiTheme="minorHAnsi" w:cstheme="minorHAnsi"/>
                <w:szCs w:val="24"/>
              </w:rPr>
            </w:pPr>
            <w:r w:rsidRPr="00530FA2">
              <w:rPr>
                <w:rFonts w:asciiTheme="minorHAnsi" w:hAnsiTheme="minorHAnsi" w:cstheme="minorHAnsi"/>
                <w:szCs w:val="24"/>
              </w:rPr>
              <w:t>The global community</w:t>
            </w:r>
            <w:r w:rsidR="00774D26">
              <w:rPr>
                <w:rFonts w:asciiTheme="minorHAnsi" w:hAnsiTheme="minorHAnsi" w:cstheme="minorHAnsi"/>
                <w:szCs w:val="24"/>
              </w:rPr>
              <w:t>’</w:t>
            </w:r>
            <w:r w:rsidRPr="00530FA2">
              <w:rPr>
                <w:rFonts w:asciiTheme="minorHAnsi" w:hAnsiTheme="minorHAnsi" w:cstheme="minorHAnsi"/>
                <w:szCs w:val="24"/>
              </w:rPr>
              <w:t>s approach to achieving digital transformation must be multifaceted, tackling everything from enhancing digital connectivity and inclusion to investing in sustainable ICT infrastructure, improving digital literacy and skills, fostering effective public-private partnerships, utilizing ICT in combating climate change, addressing the gender digital divide, and ensuring youth engagement and participation.</w:t>
            </w:r>
          </w:p>
          <w:p w14:paraId="243ECEB4" w14:textId="77777777" w:rsidR="00BD0702" w:rsidRPr="00530FA2" w:rsidRDefault="00BD0702" w:rsidP="008611C0">
            <w:pPr>
              <w:rPr>
                <w:rFonts w:asciiTheme="minorHAnsi" w:hAnsiTheme="minorHAnsi" w:cstheme="minorHAnsi"/>
                <w:szCs w:val="24"/>
              </w:rPr>
            </w:pPr>
            <w:r w:rsidRPr="00530FA2">
              <w:rPr>
                <w:rFonts w:asciiTheme="minorHAnsi" w:hAnsiTheme="minorHAnsi" w:cstheme="minorHAnsi"/>
                <w:szCs w:val="24"/>
              </w:rPr>
              <w:t>As we navigate this digital age, we must ensure that each step we take in advancing digital inclusion also moves us one step closer towards achieving the broader Sustainable Development Goals.</w:t>
            </w:r>
          </w:p>
          <w:p w14:paraId="188C826B" w14:textId="77777777" w:rsidR="00BD0702" w:rsidRPr="00530FA2" w:rsidRDefault="00BD0702" w:rsidP="00A201CA">
            <w:pPr>
              <w:pStyle w:val="Headingb"/>
              <w:keepNext w:val="0"/>
              <w:keepLines w:val="0"/>
              <w:spacing w:before="240"/>
              <w:rPr>
                <w:rFonts w:asciiTheme="minorHAnsi" w:hAnsiTheme="minorHAnsi" w:cstheme="minorHAnsi"/>
                <w:szCs w:val="24"/>
              </w:rPr>
            </w:pPr>
            <w:r w:rsidRPr="00530FA2">
              <w:rPr>
                <w:rFonts w:asciiTheme="minorHAnsi" w:hAnsiTheme="minorHAnsi" w:cstheme="minorHAnsi"/>
                <w:szCs w:val="24"/>
              </w:rPr>
              <w:t>Recommendations and key messages</w:t>
            </w:r>
          </w:p>
          <w:p w14:paraId="61741118" w14:textId="77777777" w:rsidR="00BD0702" w:rsidRPr="00530FA2" w:rsidRDefault="00BD0702" w:rsidP="008611C0">
            <w:pPr>
              <w:pStyle w:val="enumlev1"/>
              <w:rPr>
                <w:rFonts w:asciiTheme="minorHAnsi" w:hAnsiTheme="minorHAnsi" w:cstheme="minorHAnsi"/>
                <w:color w:val="323130"/>
                <w:szCs w:val="24"/>
              </w:rPr>
            </w:pPr>
            <w:r w:rsidRPr="00530FA2">
              <w:rPr>
                <w:rFonts w:asciiTheme="minorHAnsi" w:eastAsia="Times New Roman" w:hAnsiTheme="minorHAnsi" w:cstheme="minorHAnsi"/>
                <w:color w:val="323130"/>
                <w:szCs w:val="24"/>
              </w:rPr>
              <w:t>1</w:t>
            </w:r>
            <w:r w:rsidRPr="00530FA2">
              <w:rPr>
                <w:rFonts w:asciiTheme="minorHAnsi" w:eastAsia="Times New Roman" w:hAnsiTheme="minorHAnsi" w:cstheme="minorHAnsi"/>
                <w:color w:val="323130"/>
                <w:szCs w:val="24"/>
              </w:rPr>
              <w:tab/>
            </w:r>
            <w:r w:rsidRPr="00530FA2">
              <w:rPr>
                <w:rFonts w:asciiTheme="minorHAnsi" w:hAnsiTheme="minorHAnsi" w:cstheme="minorHAnsi"/>
                <w:b/>
                <w:bCs/>
                <w:color w:val="323130"/>
                <w:szCs w:val="24"/>
              </w:rPr>
              <w:t>Digital Connectivity and Inclusion:</w:t>
            </w:r>
            <w:r w:rsidRPr="00530FA2">
              <w:rPr>
                <w:rFonts w:asciiTheme="minorHAnsi" w:hAnsiTheme="minorHAnsi" w:cstheme="minorHAnsi"/>
                <w:color w:val="323130"/>
                <w:szCs w:val="24"/>
              </w:rPr>
              <w:t xml:space="preserve"> Achieving meaningful digital connectivity is a crucial step towards addressing global issues like poverty. By ensuring access to and use of digital technologies, </w:t>
            </w:r>
            <w:r w:rsidRPr="00530FA2">
              <w:rPr>
                <w:rFonts w:asciiTheme="minorHAnsi" w:eastAsia="Calibri" w:hAnsiTheme="minorHAnsi" w:cstheme="minorHAnsi"/>
                <w:color w:val="323130"/>
                <w:szCs w:val="24"/>
              </w:rPr>
              <w:t>particularly</w:t>
            </w:r>
            <w:r w:rsidRPr="00530FA2">
              <w:rPr>
                <w:rFonts w:asciiTheme="minorHAnsi" w:hAnsiTheme="minorHAnsi" w:cstheme="minorHAnsi"/>
                <w:color w:val="323130"/>
                <w:szCs w:val="24"/>
              </w:rPr>
              <w:t xml:space="preserve"> for marginalized communities, we can enable economic empowerment and foster social inclusion.</w:t>
            </w:r>
          </w:p>
          <w:p w14:paraId="3CC0B7D6" w14:textId="77777777" w:rsidR="00BD0702" w:rsidRPr="00530FA2" w:rsidRDefault="00BD0702" w:rsidP="008611C0">
            <w:pPr>
              <w:pStyle w:val="enumlev1"/>
              <w:rPr>
                <w:rFonts w:asciiTheme="minorHAnsi" w:hAnsiTheme="minorHAnsi" w:cstheme="minorHAnsi"/>
                <w:color w:val="323130"/>
                <w:szCs w:val="24"/>
              </w:rPr>
            </w:pPr>
            <w:r w:rsidRPr="00530FA2">
              <w:rPr>
                <w:rFonts w:asciiTheme="minorHAnsi" w:eastAsia="Times New Roman" w:hAnsiTheme="minorHAnsi" w:cstheme="minorHAnsi"/>
                <w:color w:val="323130"/>
                <w:szCs w:val="24"/>
              </w:rPr>
              <w:t>2</w:t>
            </w:r>
            <w:r w:rsidRPr="00530FA2">
              <w:rPr>
                <w:rFonts w:asciiTheme="minorHAnsi" w:eastAsia="Times New Roman" w:hAnsiTheme="minorHAnsi" w:cstheme="minorHAnsi"/>
                <w:color w:val="323130"/>
                <w:szCs w:val="24"/>
              </w:rPr>
              <w:tab/>
            </w:r>
            <w:r w:rsidRPr="00530FA2">
              <w:rPr>
                <w:rFonts w:asciiTheme="minorHAnsi" w:hAnsiTheme="minorHAnsi" w:cstheme="minorHAnsi"/>
                <w:b/>
                <w:bCs/>
                <w:color w:val="323130"/>
                <w:szCs w:val="24"/>
              </w:rPr>
              <w:t>Investment in Sustainable ICT Infrastructure:</w:t>
            </w:r>
            <w:r w:rsidRPr="00530FA2">
              <w:rPr>
                <w:rFonts w:asciiTheme="minorHAnsi" w:hAnsiTheme="minorHAnsi" w:cstheme="minorHAnsi"/>
                <w:color w:val="323130"/>
                <w:szCs w:val="24"/>
              </w:rPr>
              <w:t xml:space="preserve"> The capabilities of technology continue to evolve, increasing opportunities and capabilities to countries and individuals. However, infrastructure is critical to harnessing these. Investing in sustainable ICT infrastructure, </w:t>
            </w:r>
            <w:r w:rsidRPr="00530FA2">
              <w:rPr>
                <w:rFonts w:asciiTheme="minorHAnsi" w:eastAsia="Calibri" w:hAnsiTheme="minorHAnsi" w:cstheme="minorHAnsi"/>
                <w:color w:val="323130"/>
                <w:szCs w:val="24"/>
              </w:rPr>
              <w:t>particularly</w:t>
            </w:r>
            <w:r w:rsidRPr="00530FA2">
              <w:rPr>
                <w:rFonts w:asciiTheme="minorHAnsi" w:hAnsiTheme="minorHAnsi" w:cstheme="minorHAnsi"/>
                <w:color w:val="323130"/>
                <w:szCs w:val="24"/>
              </w:rPr>
              <w:t xml:space="preserve"> in developing, rural, and low-income regions, is vital for bridging the digital divide. This would provide equitable access to the digital economy, directly contributing to poverty reduction and indirectly supporting efforts to combat hunger through improved access to information and resources.</w:t>
            </w:r>
          </w:p>
          <w:p w14:paraId="485958B8" w14:textId="77777777" w:rsidR="00BD0702" w:rsidRPr="00530FA2" w:rsidRDefault="00BD0702" w:rsidP="008611C0">
            <w:pPr>
              <w:pStyle w:val="enumlev1"/>
              <w:rPr>
                <w:rFonts w:asciiTheme="minorHAnsi" w:hAnsiTheme="minorHAnsi" w:cstheme="minorHAnsi"/>
                <w:color w:val="323130"/>
                <w:szCs w:val="24"/>
              </w:rPr>
            </w:pPr>
            <w:r w:rsidRPr="00530FA2">
              <w:rPr>
                <w:rFonts w:asciiTheme="minorHAnsi" w:eastAsia="Times New Roman" w:hAnsiTheme="minorHAnsi" w:cstheme="minorHAnsi"/>
                <w:color w:val="323130"/>
                <w:szCs w:val="24"/>
              </w:rPr>
              <w:t>3</w:t>
            </w:r>
            <w:r w:rsidRPr="00530FA2">
              <w:rPr>
                <w:rFonts w:asciiTheme="minorHAnsi" w:eastAsia="Times New Roman" w:hAnsiTheme="minorHAnsi" w:cstheme="minorHAnsi"/>
                <w:color w:val="323130"/>
                <w:szCs w:val="24"/>
              </w:rPr>
              <w:tab/>
            </w:r>
            <w:r w:rsidRPr="00530FA2">
              <w:rPr>
                <w:rFonts w:asciiTheme="minorHAnsi" w:hAnsiTheme="minorHAnsi" w:cstheme="minorHAnsi"/>
                <w:b/>
                <w:bCs/>
                <w:color w:val="323130"/>
                <w:szCs w:val="24"/>
              </w:rPr>
              <w:t>Digital Literacy and Skills:</w:t>
            </w:r>
            <w:r w:rsidRPr="00530FA2">
              <w:rPr>
                <w:rFonts w:asciiTheme="minorHAnsi" w:hAnsiTheme="minorHAnsi" w:cstheme="minorHAnsi"/>
                <w:color w:val="323130"/>
                <w:szCs w:val="24"/>
              </w:rPr>
              <w:t xml:space="preserve"> Enhancing digital literacy and skills is essential for enabling individuals to participate effectively in the digital economy and society. This not only contributes to economic growth but also aids in the fight against poverty and hunger by equipping individuals with the tools to improve their livelihoods.</w:t>
            </w:r>
          </w:p>
          <w:p w14:paraId="26AD6BBA" w14:textId="77777777" w:rsidR="00BD0702" w:rsidRPr="00530FA2" w:rsidRDefault="00BD0702" w:rsidP="008611C0">
            <w:pPr>
              <w:pStyle w:val="enumlev1"/>
              <w:spacing w:after="80"/>
              <w:rPr>
                <w:rFonts w:asciiTheme="minorHAnsi" w:hAnsiTheme="minorHAnsi" w:cstheme="minorHAnsi"/>
                <w:color w:val="323130"/>
                <w:szCs w:val="24"/>
              </w:rPr>
            </w:pPr>
            <w:r w:rsidRPr="00530FA2">
              <w:rPr>
                <w:rFonts w:asciiTheme="minorHAnsi" w:eastAsia="Times New Roman" w:hAnsiTheme="minorHAnsi" w:cstheme="minorHAnsi"/>
                <w:color w:val="323130"/>
                <w:szCs w:val="24"/>
              </w:rPr>
              <w:t>4</w:t>
            </w:r>
            <w:r w:rsidRPr="00530FA2">
              <w:rPr>
                <w:rFonts w:asciiTheme="minorHAnsi" w:eastAsia="Times New Roman" w:hAnsiTheme="minorHAnsi" w:cstheme="minorHAnsi"/>
                <w:color w:val="323130"/>
                <w:szCs w:val="24"/>
              </w:rPr>
              <w:tab/>
            </w:r>
            <w:r w:rsidRPr="00530FA2">
              <w:rPr>
                <w:rFonts w:asciiTheme="minorHAnsi" w:hAnsiTheme="minorHAnsi" w:cstheme="minorHAnsi"/>
                <w:b/>
                <w:bCs/>
                <w:color w:val="323130"/>
                <w:szCs w:val="24"/>
              </w:rPr>
              <w:t>Public-Private Partnerships:</w:t>
            </w:r>
            <w:r w:rsidRPr="00530FA2">
              <w:rPr>
                <w:rFonts w:asciiTheme="minorHAnsi" w:hAnsiTheme="minorHAnsi" w:cstheme="minorHAnsi"/>
                <w:color w:val="323130"/>
                <w:szCs w:val="24"/>
              </w:rPr>
              <w:t xml:space="preserve"> Public-private partnerships play a significant role in mobilizing resources, knowledge, and expertise for digital transformation. These partnerships </w:t>
            </w:r>
            <w:r w:rsidRPr="00530FA2">
              <w:rPr>
                <w:rFonts w:asciiTheme="minorHAnsi" w:eastAsia="Calibri" w:hAnsiTheme="minorHAnsi" w:cstheme="minorHAnsi"/>
                <w:color w:val="323130"/>
                <w:szCs w:val="24"/>
              </w:rPr>
              <w:t>can</w:t>
            </w:r>
            <w:r w:rsidRPr="00530FA2">
              <w:rPr>
                <w:rFonts w:asciiTheme="minorHAnsi" w:hAnsiTheme="minorHAnsi" w:cstheme="minorHAnsi"/>
                <w:color w:val="323130"/>
                <w:szCs w:val="24"/>
              </w:rPr>
              <w:t xml:space="preserve"> drive innovation, increase access to technology, and promote sustainable industrialization, all of which are necessary for achieving the goals of economic growth, poverty reduction, and zero hunger.</w:t>
            </w:r>
          </w:p>
          <w:p w14:paraId="660A9316" w14:textId="48C6204A" w:rsidR="00BD0702" w:rsidRPr="00530FA2" w:rsidRDefault="00BD0702" w:rsidP="00A201CA">
            <w:pPr>
              <w:pStyle w:val="enumlev1"/>
              <w:keepNext/>
              <w:keepLines/>
              <w:spacing w:before="120"/>
              <w:rPr>
                <w:rFonts w:asciiTheme="minorHAnsi" w:hAnsiTheme="minorHAnsi" w:cstheme="minorHAnsi"/>
                <w:color w:val="323130"/>
                <w:szCs w:val="24"/>
              </w:rPr>
            </w:pPr>
            <w:r w:rsidRPr="00530FA2">
              <w:rPr>
                <w:rFonts w:asciiTheme="minorHAnsi" w:eastAsia="Times New Roman" w:hAnsiTheme="minorHAnsi" w:cstheme="minorHAnsi"/>
                <w:color w:val="323130"/>
                <w:szCs w:val="24"/>
              </w:rPr>
              <w:t>5</w:t>
            </w:r>
            <w:r w:rsidRPr="00530FA2">
              <w:rPr>
                <w:rFonts w:asciiTheme="minorHAnsi" w:eastAsia="Times New Roman" w:hAnsiTheme="minorHAnsi" w:cstheme="minorHAnsi"/>
                <w:color w:val="323130"/>
                <w:szCs w:val="24"/>
              </w:rPr>
              <w:tab/>
            </w:r>
            <w:r w:rsidRPr="00530FA2">
              <w:rPr>
                <w:rFonts w:asciiTheme="minorHAnsi" w:hAnsiTheme="minorHAnsi" w:cstheme="minorHAnsi"/>
                <w:b/>
                <w:bCs/>
                <w:color w:val="323130"/>
                <w:szCs w:val="24"/>
              </w:rPr>
              <w:t>Climate Change Action and ICT</w:t>
            </w:r>
            <w:r w:rsidR="00774D26">
              <w:rPr>
                <w:rFonts w:asciiTheme="minorHAnsi" w:hAnsiTheme="minorHAnsi" w:cstheme="minorHAnsi"/>
                <w:b/>
                <w:bCs/>
                <w:color w:val="323130"/>
                <w:szCs w:val="24"/>
              </w:rPr>
              <w:t>’</w:t>
            </w:r>
            <w:r w:rsidRPr="00530FA2">
              <w:rPr>
                <w:rFonts w:asciiTheme="minorHAnsi" w:hAnsiTheme="minorHAnsi" w:cstheme="minorHAnsi"/>
                <w:b/>
                <w:bCs/>
                <w:color w:val="323130"/>
                <w:szCs w:val="24"/>
              </w:rPr>
              <w:t>s Role:</w:t>
            </w:r>
            <w:r w:rsidRPr="00530FA2">
              <w:rPr>
                <w:rFonts w:asciiTheme="minorHAnsi" w:hAnsiTheme="minorHAnsi" w:cstheme="minorHAnsi"/>
                <w:color w:val="323130"/>
                <w:szCs w:val="24"/>
              </w:rPr>
              <w:t xml:space="preserve"> The role of ICT in combating climate change and promoting sustainable practices is critical. The use of ICT to reduce energy use </w:t>
            </w:r>
            <w:r w:rsidRPr="00530FA2">
              <w:rPr>
                <w:rFonts w:asciiTheme="minorHAnsi" w:hAnsiTheme="minorHAnsi" w:cstheme="minorHAnsi"/>
                <w:color w:val="323130"/>
                <w:szCs w:val="24"/>
              </w:rPr>
              <w:lastRenderedPageBreak/>
              <w:t>and waste, improve energy efficiency, and manage resources contributes to significant environmental sustainability, supporting efforts towards climate action.</w:t>
            </w:r>
          </w:p>
          <w:p w14:paraId="3EB9AF00" w14:textId="77777777" w:rsidR="00BD0702" w:rsidRPr="00530FA2" w:rsidRDefault="00BD0702" w:rsidP="008611C0">
            <w:pPr>
              <w:pStyle w:val="enumlev1"/>
              <w:rPr>
                <w:rFonts w:asciiTheme="minorHAnsi" w:hAnsiTheme="minorHAnsi" w:cstheme="minorHAnsi"/>
                <w:color w:val="323130"/>
                <w:szCs w:val="24"/>
              </w:rPr>
            </w:pPr>
            <w:r w:rsidRPr="00530FA2">
              <w:rPr>
                <w:rFonts w:asciiTheme="minorHAnsi" w:eastAsia="Times New Roman" w:hAnsiTheme="minorHAnsi" w:cstheme="minorHAnsi"/>
                <w:color w:val="323130"/>
                <w:szCs w:val="24"/>
              </w:rPr>
              <w:t>6</w:t>
            </w:r>
            <w:r w:rsidRPr="00530FA2">
              <w:rPr>
                <w:rFonts w:asciiTheme="minorHAnsi" w:eastAsia="Times New Roman" w:hAnsiTheme="minorHAnsi" w:cstheme="minorHAnsi"/>
                <w:color w:val="323130"/>
                <w:szCs w:val="24"/>
              </w:rPr>
              <w:tab/>
            </w:r>
            <w:r w:rsidRPr="00530FA2">
              <w:rPr>
                <w:rFonts w:asciiTheme="minorHAnsi" w:hAnsiTheme="minorHAnsi" w:cstheme="minorHAnsi"/>
                <w:b/>
                <w:bCs/>
                <w:color w:val="323130"/>
                <w:szCs w:val="24"/>
              </w:rPr>
              <w:t>Addressing the Gender Digital Divide:</w:t>
            </w:r>
            <w:r w:rsidRPr="00530FA2">
              <w:rPr>
                <w:rFonts w:asciiTheme="minorHAnsi" w:hAnsiTheme="minorHAnsi" w:cstheme="minorHAnsi"/>
                <w:color w:val="323130"/>
                <w:szCs w:val="24"/>
              </w:rPr>
              <w:t xml:space="preserve"> Achieving gender equality requires bridging the gender digital divide. Ensuring equal access to digital resources and opportunities for women and girls can empower them, promote their participation in the digital society, and contribute to building peaceful, inclusive, and more sustainable societies.</w:t>
            </w:r>
          </w:p>
          <w:p w14:paraId="747B5E13" w14:textId="77777777" w:rsidR="00BD0702" w:rsidRPr="00530FA2" w:rsidRDefault="00BD0702" w:rsidP="008611C0">
            <w:pPr>
              <w:pStyle w:val="enumlev1"/>
              <w:rPr>
                <w:rFonts w:asciiTheme="minorHAnsi" w:hAnsiTheme="minorHAnsi" w:cstheme="minorHAnsi"/>
                <w:color w:val="323130"/>
                <w:szCs w:val="24"/>
              </w:rPr>
            </w:pPr>
            <w:r w:rsidRPr="00530FA2">
              <w:rPr>
                <w:rFonts w:asciiTheme="minorHAnsi" w:eastAsia="Times New Roman" w:hAnsiTheme="minorHAnsi" w:cstheme="minorHAnsi"/>
                <w:color w:val="323130"/>
                <w:szCs w:val="24"/>
              </w:rPr>
              <w:t>7</w:t>
            </w:r>
            <w:r w:rsidRPr="00530FA2">
              <w:rPr>
                <w:rFonts w:asciiTheme="minorHAnsi" w:eastAsia="Times New Roman" w:hAnsiTheme="minorHAnsi" w:cstheme="minorHAnsi"/>
                <w:color w:val="323130"/>
                <w:szCs w:val="24"/>
              </w:rPr>
              <w:tab/>
            </w:r>
            <w:r w:rsidRPr="00530FA2">
              <w:rPr>
                <w:rFonts w:asciiTheme="minorHAnsi" w:hAnsiTheme="minorHAnsi" w:cstheme="minorHAnsi"/>
                <w:b/>
                <w:bCs/>
                <w:color w:val="323130"/>
                <w:szCs w:val="24"/>
              </w:rPr>
              <w:t>Youth Engagement and Participation:</w:t>
            </w:r>
            <w:r w:rsidRPr="00530FA2">
              <w:rPr>
                <w:rFonts w:asciiTheme="minorHAnsi" w:hAnsiTheme="minorHAnsi" w:cstheme="minorHAnsi"/>
                <w:color w:val="323130"/>
                <w:szCs w:val="24"/>
              </w:rPr>
              <w:t xml:space="preserve"> Engaging and empowering youth in digital development is key to shaping a connected, sustainable, and inclusive future. This not only contributes to the creation of peaceful, just, and strong institutions but also ensures the active participation of the youth in achieving the broader sustainable development goals.</w:t>
            </w:r>
          </w:p>
          <w:p w14:paraId="3BD4FF41" w14:textId="77777777" w:rsidR="00BD0702" w:rsidRPr="00530FA2" w:rsidRDefault="00BD0702" w:rsidP="008611C0">
            <w:pPr>
              <w:pStyle w:val="enumlev1"/>
              <w:spacing w:after="120"/>
              <w:rPr>
                <w:rFonts w:asciiTheme="minorHAnsi" w:hAnsiTheme="minorHAnsi" w:cstheme="minorHAnsi"/>
                <w:color w:val="323130"/>
                <w:szCs w:val="24"/>
              </w:rPr>
            </w:pPr>
            <w:r w:rsidRPr="00530FA2">
              <w:rPr>
                <w:rFonts w:asciiTheme="minorHAnsi" w:eastAsia="Times New Roman" w:hAnsiTheme="minorHAnsi" w:cstheme="minorHAnsi"/>
                <w:color w:val="323130"/>
                <w:szCs w:val="24"/>
              </w:rPr>
              <w:t>8</w:t>
            </w:r>
            <w:r w:rsidRPr="00530FA2">
              <w:rPr>
                <w:rFonts w:asciiTheme="minorHAnsi" w:eastAsia="Times New Roman" w:hAnsiTheme="minorHAnsi" w:cstheme="minorHAnsi"/>
                <w:color w:val="323130"/>
                <w:szCs w:val="24"/>
              </w:rPr>
              <w:tab/>
            </w:r>
            <w:r w:rsidRPr="00530FA2">
              <w:rPr>
                <w:rFonts w:asciiTheme="minorHAnsi" w:hAnsiTheme="minorHAnsi" w:cstheme="minorHAnsi"/>
                <w:b/>
                <w:bCs/>
                <w:color w:val="323130"/>
                <w:szCs w:val="24"/>
              </w:rPr>
              <w:t>Ethical Use and Safeguarding of AI:</w:t>
            </w:r>
            <w:r w:rsidRPr="00530FA2">
              <w:rPr>
                <w:rFonts w:asciiTheme="minorHAnsi" w:hAnsiTheme="minorHAnsi" w:cstheme="minorHAnsi"/>
                <w:color w:val="323130"/>
                <w:szCs w:val="24"/>
              </w:rPr>
              <w:t xml:space="preserve"> As we harness the potential of AI and other emerging technologies, it is critical to establish safeguards to ensure their ethical use. We must work towards creating global standards and regulations that protect </w:t>
            </w:r>
            <w:r w:rsidRPr="00530FA2">
              <w:rPr>
                <w:rFonts w:asciiTheme="minorHAnsi" w:eastAsia="Calibri" w:hAnsiTheme="minorHAnsi" w:cstheme="minorHAnsi"/>
                <w:color w:val="323130"/>
                <w:szCs w:val="24"/>
              </w:rPr>
              <w:t>against</w:t>
            </w:r>
            <w:r w:rsidRPr="00530FA2">
              <w:rPr>
                <w:rFonts w:asciiTheme="minorHAnsi" w:hAnsiTheme="minorHAnsi" w:cstheme="minorHAnsi"/>
                <w:color w:val="323130"/>
                <w:szCs w:val="24"/>
              </w:rPr>
              <w:t xml:space="preserve"> misuse and potential harm, while promoting transparency, accountability, and human rights in AI applications.</w:t>
            </w:r>
          </w:p>
        </w:tc>
      </w:tr>
    </w:tbl>
    <w:p w14:paraId="69993659" w14:textId="77777777" w:rsidR="007A3FCD" w:rsidRPr="00BD0702" w:rsidRDefault="007A3FCD" w:rsidP="008611C0">
      <w:pPr>
        <w:pStyle w:val="Reasons"/>
        <w:rPr>
          <w:rFonts w:asciiTheme="minorHAnsi" w:hAnsiTheme="minorHAnsi" w:cstheme="minorHAnsi"/>
          <w:lang w:val="en-GB"/>
        </w:rPr>
      </w:pPr>
    </w:p>
    <w:p w14:paraId="50E81474" w14:textId="0A81C2DE" w:rsidR="00B91F19" w:rsidRDefault="00B91F19" w:rsidP="001D0065">
      <w:pPr>
        <w:tabs>
          <w:tab w:val="clear" w:pos="567"/>
          <w:tab w:val="clear" w:pos="1134"/>
          <w:tab w:val="clear" w:pos="1701"/>
          <w:tab w:val="clear" w:pos="2268"/>
          <w:tab w:val="clear" w:pos="2835"/>
        </w:tabs>
        <w:overflowPunct/>
        <w:autoSpaceDE/>
        <w:autoSpaceDN/>
        <w:adjustRightInd/>
        <w:spacing w:before="0"/>
        <w:jc w:val="center"/>
        <w:textAlignment w:val="auto"/>
        <w:rPr>
          <w:rFonts w:eastAsiaTheme="minorEastAsia" w:cstheme="minorHAnsi"/>
          <w:b/>
          <w:bCs/>
          <w:color w:val="0070C0"/>
          <w:lang w:eastAsia="zh-CN"/>
        </w:rPr>
      </w:pPr>
    </w:p>
    <w:p w14:paraId="0D4507E8" w14:textId="77777777" w:rsidR="001D0065" w:rsidRDefault="001D0065">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theme="minorHAnsi"/>
          <w:b/>
          <w:bCs/>
          <w:color w:val="0070C0"/>
          <w:lang w:eastAsia="zh-CN"/>
        </w:rPr>
      </w:pPr>
      <w:r>
        <w:rPr>
          <w:rFonts w:eastAsiaTheme="minorEastAsia" w:cstheme="minorHAnsi"/>
          <w:b/>
          <w:bCs/>
          <w:color w:val="0070C0"/>
          <w:lang w:eastAsia="zh-CN"/>
        </w:rPr>
        <w:br w:type="page"/>
      </w:r>
    </w:p>
    <w:p w14:paraId="2BDAE19A" w14:textId="77777777" w:rsidR="00A201CA" w:rsidRDefault="00B91F19" w:rsidP="00A201CA">
      <w:pPr>
        <w:pStyle w:val="AnnexNo"/>
        <w:rPr>
          <w:rFonts w:eastAsiaTheme="minorEastAsia"/>
          <w:lang w:eastAsia="zh-CN"/>
        </w:rPr>
      </w:pPr>
      <w:r w:rsidRPr="006F5A29">
        <w:rPr>
          <w:rFonts w:eastAsiaTheme="minorEastAsia"/>
          <w:lang w:eastAsia="zh-CN"/>
        </w:rPr>
        <w:lastRenderedPageBreak/>
        <w:t>ANNEX 1</w:t>
      </w:r>
    </w:p>
    <w:p w14:paraId="215DABEA" w14:textId="4A6A7237" w:rsidR="00B91F19" w:rsidRPr="006F5A29" w:rsidRDefault="00A201CA" w:rsidP="00A201CA">
      <w:pPr>
        <w:pStyle w:val="Annextitle"/>
        <w:rPr>
          <w:rFonts w:eastAsiaTheme="minorEastAsia"/>
          <w:lang w:eastAsia="zh-CN"/>
        </w:rPr>
      </w:pPr>
      <w:r w:rsidRPr="006F5A29">
        <w:rPr>
          <w:rFonts w:eastAsiaTheme="minorEastAsia"/>
          <w:lang w:eastAsia="zh-CN"/>
        </w:rPr>
        <w:t xml:space="preserve">In-depth view of the role of </w:t>
      </w:r>
      <w:r w:rsidR="00B91F19" w:rsidRPr="006F5A29">
        <w:rPr>
          <w:rFonts w:eastAsiaTheme="minorEastAsia"/>
          <w:lang w:eastAsia="zh-CN"/>
        </w:rPr>
        <w:t>ICT</w:t>
      </w:r>
      <w:r w:rsidRPr="006F5A29">
        <w:rPr>
          <w:rFonts w:eastAsiaTheme="minorEastAsia"/>
          <w:lang w:eastAsia="zh-CN"/>
        </w:rPr>
        <w:t>s</w:t>
      </w:r>
      <w:r w:rsidR="00B91F19" w:rsidRPr="006F5A29">
        <w:rPr>
          <w:rFonts w:eastAsiaTheme="minorEastAsia"/>
          <w:lang w:eastAsia="zh-CN"/>
        </w:rPr>
        <w:t xml:space="preserve"> </w:t>
      </w:r>
      <w:r w:rsidRPr="006F5A29">
        <w:rPr>
          <w:rFonts w:eastAsiaTheme="minorEastAsia"/>
          <w:lang w:eastAsia="zh-CN"/>
        </w:rPr>
        <w:t xml:space="preserve">and </w:t>
      </w:r>
      <w:r w:rsidR="00B91F19" w:rsidRPr="006F5A29">
        <w:rPr>
          <w:rFonts w:eastAsiaTheme="minorEastAsia"/>
          <w:lang w:eastAsia="zh-CN"/>
        </w:rPr>
        <w:t>ITU</w:t>
      </w:r>
      <w:r w:rsidR="00774D26">
        <w:rPr>
          <w:rFonts w:eastAsiaTheme="minorEastAsia"/>
          <w:lang w:eastAsia="zh-CN"/>
        </w:rPr>
        <w:t>’</w:t>
      </w:r>
      <w:r w:rsidRPr="006F5A29">
        <w:rPr>
          <w:rFonts w:eastAsiaTheme="minorEastAsia"/>
          <w:lang w:eastAsia="zh-CN"/>
        </w:rPr>
        <w:t>s</w:t>
      </w:r>
      <w:r w:rsidR="00B91F19" w:rsidRPr="006F5A29">
        <w:rPr>
          <w:rFonts w:eastAsiaTheme="minorEastAsia"/>
          <w:lang w:eastAsia="zh-CN"/>
        </w:rPr>
        <w:t xml:space="preserve"> </w:t>
      </w:r>
      <w:r w:rsidRPr="006F5A29">
        <w:rPr>
          <w:rFonts w:eastAsiaTheme="minorEastAsia"/>
          <w:lang w:eastAsia="zh-CN"/>
        </w:rPr>
        <w:t xml:space="preserve">contributions to </w:t>
      </w:r>
      <w:r w:rsidR="00AE6098">
        <w:rPr>
          <w:rFonts w:eastAsiaTheme="minorEastAsia"/>
          <w:lang w:eastAsia="zh-CN"/>
        </w:rPr>
        <w:br/>
      </w:r>
      <w:r w:rsidRPr="006F5A29">
        <w:rPr>
          <w:rFonts w:eastAsiaTheme="minorEastAsia"/>
          <w:lang w:eastAsia="zh-CN"/>
        </w:rPr>
        <w:t xml:space="preserve">Goals </w:t>
      </w:r>
      <w:r w:rsidR="00B91F19" w:rsidRPr="006F5A29">
        <w:rPr>
          <w:rFonts w:eastAsiaTheme="minorEastAsia"/>
          <w:lang w:eastAsia="zh-CN"/>
        </w:rPr>
        <w:t xml:space="preserve">1 (No </w:t>
      </w:r>
      <w:r w:rsidRPr="006F5A29">
        <w:rPr>
          <w:rFonts w:eastAsiaTheme="minorEastAsia"/>
          <w:lang w:eastAsia="zh-CN"/>
        </w:rPr>
        <w:t>poverty</w:t>
      </w:r>
      <w:r w:rsidR="00B91F19" w:rsidRPr="006F5A29">
        <w:rPr>
          <w:rFonts w:eastAsiaTheme="minorEastAsia"/>
          <w:lang w:eastAsia="zh-CN"/>
        </w:rPr>
        <w:t xml:space="preserve">), 2 (Zero </w:t>
      </w:r>
      <w:r w:rsidRPr="006F5A29">
        <w:rPr>
          <w:rFonts w:eastAsiaTheme="minorEastAsia"/>
          <w:lang w:eastAsia="zh-CN"/>
        </w:rPr>
        <w:t>hunger</w:t>
      </w:r>
      <w:r w:rsidR="00B91F19" w:rsidRPr="006F5A29">
        <w:rPr>
          <w:rFonts w:eastAsiaTheme="minorEastAsia"/>
          <w:lang w:eastAsia="zh-CN"/>
        </w:rPr>
        <w:t xml:space="preserve">), 13 (Climate </w:t>
      </w:r>
      <w:r w:rsidRPr="006F5A29">
        <w:rPr>
          <w:rFonts w:eastAsiaTheme="minorEastAsia"/>
          <w:lang w:eastAsia="zh-CN"/>
        </w:rPr>
        <w:t>action</w:t>
      </w:r>
      <w:r w:rsidR="00B91F19" w:rsidRPr="006F5A29">
        <w:rPr>
          <w:rFonts w:eastAsiaTheme="minorEastAsia"/>
          <w:lang w:eastAsia="zh-CN"/>
        </w:rPr>
        <w:t xml:space="preserve">), </w:t>
      </w:r>
      <w:r w:rsidR="00AE6098">
        <w:rPr>
          <w:rFonts w:eastAsiaTheme="minorEastAsia"/>
          <w:lang w:eastAsia="zh-CN"/>
        </w:rPr>
        <w:br/>
      </w:r>
      <w:r w:rsidR="00B91F19" w:rsidRPr="006F5A29">
        <w:rPr>
          <w:rFonts w:eastAsiaTheme="minorEastAsia"/>
          <w:lang w:eastAsia="zh-CN"/>
        </w:rPr>
        <w:t xml:space="preserve">16 (Peace, </w:t>
      </w:r>
      <w:r w:rsidRPr="006F5A29">
        <w:rPr>
          <w:rFonts w:eastAsiaTheme="minorEastAsia"/>
          <w:lang w:eastAsia="zh-CN"/>
        </w:rPr>
        <w:t>justice and strong institutions</w:t>
      </w:r>
      <w:r w:rsidR="00B91F19" w:rsidRPr="006F5A29">
        <w:rPr>
          <w:rFonts w:eastAsiaTheme="minorEastAsia"/>
          <w:lang w:eastAsia="zh-CN"/>
        </w:rPr>
        <w:t>), and 17 (Partnerships for the Goals)</w:t>
      </w:r>
    </w:p>
    <w:p w14:paraId="2198E31C" w14:textId="77777777" w:rsidR="00B91F19" w:rsidRPr="006F5A29" w:rsidRDefault="00B91F19" w:rsidP="00B91F19">
      <w:pPr>
        <w:rPr>
          <w:rFonts w:eastAsiaTheme="minorEastAsia" w:cstheme="minorHAnsi"/>
          <w:color w:val="000000"/>
          <w:lang w:eastAsia="zh-CN"/>
        </w:rPr>
      </w:pPr>
    </w:p>
    <w:tbl>
      <w:tblPr>
        <w:tblStyle w:val="TableGrid1"/>
        <w:tblW w:w="0" w:type="auto"/>
        <w:tblLook w:val="04A0" w:firstRow="1" w:lastRow="0" w:firstColumn="1" w:lastColumn="0" w:noHBand="0" w:noVBand="1"/>
      </w:tblPr>
      <w:tblGrid>
        <w:gridCol w:w="9016"/>
      </w:tblGrid>
      <w:tr w:rsidR="00B91F19" w:rsidRPr="006F5A29" w14:paraId="26A3412D" w14:textId="77777777" w:rsidTr="008611C0">
        <w:tc>
          <w:tcPr>
            <w:tcW w:w="9016" w:type="dxa"/>
          </w:tcPr>
          <w:p w14:paraId="014D7E5F" w14:textId="77777777" w:rsidR="00B91F19" w:rsidRPr="00EB5388" w:rsidRDefault="00B91F19" w:rsidP="008611C0">
            <w:pPr>
              <w:spacing w:after="120"/>
              <w:rPr>
                <w:rFonts w:cstheme="minorHAnsi"/>
                <w:szCs w:val="24"/>
              </w:rPr>
            </w:pPr>
            <w:r w:rsidRPr="00EB5388">
              <w:rPr>
                <w:rFonts w:cstheme="minorHAnsi"/>
                <w:b/>
                <w:bCs/>
                <w:szCs w:val="24"/>
              </w:rPr>
              <w:t>Goal 1: End poverty in all its forms everywhere</w:t>
            </w:r>
          </w:p>
          <w:p w14:paraId="14F5A3C8" w14:textId="77777777" w:rsidR="00B91F19" w:rsidRPr="00EB5388" w:rsidRDefault="00B91F19" w:rsidP="008611C0">
            <w:pPr>
              <w:spacing w:after="120"/>
              <w:rPr>
                <w:rFonts w:cstheme="minorHAnsi"/>
                <w:i/>
                <w:iCs/>
                <w:sz w:val="22"/>
              </w:rPr>
            </w:pPr>
            <w:r w:rsidRPr="00EB5388">
              <w:rPr>
                <w:rFonts w:cstheme="minorHAnsi"/>
                <w:i/>
                <w:iCs/>
                <w:sz w:val="22"/>
              </w:rPr>
              <w:t>ICTs are a key enabler to achieve SDG-1, for example, by providing timely and accurate information services which will help ensure equal rights to economic resources, as well as ownership and control over different forms of property, as well as enabling services such as mobile banking for micro-credit, which have already brought direct benefits to millions of people who were previously unbanked. </w:t>
            </w:r>
          </w:p>
          <w:p w14:paraId="2E98FC03" w14:textId="77777777" w:rsidR="00B91F19" w:rsidRPr="00EB5388" w:rsidRDefault="00B91F19" w:rsidP="008611C0">
            <w:pPr>
              <w:spacing w:after="120"/>
              <w:rPr>
                <w:rFonts w:cstheme="minorHAnsi"/>
                <w:i/>
                <w:iCs/>
                <w:sz w:val="22"/>
              </w:rPr>
            </w:pPr>
            <w:r w:rsidRPr="00EB5388">
              <w:rPr>
                <w:rFonts w:cstheme="minorHAnsi"/>
                <w:b/>
                <w:bCs/>
                <w:i/>
                <w:iCs/>
                <w:sz w:val="22"/>
              </w:rPr>
              <w:t>ITU contributes to SDG 1:</w:t>
            </w:r>
            <w:r w:rsidRPr="00EB5388">
              <w:rPr>
                <w:rFonts w:cstheme="minorHAnsi"/>
                <w:i/>
                <w:iCs/>
                <w:sz w:val="22"/>
              </w:rPr>
              <w:t> </w:t>
            </w:r>
          </w:p>
          <w:p w14:paraId="3E08C197" w14:textId="3AB36E7C" w:rsidR="00B91F19" w:rsidRPr="00EB5388" w:rsidRDefault="00A201CA" w:rsidP="00A201CA">
            <w:pPr>
              <w:tabs>
                <w:tab w:val="clear" w:pos="567"/>
                <w:tab w:val="clear" w:pos="1134"/>
                <w:tab w:val="clear" w:pos="1701"/>
                <w:tab w:val="clear" w:pos="2268"/>
                <w:tab w:val="clear" w:pos="2835"/>
                <w:tab w:val="left" w:pos="720"/>
              </w:tabs>
              <w:overflowPunct/>
              <w:autoSpaceDE/>
              <w:autoSpaceDN/>
              <w:adjustRightInd/>
              <w:spacing w:after="120"/>
              <w:ind w:left="720" w:hanging="360"/>
              <w:textAlignment w:val="auto"/>
              <w:rPr>
                <w:rFonts w:cstheme="minorHAnsi"/>
                <w:sz w:val="22"/>
              </w:rPr>
            </w:pPr>
            <w:r w:rsidRPr="00EB5388">
              <w:rPr>
                <w:rFonts w:ascii="Symbol" w:hAnsi="Symbol" w:cstheme="minorHAnsi"/>
                <w:sz w:val="20"/>
              </w:rPr>
              <w:t></w:t>
            </w:r>
            <w:r w:rsidRPr="00EB5388">
              <w:rPr>
                <w:rFonts w:ascii="Symbol" w:hAnsi="Symbol" w:cstheme="minorHAnsi"/>
                <w:sz w:val="20"/>
              </w:rPr>
              <w:tab/>
            </w:r>
            <w:r w:rsidR="00B91F19" w:rsidRPr="00EB5388">
              <w:rPr>
                <w:rFonts w:cstheme="minorHAnsi"/>
                <w:sz w:val="22"/>
              </w:rPr>
              <w:t>Promoting access to basic ICT services for all men and women, in particular the poor and the vulnerable; by monitoring, collecting and disseminating data on access to basic ICT services, including households with broadband Internet access in urban and rural areas; by ensuring the radio frequency spectrum, a natural resource, is accessed everywhere and by all, equally and at the lowest possible price;</w:t>
            </w:r>
          </w:p>
          <w:p w14:paraId="70F78C6A" w14:textId="23742B72" w:rsidR="00B91F19" w:rsidRPr="00EB5388" w:rsidRDefault="00A201CA" w:rsidP="00A201CA">
            <w:pPr>
              <w:tabs>
                <w:tab w:val="clear" w:pos="567"/>
                <w:tab w:val="clear" w:pos="1134"/>
                <w:tab w:val="clear" w:pos="1701"/>
                <w:tab w:val="clear" w:pos="2268"/>
                <w:tab w:val="clear" w:pos="2835"/>
                <w:tab w:val="left" w:pos="720"/>
              </w:tabs>
              <w:overflowPunct/>
              <w:autoSpaceDE/>
              <w:autoSpaceDN/>
              <w:adjustRightInd/>
              <w:spacing w:after="120"/>
              <w:ind w:left="720" w:hanging="360"/>
              <w:textAlignment w:val="auto"/>
              <w:rPr>
                <w:rFonts w:cstheme="minorHAnsi"/>
                <w:sz w:val="22"/>
              </w:rPr>
            </w:pPr>
            <w:r w:rsidRPr="00EB5388">
              <w:rPr>
                <w:rFonts w:ascii="Symbol" w:hAnsi="Symbol" w:cstheme="minorHAnsi"/>
                <w:sz w:val="20"/>
              </w:rPr>
              <w:t></w:t>
            </w:r>
            <w:r w:rsidRPr="00EB5388">
              <w:rPr>
                <w:rFonts w:ascii="Symbol" w:hAnsi="Symbol" w:cstheme="minorHAnsi"/>
                <w:sz w:val="20"/>
              </w:rPr>
              <w:tab/>
            </w:r>
            <w:r w:rsidR="00B91F19" w:rsidRPr="00EB5388">
              <w:rPr>
                <w:rFonts w:cstheme="minorHAnsi"/>
                <w:sz w:val="22"/>
              </w:rPr>
              <w:t>Providing expertise through assistance and technical publications in the development of affordable ICT infrastructure to deal with the challenges and system requirements of fixed and mobile networks for rural and remote areas as well as broadcasting networks; by reducing vulnerability to disasters and to the effects of climate change through the development of National Emergency Telecommunication Plans, the establishment of early warning systems and business continuity plans, among other relevant activities related to disaster risk reduction; through the management of spectrum resources and the development of standards and best practices on radiocommunications and disseminating the related information and know-how, ensuring more accurate weather predictions, climate change monitoring and mitigation, public protection and disaster relief, as well as search and rescue;</w:t>
            </w:r>
          </w:p>
          <w:p w14:paraId="63D2BCD6" w14:textId="71F37248" w:rsidR="00B91F19" w:rsidRPr="00EB5388" w:rsidRDefault="00A201CA" w:rsidP="00A201CA">
            <w:pPr>
              <w:tabs>
                <w:tab w:val="clear" w:pos="567"/>
                <w:tab w:val="clear" w:pos="1134"/>
                <w:tab w:val="clear" w:pos="1701"/>
                <w:tab w:val="clear" w:pos="2268"/>
                <w:tab w:val="clear" w:pos="2835"/>
                <w:tab w:val="left" w:pos="720"/>
              </w:tabs>
              <w:overflowPunct/>
              <w:autoSpaceDE/>
              <w:autoSpaceDN/>
              <w:adjustRightInd/>
              <w:spacing w:after="120"/>
              <w:ind w:left="720" w:hanging="360"/>
              <w:textAlignment w:val="auto"/>
              <w:rPr>
                <w:rFonts w:cstheme="minorHAnsi"/>
                <w:sz w:val="22"/>
              </w:rPr>
            </w:pPr>
            <w:r w:rsidRPr="00EB5388">
              <w:rPr>
                <w:rFonts w:ascii="Symbol" w:hAnsi="Symbol" w:cstheme="minorHAnsi"/>
                <w:sz w:val="20"/>
              </w:rPr>
              <w:t></w:t>
            </w:r>
            <w:r w:rsidRPr="00EB5388">
              <w:rPr>
                <w:rFonts w:ascii="Symbol" w:hAnsi="Symbol" w:cstheme="minorHAnsi"/>
                <w:sz w:val="20"/>
              </w:rPr>
              <w:tab/>
            </w:r>
            <w:r w:rsidR="00B91F19" w:rsidRPr="00EB5388">
              <w:rPr>
                <w:rFonts w:cstheme="minorHAnsi"/>
                <w:sz w:val="22"/>
              </w:rPr>
              <w:t xml:space="preserve">The mobilization of resources through partnerships with various stakeholders from the ICT ecosystem for the implementation of ICT development activities, projects and initiatives in developing countries, including through developing strategies and related tools and services (databases, sponsorship packages, dedicated websites, concept notes, promotional vehicles, etc.), by scaling up special initiatives such as GIGA, Connect2Recover, Smart Villages, Digital Transformation </w:t>
            </w:r>
            <w:proofErr w:type="spellStart"/>
            <w:r w:rsidR="00B91F19" w:rsidRPr="00EB5388">
              <w:rPr>
                <w:rFonts w:cstheme="minorHAnsi"/>
                <w:sz w:val="22"/>
              </w:rPr>
              <w:t>Centers</w:t>
            </w:r>
            <w:proofErr w:type="spellEnd"/>
            <w:r w:rsidR="00B91F19" w:rsidRPr="00EB5388">
              <w:rPr>
                <w:rFonts w:cstheme="minorHAnsi"/>
                <w:sz w:val="22"/>
              </w:rPr>
              <w:t>, and other initiatives.</w:t>
            </w:r>
          </w:p>
        </w:tc>
      </w:tr>
      <w:tr w:rsidR="00B91F19" w:rsidRPr="006F5A29" w14:paraId="7121033C" w14:textId="77777777" w:rsidTr="008611C0">
        <w:tc>
          <w:tcPr>
            <w:tcW w:w="9016" w:type="dxa"/>
          </w:tcPr>
          <w:p w14:paraId="6008103F" w14:textId="77777777" w:rsidR="00B91F19" w:rsidRPr="00EB5388" w:rsidRDefault="00B91F19" w:rsidP="008611C0">
            <w:pPr>
              <w:spacing w:after="120"/>
              <w:rPr>
                <w:rFonts w:cstheme="minorHAnsi"/>
                <w:b/>
                <w:bCs/>
                <w:color w:val="000000"/>
                <w:szCs w:val="24"/>
              </w:rPr>
            </w:pPr>
            <w:r w:rsidRPr="00EB5388">
              <w:rPr>
                <w:rFonts w:cstheme="minorHAnsi"/>
                <w:b/>
                <w:bCs/>
                <w:color w:val="000000"/>
                <w:szCs w:val="24"/>
              </w:rPr>
              <w:t>Goal 2. End hunger, achieve food security and improved nutrition and promote sustainable agriculture all</w:t>
            </w:r>
          </w:p>
          <w:p w14:paraId="306423DE" w14:textId="77777777" w:rsidR="00B91F19" w:rsidRPr="00EB5388" w:rsidRDefault="00B91F19" w:rsidP="008611C0">
            <w:pPr>
              <w:spacing w:after="120"/>
              <w:rPr>
                <w:rFonts w:cstheme="minorHAnsi"/>
                <w:sz w:val="22"/>
                <w:lang w:eastAsia="es-ES"/>
              </w:rPr>
            </w:pPr>
            <w:r w:rsidRPr="00EB5388">
              <w:rPr>
                <w:rFonts w:cstheme="minorHAnsi"/>
                <w:i/>
                <w:iCs/>
                <w:sz w:val="22"/>
                <w:lang w:eastAsia="es-ES"/>
              </w:rPr>
              <w:t>ICTs give farmers new ways of accessing information and services. Extension agents improve their services through mobile access to digital information services, online education, and business planning tools, allowing them to record service delivery events and solicit farmer feedback using mobile devices.</w:t>
            </w:r>
          </w:p>
          <w:p w14:paraId="0CC0D378" w14:textId="77777777" w:rsidR="00B91F19" w:rsidRPr="00EB5388" w:rsidRDefault="00B91F19" w:rsidP="008611C0">
            <w:pPr>
              <w:spacing w:after="120"/>
              <w:rPr>
                <w:rFonts w:cstheme="minorHAnsi"/>
                <w:sz w:val="22"/>
                <w:lang w:eastAsia="es-ES"/>
              </w:rPr>
            </w:pPr>
            <w:r w:rsidRPr="00EB5388">
              <w:rPr>
                <w:rFonts w:cstheme="minorHAnsi"/>
                <w:i/>
                <w:iCs/>
                <w:sz w:val="22"/>
                <w:lang w:eastAsia="es-ES"/>
              </w:rPr>
              <w:t xml:space="preserve">Government ministries can remotely monitor extension agent capacity building and service delivery efforts, as well as help evaluate results with an eye to improving services over time. Rural business productivity and effectiveness tend to increase once farmers and smallholders gain access to ICTs, enabling them to access market information, weather forecasts, and availability of </w:t>
            </w:r>
            <w:r w:rsidRPr="00EB5388">
              <w:rPr>
                <w:rFonts w:cstheme="minorHAnsi"/>
                <w:i/>
                <w:iCs/>
                <w:sz w:val="22"/>
                <w:lang w:eastAsia="es-ES"/>
              </w:rPr>
              <w:lastRenderedPageBreak/>
              <w:t>fertilizers, as well as many programmes now springing up giving improved access to extension agents.</w:t>
            </w:r>
          </w:p>
          <w:p w14:paraId="5C7D5193" w14:textId="77777777" w:rsidR="00B91F19" w:rsidRPr="00EB5388" w:rsidRDefault="00B91F19" w:rsidP="008611C0">
            <w:pPr>
              <w:spacing w:after="120"/>
              <w:rPr>
                <w:rFonts w:cstheme="minorHAnsi"/>
                <w:sz w:val="22"/>
                <w:lang w:eastAsia="es-ES"/>
              </w:rPr>
            </w:pPr>
            <w:r w:rsidRPr="00EB5388">
              <w:rPr>
                <w:rFonts w:cstheme="minorHAnsi"/>
                <w:b/>
                <w:bCs/>
                <w:sz w:val="22"/>
                <w:lang w:eastAsia="es-ES"/>
              </w:rPr>
              <w:t>ITU contributes to SDG2:</w:t>
            </w:r>
          </w:p>
          <w:p w14:paraId="4EAF49F8" w14:textId="4ED8E5C4" w:rsidR="00B91F19" w:rsidRPr="00EB5388" w:rsidRDefault="00A201CA" w:rsidP="00A201CA">
            <w:pPr>
              <w:tabs>
                <w:tab w:val="clear" w:pos="567"/>
                <w:tab w:val="clear" w:pos="1134"/>
                <w:tab w:val="clear" w:pos="1701"/>
                <w:tab w:val="clear" w:pos="2268"/>
                <w:tab w:val="clear" w:pos="2835"/>
              </w:tabs>
              <w:overflowPunct/>
              <w:autoSpaceDE/>
              <w:autoSpaceDN/>
              <w:adjustRightInd/>
              <w:spacing w:after="120"/>
              <w:ind w:left="720" w:hanging="360"/>
              <w:rPr>
                <w:rFonts w:cstheme="minorHAnsi"/>
                <w:sz w:val="22"/>
                <w:lang w:eastAsia="es-ES"/>
              </w:rPr>
            </w:pPr>
            <w:r w:rsidRPr="00EB5388">
              <w:rPr>
                <w:rFonts w:ascii="Symbol" w:hAnsi="Symbol" w:cstheme="minorHAnsi"/>
                <w:sz w:val="22"/>
                <w:lang w:eastAsia="es-ES"/>
              </w:rPr>
              <w:t></w:t>
            </w:r>
            <w:r w:rsidRPr="00EB5388">
              <w:rPr>
                <w:rFonts w:ascii="Symbol" w:hAnsi="Symbol" w:cstheme="minorHAnsi"/>
                <w:sz w:val="22"/>
                <w:lang w:eastAsia="es-ES"/>
              </w:rPr>
              <w:tab/>
            </w:r>
            <w:r w:rsidR="00B91F19" w:rsidRPr="00EB5388">
              <w:rPr>
                <w:rFonts w:cstheme="minorHAnsi"/>
                <w:sz w:val="22"/>
                <w:lang w:eastAsia="es-ES"/>
              </w:rPr>
              <w:t xml:space="preserve">Supporting countries to develop their e-agriculture strategy as a framework to identify and develop sustainable ICT in agriculture services and solutions, in close collaboration with FAO. E-agriculture offers a strong potential for driving economic growth and rising incomes among the rural population through increased efficiency of agricultural production, improved livelihoods and value chain </w:t>
            </w:r>
            <w:proofErr w:type="gramStart"/>
            <w:r w:rsidR="00B91F19" w:rsidRPr="00EB5388">
              <w:rPr>
                <w:rFonts w:cstheme="minorHAnsi"/>
                <w:sz w:val="22"/>
                <w:lang w:eastAsia="es-ES"/>
              </w:rPr>
              <w:t>development;</w:t>
            </w:r>
            <w:proofErr w:type="gramEnd"/>
          </w:p>
          <w:p w14:paraId="35B59991" w14:textId="1FC11F42" w:rsidR="00B91F19" w:rsidRPr="00EB5388" w:rsidRDefault="00A201CA" w:rsidP="00A201CA">
            <w:pPr>
              <w:tabs>
                <w:tab w:val="clear" w:pos="567"/>
                <w:tab w:val="clear" w:pos="1134"/>
                <w:tab w:val="clear" w:pos="1701"/>
                <w:tab w:val="clear" w:pos="2268"/>
                <w:tab w:val="clear" w:pos="2835"/>
              </w:tabs>
              <w:overflowPunct/>
              <w:autoSpaceDE/>
              <w:autoSpaceDN/>
              <w:adjustRightInd/>
              <w:spacing w:after="120"/>
              <w:ind w:left="720" w:hanging="360"/>
              <w:rPr>
                <w:rFonts w:cstheme="minorHAnsi"/>
                <w:sz w:val="22"/>
                <w:lang w:eastAsia="es-ES"/>
              </w:rPr>
            </w:pPr>
            <w:r w:rsidRPr="00EB5388">
              <w:rPr>
                <w:rFonts w:ascii="Symbol" w:hAnsi="Symbol" w:cstheme="minorHAnsi"/>
                <w:sz w:val="22"/>
                <w:lang w:eastAsia="es-ES"/>
              </w:rPr>
              <w:t></w:t>
            </w:r>
            <w:r w:rsidRPr="00EB5388">
              <w:rPr>
                <w:rFonts w:ascii="Symbol" w:hAnsi="Symbol" w:cstheme="minorHAnsi"/>
                <w:sz w:val="22"/>
                <w:lang w:eastAsia="es-ES"/>
              </w:rPr>
              <w:tab/>
            </w:r>
            <w:r w:rsidR="00B91F19" w:rsidRPr="00EB5388">
              <w:rPr>
                <w:rFonts w:cstheme="minorHAnsi"/>
                <w:sz w:val="22"/>
                <w:lang w:eastAsia="es-ES"/>
              </w:rPr>
              <w:t xml:space="preserve">Providing specific digital skills programmes targeting people living in the rural areas as well as those engaged in the agriculture </w:t>
            </w:r>
            <w:proofErr w:type="gramStart"/>
            <w:r w:rsidR="00B91F19" w:rsidRPr="00EB5388">
              <w:rPr>
                <w:rFonts w:cstheme="minorHAnsi"/>
                <w:sz w:val="22"/>
                <w:lang w:eastAsia="es-ES"/>
              </w:rPr>
              <w:t>sector;</w:t>
            </w:r>
            <w:proofErr w:type="gramEnd"/>
          </w:p>
          <w:p w14:paraId="12D12DCA" w14:textId="3735A329" w:rsidR="00B91F19" w:rsidRPr="00EB5388" w:rsidRDefault="00A201CA" w:rsidP="00A201CA">
            <w:pPr>
              <w:tabs>
                <w:tab w:val="clear" w:pos="567"/>
                <w:tab w:val="clear" w:pos="1134"/>
                <w:tab w:val="clear" w:pos="1701"/>
                <w:tab w:val="clear" w:pos="2268"/>
                <w:tab w:val="clear" w:pos="2835"/>
              </w:tabs>
              <w:overflowPunct/>
              <w:autoSpaceDE/>
              <w:autoSpaceDN/>
              <w:adjustRightInd/>
              <w:spacing w:after="120"/>
              <w:ind w:left="720" w:hanging="360"/>
              <w:rPr>
                <w:rFonts w:cstheme="minorHAnsi"/>
                <w:sz w:val="22"/>
                <w:lang w:eastAsia="es-ES"/>
              </w:rPr>
            </w:pPr>
            <w:r w:rsidRPr="00EB5388">
              <w:rPr>
                <w:rFonts w:ascii="Symbol" w:hAnsi="Symbol" w:cstheme="minorHAnsi"/>
                <w:sz w:val="22"/>
                <w:lang w:eastAsia="es-ES"/>
              </w:rPr>
              <w:t></w:t>
            </w:r>
            <w:r w:rsidRPr="00EB5388">
              <w:rPr>
                <w:rFonts w:ascii="Symbol" w:hAnsi="Symbol" w:cstheme="minorHAnsi"/>
                <w:sz w:val="22"/>
                <w:lang w:eastAsia="es-ES"/>
              </w:rPr>
              <w:tab/>
            </w:r>
            <w:r w:rsidR="00B91F19" w:rsidRPr="00EB5388">
              <w:rPr>
                <w:rFonts w:cstheme="minorHAnsi"/>
                <w:sz w:val="22"/>
                <w:lang w:eastAsia="es-ES"/>
              </w:rPr>
              <w:t xml:space="preserve">Facilitating creation of digital innovation ecosystem in field of agriculture, fast forwarding digital transformation of the </w:t>
            </w:r>
            <w:proofErr w:type="gramStart"/>
            <w:r w:rsidR="00B91F19" w:rsidRPr="00EB5388">
              <w:rPr>
                <w:rFonts w:cstheme="minorHAnsi"/>
                <w:sz w:val="22"/>
                <w:lang w:eastAsia="es-ES"/>
              </w:rPr>
              <w:t>sector;</w:t>
            </w:r>
            <w:proofErr w:type="gramEnd"/>
          </w:p>
          <w:p w14:paraId="7DD65740" w14:textId="739BB32C" w:rsidR="00B91F19" w:rsidRPr="00EB5388" w:rsidRDefault="00A201CA" w:rsidP="00A201CA">
            <w:pPr>
              <w:tabs>
                <w:tab w:val="clear" w:pos="567"/>
                <w:tab w:val="clear" w:pos="1134"/>
                <w:tab w:val="clear" w:pos="1701"/>
                <w:tab w:val="clear" w:pos="2268"/>
                <w:tab w:val="clear" w:pos="2835"/>
              </w:tabs>
              <w:overflowPunct/>
              <w:autoSpaceDE/>
              <w:autoSpaceDN/>
              <w:adjustRightInd/>
              <w:spacing w:after="120"/>
              <w:ind w:left="720" w:hanging="360"/>
              <w:rPr>
                <w:rFonts w:cstheme="minorHAnsi"/>
                <w:sz w:val="22"/>
                <w:lang w:eastAsia="es-ES"/>
              </w:rPr>
            </w:pPr>
            <w:r w:rsidRPr="00EB5388">
              <w:rPr>
                <w:rFonts w:ascii="Symbol" w:hAnsi="Symbol" w:cstheme="minorHAnsi"/>
                <w:sz w:val="22"/>
                <w:lang w:eastAsia="es-ES"/>
              </w:rPr>
              <w:t></w:t>
            </w:r>
            <w:r w:rsidRPr="00EB5388">
              <w:rPr>
                <w:rFonts w:ascii="Symbol" w:hAnsi="Symbol" w:cstheme="minorHAnsi"/>
                <w:sz w:val="22"/>
                <w:lang w:eastAsia="es-ES"/>
              </w:rPr>
              <w:tab/>
            </w:r>
            <w:r w:rsidR="00B91F19" w:rsidRPr="00EB5388">
              <w:rPr>
                <w:rFonts w:cstheme="minorHAnsi"/>
                <w:sz w:val="22"/>
                <w:lang w:eastAsia="es-ES"/>
              </w:rPr>
              <w:t xml:space="preserve">Investigating the potential of expanding the concept of smart villages as the accelerator for digital agriculture </w:t>
            </w:r>
            <w:proofErr w:type="gramStart"/>
            <w:r w:rsidR="00B91F19" w:rsidRPr="00EB5388">
              <w:rPr>
                <w:rFonts w:cstheme="minorHAnsi"/>
                <w:sz w:val="22"/>
                <w:lang w:eastAsia="es-ES"/>
              </w:rPr>
              <w:t>development;</w:t>
            </w:r>
            <w:proofErr w:type="gramEnd"/>
          </w:p>
          <w:p w14:paraId="22DE2D49" w14:textId="3975B489" w:rsidR="00B91F19" w:rsidRPr="00EB5388" w:rsidRDefault="00A201CA" w:rsidP="00A201CA">
            <w:pPr>
              <w:tabs>
                <w:tab w:val="clear" w:pos="567"/>
                <w:tab w:val="clear" w:pos="1134"/>
                <w:tab w:val="clear" w:pos="1701"/>
                <w:tab w:val="clear" w:pos="2268"/>
                <w:tab w:val="clear" w:pos="2835"/>
              </w:tabs>
              <w:overflowPunct/>
              <w:autoSpaceDE/>
              <w:autoSpaceDN/>
              <w:adjustRightInd/>
              <w:spacing w:after="120"/>
              <w:ind w:left="720" w:hanging="360"/>
              <w:rPr>
                <w:rFonts w:cstheme="minorHAnsi"/>
                <w:sz w:val="22"/>
                <w:lang w:eastAsia="es-ES"/>
              </w:rPr>
            </w:pPr>
            <w:r w:rsidRPr="00EB5388">
              <w:rPr>
                <w:rFonts w:ascii="Symbol" w:hAnsi="Symbol" w:cstheme="minorHAnsi"/>
                <w:sz w:val="22"/>
                <w:lang w:eastAsia="es-ES"/>
              </w:rPr>
              <w:t></w:t>
            </w:r>
            <w:r w:rsidRPr="00EB5388">
              <w:rPr>
                <w:rFonts w:ascii="Symbol" w:hAnsi="Symbol" w:cstheme="minorHAnsi"/>
                <w:sz w:val="22"/>
                <w:lang w:eastAsia="es-ES"/>
              </w:rPr>
              <w:tab/>
            </w:r>
            <w:r w:rsidR="00B91F19" w:rsidRPr="00EB5388">
              <w:rPr>
                <w:rFonts w:cstheme="minorHAnsi"/>
                <w:sz w:val="22"/>
                <w:lang w:eastAsia="es-ES"/>
              </w:rPr>
              <w:t>Providing spectrum and standards and the dissemination of the related information and know-how for Internet of Things (IoT), unmanned aircraft systems (UAS), radionavigation, meteorology and Earth-exploration satellite systems, for the development and sustainability of e-agriculture.</w:t>
            </w:r>
            <w:r w:rsidR="00B91F19">
              <w:rPr>
                <w:rFonts w:cstheme="minorHAnsi"/>
                <w:sz w:val="22"/>
                <w:lang w:eastAsia="es-ES"/>
              </w:rPr>
              <w:t xml:space="preserve"> </w:t>
            </w:r>
            <w:r w:rsidR="00B91F19" w:rsidRPr="00EB5388">
              <w:rPr>
                <w:rFonts w:cstheme="minorHAnsi"/>
                <w:sz w:val="22"/>
                <w:lang w:eastAsia="es-ES"/>
              </w:rPr>
              <w:t xml:space="preserve">Satellite-based Earth observation and remote sensing systems and IoT sensor networks can help monitor for and detect impending droughts, wildfires, floods, hurricanes and tsunamis. They can also monitor the impacts of climate change on crops and the </w:t>
            </w:r>
            <w:proofErr w:type="gramStart"/>
            <w:r w:rsidR="00B91F19" w:rsidRPr="00EB5388">
              <w:rPr>
                <w:rFonts w:cstheme="minorHAnsi"/>
                <w:sz w:val="22"/>
                <w:lang w:eastAsia="es-ES"/>
              </w:rPr>
              <w:t>environment;</w:t>
            </w:r>
            <w:proofErr w:type="gramEnd"/>
          </w:p>
          <w:p w14:paraId="407C06E3" w14:textId="3A250676" w:rsidR="00B91F19" w:rsidRPr="00EB5388" w:rsidRDefault="00A201CA" w:rsidP="00A201CA">
            <w:pPr>
              <w:tabs>
                <w:tab w:val="clear" w:pos="567"/>
                <w:tab w:val="clear" w:pos="1134"/>
                <w:tab w:val="clear" w:pos="1701"/>
                <w:tab w:val="clear" w:pos="2268"/>
                <w:tab w:val="clear" w:pos="2835"/>
              </w:tabs>
              <w:overflowPunct/>
              <w:autoSpaceDE/>
              <w:autoSpaceDN/>
              <w:adjustRightInd/>
              <w:spacing w:after="240"/>
              <w:ind w:left="720" w:hanging="360"/>
              <w:rPr>
                <w:rFonts w:cstheme="minorHAnsi"/>
                <w:sz w:val="22"/>
              </w:rPr>
            </w:pPr>
            <w:r w:rsidRPr="00EB5388">
              <w:rPr>
                <w:rFonts w:ascii="Symbol" w:hAnsi="Symbol" w:cstheme="minorHAnsi"/>
                <w:sz w:val="22"/>
              </w:rPr>
              <w:t></w:t>
            </w:r>
            <w:r w:rsidRPr="00EB5388">
              <w:rPr>
                <w:rFonts w:ascii="Symbol" w:hAnsi="Symbol" w:cstheme="minorHAnsi"/>
                <w:sz w:val="22"/>
              </w:rPr>
              <w:tab/>
            </w:r>
            <w:r w:rsidR="00B91F19" w:rsidRPr="00EB5388">
              <w:rPr>
                <w:rFonts w:cstheme="minorHAnsi"/>
                <w:sz w:val="22"/>
                <w:lang w:eastAsia="es-ES"/>
              </w:rPr>
              <w:t>Providing technical standards addressing ICTs for agriculture, smart farming, and smart greenhouses through the ITU-T Study Groups and Focus Group.</w:t>
            </w:r>
          </w:p>
        </w:tc>
      </w:tr>
      <w:tr w:rsidR="00B91F19" w:rsidRPr="006F5A29" w14:paraId="47CAACD1" w14:textId="77777777" w:rsidTr="008611C0">
        <w:tc>
          <w:tcPr>
            <w:tcW w:w="9016" w:type="dxa"/>
          </w:tcPr>
          <w:p w14:paraId="1A860DA9" w14:textId="77777777" w:rsidR="00B91F19" w:rsidRPr="00EB5388" w:rsidRDefault="00B91F19" w:rsidP="008611C0">
            <w:pPr>
              <w:spacing w:after="120"/>
              <w:rPr>
                <w:rFonts w:cstheme="minorHAnsi"/>
                <w:b/>
                <w:bCs/>
                <w:color w:val="000000"/>
                <w:szCs w:val="24"/>
              </w:rPr>
            </w:pPr>
            <w:r w:rsidRPr="00EB5388">
              <w:rPr>
                <w:rFonts w:cstheme="minorHAnsi"/>
                <w:b/>
                <w:bCs/>
                <w:color w:val="000000"/>
                <w:szCs w:val="24"/>
              </w:rPr>
              <w:lastRenderedPageBreak/>
              <w:t>Goal 13. Take urgent action to combat climate change and its impacts</w:t>
            </w:r>
          </w:p>
          <w:p w14:paraId="23C6BF6C" w14:textId="77777777" w:rsidR="00B91F19" w:rsidRPr="00EB5388" w:rsidRDefault="00B91F19" w:rsidP="008611C0">
            <w:pPr>
              <w:spacing w:after="120"/>
              <w:rPr>
                <w:rFonts w:cstheme="minorHAnsi"/>
                <w:sz w:val="22"/>
                <w:lang w:eastAsia="es-ES"/>
              </w:rPr>
            </w:pPr>
            <w:r w:rsidRPr="00EB5388">
              <w:rPr>
                <w:rFonts w:cstheme="minorHAnsi"/>
                <w:i/>
                <w:iCs/>
                <w:sz w:val="22"/>
                <w:lang w:eastAsia="es-ES"/>
              </w:rPr>
              <w:t>ICTs, including satellite monitoring, play a crucial role in earth monitoring, sharing climate and weather information, forecasting, and early warning systems. ICTs therefore enable both the global monitoring of climate change as well as strengthen resilience by helping mitigate the effects of climate change through forecasting and early warning systems.</w:t>
            </w:r>
          </w:p>
          <w:p w14:paraId="1AAA6076" w14:textId="77777777" w:rsidR="00B91F19" w:rsidRPr="00EB5388" w:rsidRDefault="00B91F19" w:rsidP="008611C0">
            <w:pPr>
              <w:spacing w:after="120"/>
              <w:rPr>
                <w:rFonts w:cstheme="minorHAnsi"/>
                <w:sz w:val="22"/>
                <w:lang w:eastAsia="es-ES"/>
              </w:rPr>
            </w:pPr>
            <w:r w:rsidRPr="00EB5388">
              <w:rPr>
                <w:rFonts w:cstheme="minorHAnsi"/>
                <w:b/>
                <w:bCs/>
                <w:sz w:val="22"/>
                <w:lang w:eastAsia="es-ES"/>
              </w:rPr>
              <w:t>ITU contributes to SDG 13:</w:t>
            </w:r>
          </w:p>
          <w:p w14:paraId="15435A9F" w14:textId="628241D9" w:rsidR="00B91F19" w:rsidRPr="00EB5388" w:rsidRDefault="00A201CA" w:rsidP="00A201CA">
            <w:pPr>
              <w:tabs>
                <w:tab w:val="clear" w:pos="567"/>
                <w:tab w:val="clear" w:pos="1134"/>
                <w:tab w:val="clear" w:pos="1701"/>
                <w:tab w:val="clear" w:pos="2268"/>
                <w:tab w:val="clear" w:pos="2835"/>
              </w:tabs>
              <w:overflowPunct/>
              <w:autoSpaceDE/>
              <w:autoSpaceDN/>
              <w:adjustRightInd/>
              <w:spacing w:after="120"/>
              <w:ind w:left="720" w:hanging="360"/>
              <w:textAlignment w:val="auto"/>
              <w:rPr>
                <w:rFonts w:asciiTheme="minorHAnsi" w:hAnsiTheme="minorHAnsi" w:cstheme="minorHAnsi"/>
                <w:sz w:val="22"/>
              </w:rPr>
            </w:pPr>
            <w:r w:rsidRPr="00EB5388">
              <w:rPr>
                <w:rFonts w:ascii="Symbol" w:hAnsi="Symbol" w:cstheme="minorHAnsi"/>
                <w:sz w:val="22"/>
              </w:rPr>
              <w:t></w:t>
            </w:r>
            <w:r w:rsidRPr="00EB5388">
              <w:rPr>
                <w:rFonts w:ascii="Symbol" w:hAnsi="Symbol" w:cstheme="minorHAnsi"/>
                <w:sz w:val="22"/>
              </w:rPr>
              <w:tab/>
            </w:r>
            <w:r w:rsidR="00B91F19" w:rsidRPr="00EB5388">
              <w:rPr>
                <w:rFonts w:asciiTheme="minorHAnsi" w:hAnsiTheme="minorHAnsi" w:cstheme="minorHAnsi"/>
                <w:color w:val="000000" w:themeColor="text1"/>
                <w:sz w:val="22"/>
              </w:rPr>
              <w:t>Maintaining the Radio Regulations, the only international treaty on the international use of the radio spectrum and satellite orbits. The treaty harmonises on a world-wide basis essential spectrum used for early warning, disaster prediction, detection, mitigation and relief operations relating to emergencies and disasters – as well as protecting of the unique spectrum needed for satellite weather sensors used for global prediction and warnings. ITU also works in the development of recommendations for</w:t>
            </w:r>
            <w:r w:rsidR="00B91F19">
              <w:rPr>
                <w:rFonts w:asciiTheme="minorHAnsi" w:hAnsiTheme="minorHAnsi" w:cstheme="minorHAnsi"/>
                <w:color w:val="000000" w:themeColor="text1"/>
                <w:sz w:val="22"/>
              </w:rPr>
              <w:t xml:space="preserve"> </w:t>
            </w:r>
            <w:hyperlink r:id="rId34" w:history="1">
              <w:r w:rsidR="00B91F19" w:rsidRPr="00EB5388">
                <w:rPr>
                  <w:rFonts w:asciiTheme="minorHAnsi" w:hAnsiTheme="minorHAnsi" w:cstheme="minorHAnsi"/>
                  <w:color w:val="0563C1"/>
                  <w:sz w:val="22"/>
                  <w:u w:val="single"/>
                </w:rPr>
                <w:t>remote sensing systems</w:t>
              </w:r>
            </w:hyperlink>
            <w:r w:rsidR="00B91F19">
              <w:rPr>
                <w:rFonts w:asciiTheme="minorHAnsi" w:hAnsiTheme="minorHAnsi" w:cstheme="minorHAnsi"/>
                <w:color w:val="0563C1"/>
                <w:sz w:val="22"/>
                <w:u w:val="single"/>
              </w:rPr>
              <w:t xml:space="preserve"> </w:t>
            </w:r>
            <w:r w:rsidR="00B91F19" w:rsidRPr="00EB5388">
              <w:rPr>
                <w:rFonts w:asciiTheme="minorHAnsi" w:hAnsiTheme="minorHAnsi" w:cstheme="minorHAnsi"/>
                <w:color w:val="000000" w:themeColor="text1"/>
                <w:sz w:val="22"/>
              </w:rPr>
              <w:t>and</w:t>
            </w:r>
            <w:r w:rsidR="00B91F19">
              <w:rPr>
                <w:rFonts w:asciiTheme="minorHAnsi" w:hAnsiTheme="minorHAnsi" w:cstheme="minorHAnsi"/>
                <w:color w:val="000000" w:themeColor="text1"/>
                <w:sz w:val="22"/>
              </w:rPr>
              <w:t xml:space="preserve"> </w:t>
            </w:r>
            <w:hyperlink r:id="rId35" w:history="1">
              <w:r w:rsidR="00B91F19" w:rsidRPr="00EB5388">
                <w:rPr>
                  <w:rFonts w:asciiTheme="minorHAnsi" w:hAnsiTheme="minorHAnsi" w:cstheme="minorHAnsi"/>
                  <w:color w:val="0563C1"/>
                  <w:sz w:val="22"/>
                  <w:u w:val="single"/>
                </w:rPr>
                <w:t>space applications</w:t>
              </w:r>
            </w:hyperlink>
            <w:r w:rsidR="00B91F19" w:rsidRPr="00EB5388">
              <w:rPr>
                <w:rFonts w:asciiTheme="minorHAnsi" w:hAnsiTheme="minorHAnsi" w:cstheme="minorHAnsi"/>
                <w:color w:val="000000" w:themeColor="text1"/>
                <w:sz w:val="22"/>
              </w:rPr>
              <w:t xml:space="preserve"> relevant to climate change.</w:t>
            </w:r>
          </w:p>
          <w:p w14:paraId="53F851BD" w14:textId="0E5B6018" w:rsidR="00B91F19" w:rsidRPr="00EB5388" w:rsidRDefault="00A201CA" w:rsidP="00A201CA">
            <w:pPr>
              <w:tabs>
                <w:tab w:val="clear" w:pos="567"/>
                <w:tab w:val="clear" w:pos="1134"/>
                <w:tab w:val="clear" w:pos="1701"/>
                <w:tab w:val="clear" w:pos="2268"/>
                <w:tab w:val="clear" w:pos="2835"/>
              </w:tabs>
              <w:overflowPunct/>
              <w:autoSpaceDE/>
              <w:autoSpaceDN/>
              <w:adjustRightInd/>
              <w:spacing w:after="120"/>
              <w:ind w:left="720" w:hanging="360"/>
              <w:textAlignment w:val="auto"/>
              <w:rPr>
                <w:rFonts w:asciiTheme="minorHAnsi" w:hAnsiTheme="minorHAnsi" w:cstheme="minorHAnsi"/>
                <w:color w:val="000000" w:themeColor="text1"/>
                <w:sz w:val="22"/>
              </w:rPr>
            </w:pPr>
            <w:r w:rsidRPr="00EB5388">
              <w:rPr>
                <w:rFonts w:ascii="Symbol" w:hAnsi="Symbol" w:cstheme="minorHAnsi"/>
                <w:color w:val="000000" w:themeColor="text1"/>
                <w:sz w:val="22"/>
              </w:rPr>
              <w:t></w:t>
            </w:r>
            <w:r w:rsidRPr="00EB5388">
              <w:rPr>
                <w:rFonts w:ascii="Symbol" w:hAnsi="Symbol" w:cstheme="minorHAnsi"/>
                <w:color w:val="000000" w:themeColor="text1"/>
                <w:sz w:val="22"/>
              </w:rPr>
              <w:tab/>
            </w:r>
            <w:r w:rsidR="00B91F19" w:rsidRPr="00EB5388">
              <w:rPr>
                <w:rFonts w:asciiTheme="minorHAnsi" w:hAnsiTheme="minorHAnsi" w:cstheme="minorHAnsi"/>
                <w:color w:val="000000" w:themeColor="text1"/>
                <w:sz w:val="22"/>
              </w:rPr>
              <w:t xml:space="preserve">Supporting its Member States in the four phases of disaster management through the design of national emergency telecommunications plans, the setting up of early warning and monitoring systems and the provision of emergency telecommunications equipment when disasters strike. Sound and television broadcasting, PPDR and commercial mobile broadband networks, IoT, search and rescue satellite systems, as enabled by ITU activities, are also key enablers to ensure timely awareness and rescue of populations in case of climate-related hazards and natural disasters.   </w:t>
            </w:r>
          </w:p>
          <w:p w14:paraId="7864A08A" w14:textId="0D804ECA" w:rsidR="00B91F19" w:rsidRPr="00EB5388" w:rsidRDefault="00A201CA" w:rsidP="00A201CA">
            <w:pPr>
              <w:tabs>
                <w:tab w:val="clear" w:pos="567"/>
                <w:tab w:val="clear" w:pos="1134"/>
                <w:tab w:val="clear" w:pos="1701"/>
                <w:tab w:val="clear" w:pos="2268"/>
                <w:tab w:val="clear" w:pos="2835"/>
              </w:tabs>
              <w:overflowPunct/>
              <w:autoSpaceDE/>
              <w:autoSpaceDN/>
              <w:adjustRightInd/>
              <w:spacing w:after="120"/>
              <w:ind w:left="720" w:hanging="360"/>
              <w:textAlignment w:val="auto"/>
              <w:rPr>
                <w:rFonts w:asciiTheme="minorHAnsi" w:hAnsiTheme="minorHAnsi" w:cstheme="minorHAnsi"/>
                <w:color w:val="000000" w:themeColor="text1"/>
                <w:sz w:val="22"/>
              </w:rPr>
            </w:pPr>
            <w:r w:rsidRPr="00EB5388">
              <w:rPr>
                <w:rFonts w:ascii="Symbol" w:hAnsi="Symbol" w:cstheme="minorHAnsi"/>
                <w:color w:val="000000" w:themeColor="text1"/>
                <w:sz w:val="22"/>
              </w:rPr>
              <w:lastRenderedPageBreak/>
              <w:t></w:t>
            </w:r>
            <w:r w:rsidRPr="00EB5388">
              <w:rPr>
                <w:rFonts w:ascii="Symbol" w:hAnsi="Symbol" w:cstheme="minorHAnsi"/>
                <w:color w:val="000000" w:themeColor="text1"/>
                <w:sz w:val="22"/>
              </w:rPr>
              <w:tab/>
            </w:r>
            <w:r w:rsidR="00B91F19" w:rsidRPr="00EB5388">
              <w:rPr>
                <w:rFonts w:asciiTheme="minorHAnsi" w:hAnsiTheme="minorHAnsi" w:cstheme="minorHAnsi"/>
                <w:color w:val="000000" w:themeColor="text1"/>
                <w:sz w:val="22"/>
              </w:rPr>
              <w:t>Monitoring industry emissions, energy use and climate commitments from the ICT sector and supports countries in developing green ICT strategies and policies, including through tools, resources and training. Recent examples include:</w:t>
            </w:r>
          </w:p>
          <w:p w14:paraId="476FC904" w14:textId="23CC74AC" w:rsidR="00B91F19" w:rsidRPr="00EB5388" w:rsidRDefault="00A201CA" w:rsidP="00A201CA">
            <w:pPr>
              <w:tabs>
                <w:tab w:val="clear" w:pos="567"/>
                <w:tab w:val="clear" w:pos="1134"/>
                <w:tab w:val="clear" w:pos="1701"/>
                <w:tab w:val="clear" w:pos="2268"/>
                <w:tab w:val="clear" w:pos="2835"/>
              </w:tabs>
              <w:overflowPunct/>
              <w:autoSpaceDE/>
              <w:autoSpaceDN/>
              <w:adjustRightInd/>
              <w:spacing w:after="60"/>
              <w:ind w:left="1440" w:hanging="360"/>
              <w:jc w:val="both"/>
              <w:textAlignment w:val="auto"/>
              <w:rPr>
                <w:rFonts w:asciiTheme="minorHAnsi" w:hAnsiTheme="minorHAnsi" w:cstheme="minorHAnsi"/>
                <w:color w:val="000000" w:themeColor="text1"/>
                <w:sz w:val="22"/>
              </w:rPr>
            </w:pPr>
            <w:r w:rsidRPr="00EB5388">
              <w:rPr>
                <w:rFonts w:ascii="Courier New" w:hAnsi="Courier New" w:cs="Courier New"/>
                <w:color w:val="000000" w:themeColor="text1"/>
                <w:sz w:val="22"/>
              </w:rPr>
              <w:t>o</w:t>
            </w:r>
            <w:r w:rsidRPr="00EB5388">
              <w:rPr>
                <w:rFonts w:ascii="Courier New" w:hAnsi="Courier New" w:cs="Courier New"/>
                <w:color w:val="000000" w:themeColor="text1"/>
                <w:sz w:val="22"/>
              </w:rPr>
              <w:tab/>
            </w:r>
            <w:r w:rsidR="00B91F19" w:rsidRPr="00EB5388">
              <w:rPr>
                <w:rFonts w:asciiTheme="minorHAnsi" w:hAnsiTheme="minorHAnsi" w:cstheme="minorHAnsi"/>
                <w:color w:val="000000" w:themeColor="text1"/>
                <w:sz w:val="22"/>
              </w:rPr>
              <w:t xml:space="preserve">ITU/World Bank </w:t>
            </w:r>
            <w:hyperlink r:id="rId36" w:history="1">
              <w:r w:rsidR="00B91F19" w:rsidRPr="00EB5388">
                <w:rPr>
                  <w:rFonts w:asciiTheme="minorHAnsi" w:hAnsiTheme="minorHAnsi" w:cstheme="minorHAnsi"/>
                  <w:color w:val="0563C1"/>
                  <w:sz w:val="22"/>
                  <w:u w:val="single"/>
                </w:rPr>
                <w:t xml:space="preserve">Green data </w:t>
              </w:r>
              <w:proofErr w:type="spellStart"/>
              <w:r w:rsidR="00B91F19" w:rsidRPr="00EB5388">
                <w:rPr>
                  <w:rFonts w:asciiTheme="minorHAnsi" w:hAnsiTheme="minorHAnsi" w:cstheme="minorHAnsi"/>
                  <w:color w:val="0563C1"/>
                  <w:sz w:val="22"/>
                  <w:u w:val="single"/>
                </w:rPr>
                <w:t>centers</w:t>
              </w:r>
              <w:proofErr w:type="spellEnd"/>
              <w:r w:rsidR="00B91F19" w:rsidRPr="00EB5388">
                <w:rPr>
                  <w:rFonts w:asciiTheme="minorHAnsi" w:hAnsiTheme="minorHAnsi" w:cstheme="minorHAnsi"/>
                  <w:color w:val="0563C1"/>
                  <w:sz w:val="22"/>
                  <w:u w:val="single"/>
                </w:rPr>
                <w:t xml:space="preserve"> practitioner</w:t>
              </w:r>
              <w:r w:rsidR="00774D26">
                <w:rPr>
                  <w:rFonts w:asciiTheme="minorHAnsi" w:hAnsiTheme="minorHAnsi" w:cstheme="minorHAnsi"/>
                  <w:color w:val="0563C1"/>
                  <w:sz w:val="22"/>
                  <w:u w:val="single"/>
                </w:rPr>
                <w:t>’</w:t>
              </w:r>
              <w:r w:rsidR="00B91F19" w:rsidRPr="00EB5388">
                <w:rPr>
                  <w:rFonts w:asciiTheme="minorHAnsi" w:hAnsiTheme="minorHAnsi" w:cstheme="minorHAnsi"/>
                  <w:color w:val="0563C1"/>
                  <w:sz w:val="22"/>
                  <w:u w:val="single"/>
                </w:rPr>
                <w:t>s guide</w:t>
              </w:r>
            </w:hyperlink>
            <w:r w:rsidR="00B91F19" w:rsidRPr="00EB5388">
              <w:rPr>
                <w:rFonts w:asciiTheme="minorHAnsi" w:hAnsiTheme="minorHAnsi" w:cstheme="minorHAnsi"/>
                <w:color w:val="000000" w:themeColor="text1"/>
                <w:sz w:val="22"/>
              </w:rPr>
              <w:t xml:space="preserve"> and </w:t>
            </w:r>
            <w:hyperlink r:id="rId37" w:history="1">
              <w:r w:rsidR="00B91F19" w:rsidRPr="00EB5388">
                <w:rPr>
                  <w:rFonts w:asciiTheme="minorHAnsi" w:hAnsiTheme="minorHAnsi" w:cstheme="minorHAnsi"/>
                  <w:color w:val="0563C1"/>
                  <w:sz w:val="22"/>
                  <w:u w:val="single"/>
                </w:rPr>
                <w:t>e-learning course</w:t>
              </w:r>
            </w:hyperlink>
            <w:r w:rsidR="00B91F19" w:rsidRPr="00EB5388">
              <w:rPr>
                <w:rFonts w:asciiTheme="minorHAnsi" w:hAnsiTheme="minorHAnsi" w:cstheme="minorHAnsi"/>
                <w:color w:val="000000" w:themeColor="text1"/>
                <w:sz w:val="22"/>
              </w:rPr>
              <w:t xml:space="preserve">. </w:t>
            </w:r>
          </w:p>
          <w:p w14:paraId="267F7419" w14:textId="255331F2" w:rsidR="00B91F19" w:rsidRPr="00EB5388" w:rsidRDefault="00A201CA" w:rsidP="00A201CA">
            <w:pPr>
              <w:tabs>
                <w:tab w:val="clear" w:pos="567"/>
                <w:tab w:val="clear" w:pos="1134"/>
                <w:tab w:val="clear" w:pos="1701"/>
                <w:tab w:val="clear" w:pos="2268"/>
                <w:tab w:val="clear" w:pos="2835"/>
              </w:tabs>
              <w:overflowPunct/>
              <w:autoSpaceDE/>
              <w:autoSpaceDN/>
              <w:adjustRightInd/>
              <w:spacing w:before="60" w:after="60"/>
              <w:ind w:left="1440" w:hanging="360"/>
              <w:jc w:val="both"/>
              <w:textAlignment w:val="auto"/>
              <w:rPr>
                <w:rFonts w:asciiTheme="minorHAnsi" w:hAnsiTheme="minorHAnsi" w:cstheme="minorHAnsi"/>
                <w:color w:val="000000" w:themeColor="text1"/>
                <w:sz w:val="22"/>
              </w:rPr>
            </w:pPr>
            <w:r w:rsidRPr="00EB5388">
              <w:rPr>
                <w:rFonts w:ascii="Courier New" w:hAnsi="Courier New" w:cs="Courier New"/>
                <w:color w:val="000000" w:themeColor="text1"/>
                <w:sz w:val="22"/>
              </w:rPr>
              <w:t>o</w:t>
            </w:r>
            <w:r w:rsidRPr="00EB5388">
              <w:rPr>
                <w:rFonts w:ascii="Courier New" w:hAnsi="Courier New" w:cs="Courier New"/>
                <w:color w:val="000000" w:themeColor="text1"/>
                <w:sz w:val="22"/>
              </w:rPr>
              <w:tab/>
            </w:r>
            <w:r w:rsidR="00B91F19" w:rsidRPr="00EB5388">
              <w:rPr>
                <w:rFonts w:asciiTheme="minorHAnsi" w:hAnsiTheme="minorHAnsi" w:cstheme="minorHAnsi"/>
                <w:color w:val="000000" w:themeColor="text1"/>
                <w:sz w:val="22"/>
              </w:rPr>
              <w:t xml:space="preserve">A guide and corresponding Standard on </w:t>
            </w:r>
            <w:hyperlink r:id="rId38" w:history="1">
              <w:r w:rsidR="00B91F19" w:rsidRPr="00EB5388">
                <w:rPr>
                  <w:rFonts w:asciiTheme="minorHAnsi" w:hAnsiTheme="minorHAnsi" w:cstheme="minorHAnsi"/>
                  <w:color w:val="0563C1"/>
                  <w:sz w:val="22"/>
                  <w:u w:val="single"/>
                </w:rPr>
                <w:t>Circular and Sustainable Public Procurement for ICTs</w:t>
              </w:r>
            </w:hyperlink>
          </w:p>
          <w:p w14:paraId="0295AE2A" w14:textId="731633D7" w:rsidR="00B91F19" w:rsidRPr="00EB5388" w:rsidRDefault="00A201CA" w:rsidP="00A201CA">
            <w:pPr>
              <w:tabs>
                <w:tab w:val="clear" w:pos="567"/>
                <w:tab w:val="clear" w:pos="1134"/>
                <w:tab w:val="clear" w:pos="1701"/>
                <w:tab w:val="clear" w:pos="2268"/>
                <w:tab w:val="clear" w:pos="2835"/>
              </w:tabs>
              <w:overflowPunct/>
              <w:autoSpaceDE/>
              <w:autoSpaceDN/>
              <w:adjustRightInd/>
              <w:spacing w:before="60" w:after="120"/>
              <w:ind w:left="1440" w:hanging="360"/>
              <w:jc w:val="both"/>
              <w:textAlignment w:val="auto"/>
              <w:rPr>
                <w:rFonts w:asciiTheme="minorHAnsi" w:hAnsiTheme="minorHAnsi" w:cstheme="minorHAnsi"/>
                <w:color w:val="000000" w:themeColor="text1"/>
                <w:sz w:val="22"/>
              </w:rPr>
            </w:pPr>
            <w:r w:rsidRPr="00EB5388">
              <w:rPr>
                <w:rFonts w:ascii="Courier New" w:hAnsi="Courier New" w:cs="Courier New"/>
                <w:color w:val="000000" w:themeColor="text1"/>
                <w:sz w:val="22"/>
              </w:rPr>
              <w:t>o</w:t>
            </w:r>
            <w:r w:rsidRPr="00EB5388">
              <w:rPr>
                <w:rFonts w:ascii="Courier New" w:hAnsi="Courier New" w:cs="Courier New"/>
                <w:color w:val="000000" w:themeColor="text1"/>
                <w:sz w:val="22"/>
              </w:rPr>
              <w:tab/>
            </w:r>
            <w:r w:rsidR="00B91F19" w:rsidRPr="00EB5388">
              <w:rPr>
                <w:rFonts w:asciiTheme="minorHAnsi" w:hAnsiTheme="minorHAnsi" w:cstheme="minorHAnsi"/>
                <w:color w:val="000000" w:themeColor="text1"/>
                <w:sz w:val="22"/>
              </w:rPr>
              <w:t xml:space="preserve">An e-learning course on </w:t>
            </w:r>
            <w:hyperlink r:id="rId39" w:history="1">
              <w:r w:rsidR="00774D26">
                <w:rPr>
                  <w:rFonts w:asciiTheme="minorHAnsi" w:hAnsiTheme="minorHAnsi" w:cstheme="minorHAnsi"/>
                  <w:color w:val="0563C1"/>
                  <w:sz w:val="22"/>
                  <w:u w:val="single"/>
                </w:rPr>
                <w:t>“</w:t>
              </w:r>
              <w:r w:rsidR="00B91F19" w:rsidRPr="00EB5388">
                <w:rPr>
                  <w:rFonts w:asciiTheme="minorHAnsi" w:hAnsiTheme="minorHAnsi" w:cstheme="minorHAnsi"/>
                  <w:color w:val="0563C1"/>
                  <w:sz w:val="22"/>
                  <w:u w:val="single"/>
                </w:rPr>
                <w:t>Green and Digital Entrepreneurship for Women</w:t>
              </w:r>
              <w:r w:rsidR="00774D26">
                <w:rPr>
                  <w:rFonts w:asciiTheme="minorHAnsi" w:hAnsiTheme="minorHAnsi" w:cstheme="minorHAnsi"/>
                  <w:color w:val="0563C1"/>
                  <w:sz w:val="22"/>
                  <w:u w:val="single"/>
                </w:rPr>
                <w:t>”</w:t>
              </w:r>
            </w:hyperlink>
            <w:r w:rsidR="00B91F19" w:rsidRPr="00EB5388">
              <w:rPr>
                <w:rFonts w:asciiTheme="minorHAnsi" w:hAnsiTheme="minorHAnsi" w:cstheme="minorHAnsi"/>
                <w:color w:val="000000" w:themeColor="text1"/>
                <w:sz w:val="22"/>
              </w:rPr>
              <w:t>. The training course empowers women entrepreneurs in developing green digital entrepreneurship knowledge and skills. The course guides participants through the concepts and benefits of greening businesses and explores digital concepts, as well as how to green supply chains and green finance.</w:t>
            </w:r>
          </w:p>
          <w:p w14:paraId="434734E2" w14:textId="4C072A85" w:rsidR="00B91F19" w:rsidRPr="00EB5388" w:rsidRDefault="00A201CA" w:rsidP="00A201CA">
            <w:pPr>
              <w:tabs>
                <w:tab w:val="clear" w:pos="567"/>
                <w:tab w:val="clear" w:pos="1134"/>
                <w:tab w:val="clear" w:pos="1701"/>
                <w:tab w:val="clear" w:pos="2268"/>
                <w:tab w:val="clear" w:pos="2835"/>
              </w:tabs>
              <w:overflowPunct/>
              <w:autoSpaceDE/>
              <w:autoSpaceDN/>
              <w:adjustRightInd/>
              <w:spacing w:after="120"/>
              <w:ind w:left="720" w:hanging="360"/>
              <w:textAlignment w:val="auto"/>
              <w:rPr>
                <w:rFonts w:asciiTheme="minorHAnsi" w:hAnsiTheme="minorHAnsi" w:cstheme="minorHAnsi"/>
                <w:color w:val="000000" w:themeColor="text1"/>
                <w:sz w:val="22"/>
              </w:rPr>
            </w:pPr>
            <w:r w:rsidRPr="00EB5388">
              <w:rPr>
                <w:rFonts w:ascii="Symbol" w:hAnsi="Symbol" w:cstheme="minorHAnsi"/>
                <w:color w:val="000000" w:themeColor="text1"/>
                <w:sz w:val="22"/>
              </w:rPr>
              <w:t></w:t>
            </w:r>
            <w:r w:rsidRPr="00EB5388">
              <w:rPr>
                <w:rFonts w:ascii="Symbol" w:hAnsi="Symbol" w:cstheme="minorHAnsi"/>
                <w:color w:val="000000" w:themeColor="text1"/>
                <w:sz w:val="22"/>
              </w:rPr>
              <w:tab/>
            </w:r>
            <w:r w:rsidR="00B91F19" w:rsidRPr="00EB5388">
              <w:rPr>
                <w:rFonts w:asciiTheme="minorHAnsi" w:hAnsiTheme="minorHAnsi" w:cstheme="minorHAnsi"/>
                <w:color w:val="000000" w:themeColor="text1"/>
                <w:sz w:val="22"/>
              </w:rPr>
              <w:t>Developing international standards that accelerate climate adaptation and mitigation. These standards support the sustainable use of ICTs, including products, services, installation, infrastructure, and more.</w:t>
            </w:r>
          </w:p>
          <w:p w14:paraId="1DC4A1B7" w14:textId="0952E426" w:rsidR="00B91F19" w:rsidRPr="00EB5388" w:rsidRDefault="00A201CA" w:rsidP="00A201CA">
            <w:pPr>
              <w:tabs>
                <w:tab w:val="clear" w:pos="567"/>
                <w:tab w:val="clear" w:pos="1134"/>
                <w:tab w:val="clear" w:pos="1701"/>
                <w:tab w:val="clear" w:pos="2268"/>
                <w:tab w:val="clear" w:pos="2835"/>
              </w:tabs>
              <w:overflowPunct/>
              <w:autoSpaceDE/>
              <w:autoSpaceDN/>
              <w:adjustRightInd/>
              <w:spacing w:after="120"/>
              <w:ind w:left="720" w:hanging="360"/>
              <w:rPr>
                <w:rFonts w:cstheme="minorHAnsi"/>
                <w:sz w:val="22"/>
                <w:lang w:eastAsia="es-ES"/>
              </w:rPr>
            </w:pPr>
            <w:r w:rsidRPr="00EB5388">
              <w:rPr>
                <w:rFonts w:ascii="Symbol" w:hAnsi="Symbol" w:cstheme="minorHAnsi"/>
                <w:sz w:val="22"/>
                <w:lang w:eastAsia="es-ES"/>
              </w:rPr>
              <w:t></w:t>
            </w:r>
            <w:r w:rsidRPr="00EB5388">
              <w:rPr>
                <w:rFonts w:ascii="Symbol" w:hAnsi="Symbol" w:cstheme="minorHAnsi"/>
                <w:sz w:val="22"/>
                <w:lang w:eastAsia="es-ES"/>
              </w:rPr>
              <w:tab/>
            </w:r>
            <w:r w:rsidR="00B91F19" w:rsidRPr="00EB5388">
              <w:rPr>
                <w:rFonts w:cstheme="minorHAnsi"/>
                <w:sz w:val="22"/>
                <w:lang w:eastAsia="es-ES"/>
              </w:rPr>
              <w:t>Training programmes, guidelines, reports, convening multi-stakeholder initiatives and organizing seminars and workshops, contribute to improve education, awareness-raising and human and institutional capacity on climate change mitigation, adaptation, impact reduction and early warning. </w:t>
            </w:r>
          </w:p>
          <w:p w14:paraId="1B7CAB45" w14:textId="42106080" w:rsidR="00B91F19" w:rsidRPr="00EB5388" w:rsidRDefault="00A201CA" w:rsidP="00A201CA">
            <w:pPr>
              <w:tabs>
                <w:tab w:val="clear" w:pos="567"/>
                <w:tab w:val="clear" w:pos="1134"/>
                <w:tab w:val="clear" w:pos="1701"/>
                <w:tab w:val="clear" w:pos="2268"/>
                <w:tab w:val="clear" w:pos="2835"/>
              </w:tabs>
              <w:overflowPunct/>
              <w:autoSpaceDE/>
              <w:autoSpaceDN/>
              <w:adjustRightInd/>
              <w:spacing w:after="120"/>
              <w:ind w:left="720" w:hanging="360"/>
              <w:rPr>
                <w:rFonts w:cstheme="minorHAnsi"/>
                <w:sz w:val="22"/>
                <w:lang w:eastAsia="es-ES"/>
              </w:rPr>
            </w:pPr>
            <w:r w:rsidRPr="00EB5388">
              <w:rPr>
                <w:rFonts w:ascii="Symbol" w:hAnsi="Symbol" w:cstheme="minorHAnsi"/>
                <w:sz w:val="22"/>
                <w:lang w:eastAsia="es-ES"/>
              </w:rPr>
              <w:t></w:t>
            </w:r>
            <w:r w:rsidRPr="00EB5388">
              <w:rPr>
                <w:rFonts w:ascii="Symbol" w:hAnsi="Symbol" w:cstheme="minorHAnsi"/>
                <w:sz w:val="22"/>
                <w:lang w:eastAsia="es-ES"/>
              </w:rPr>
              <w:tab/>
            </w:r>
            <w:r w:rsidR="00B91F19" w:rsidRPr="00EB5388">
              <w:rPr>
                <w:rFonts w:cstheme="minorHAnsi"/>
                <w:sz w:val="22"/>
                <w:lang w:eastAsia="es-ES"/>
              </w:rPr>
              <w:t xml:space="preserve">Providing technical assistance through an e-waste policy support programme to help countries manage e-waste at the national level and implement the extended producer responsibility principle in e-waste regulatory frameworks. </w:t>
            </w:r>
          </w:p>
          <w:p w14:paraId="18C33BFA" w14:textId="4ED7A637" w:rsidR="00B91F19" w:rsidRPr="00EB5388" w:rsidRDefault="00A201CA" w:rsidP="00A201CA">
            <w:pPr>
              <w:tabs>
                <w:tab w:val="clear" w:pos="567"/>
                <w:tab w:val="clear" w:pos="1134"/>
                <w:tab w:val="clear" w:pos="1701"/>
                <w:tab w:val="clear" w:pos="2268"/>
                <w:tab w:val="clear" w:pos="2835"/>
              </w:tabs>
              <w:overflowPunct/>
              <w:autoSpaceDE/>
              <w:autoSpaceDN/>
              <w:adjustRightInd/>
              <w:spacing w:after="120"/>
              <w:ind w:left="720" w:hanging="360"/>
              <w:rPr>
                <w:rFonts w:cstheme="minorHAnsi"/>
                <w:sz w:val="22"/>
                <w:lang w:eastAsia="es-ES"/>
              </w:rPr>
            </w:pPr>
            <w:r w:rsidRPr="00EB5388">
              <w:rPr>
                <w:rFonts w:ascii="Symbol" w:hAnsi="Symbol" w:cstheme="minorHAnsi"/>
                <w:sz w:val="22"/>
                <w:lang w:eastAsia="es-ES"/>
              </w:rPr>
              <w:t></w:t>
            </w:r>
            <w:r w:rsidRPr="00EB5388">
              <w:rPr>
                <w:rFonts w:ascii="Symbol" w:hAnsi="Symbol" w:cstheme="minorHAnsi"/>
                <w:sz w:val="22"/>
                <w:lang w:eastAsia="es-ES"/>
              </w:rPr>
              <w:tab/>
            </w:r>
            <w:r w:rsidR="00B91F19" w:rsidRPr="00EB5388">
              <w:rPr>
                <w:rFonts w:cstheme="minorHAnsi"/>
                <w:sz w:val="22"/>
                <w:lang w:eastAsia="es-ES"/>
              </w:rPr>
              <w:t xml:space="preserve">The Global E-waste Monitor, a joint effort of ITU, the United Nations University (UNU) and the International Solid Waste Association (ISWA), provides the most comprehensive overview of global e-waste statistics and an unprecedented level of detail, including an overview of the magnitude of the e-waste problem in different </w:t>
            </w:r>
            <w:proofErr w:type="gramStart"/>
            <w:r w:rsidR="00B91F19" w:rsidRPr="00EB5388">
              <w:rPr>
                <w:rFonts w:cstheme="minorHAnsi"/>
                <w:sz w:val="22"/>
                <w:lang w:eastAsia="es-ES"/>
              </w:rPr>
              <w:t>regions;</w:t>
            </w:r>
            <w:proofErr w:type="gramEnd"/>
          </w:p>
          <w:p w14:paraId="14E0AB5B" w14:textId="5141A843" w:rsidR="00B91F19" w:rsidRPr="00EB5388" w:rsidRDefault="00A201CA" w:rsidP="00A201CA">
            <w:pPr>
              <w:tabs>
                <w:tab w:val="clear" w:pos="567"/>
                <w:tab w:val="clear" w:pos="1134"/>
                <w:tab w:val="clear" w:pos="1701"/>
                <w:tab w:val="clear" w:pos="2268"/>
                <w:tab w:val="clear" w:pos="2835"/>
              </w:tabs>
              <w:overflowPunct/>
              <w:autoSpaceDE/>
              <w:autoSpaceDN/>
              <w:adjustRightInd/>
              <w:spacing w:after="120"/>
              <w:ind w:left="720" w:hanging="360"/>
              <w:rPr>
                <w:rFonts w:cstheme="minorHAnsi"/>
                <w:sz w:val="22"/>
                <w:lang w:eastAsia="es-ES"/>
              </w:rPr>
            </w:pPr>
            <w:r w:rsidRPr="00EB5388">
              <w:rPr>
                <w:rFonts w:ascii="Symbol" w:hAnsi="Symbol" w:cstheme="minorHAnsi"/>
                <w:sz w:val="22"/>
                <w:lang w:eastAsia="es-ES"/>
              </w:rPr>
              <w:t></w:t>
            </w:r>
            <w:r w:rsidRPr="00EB5388">
              <w:rPr>
                <w:rFonts w:ascii="Symbol" w:hAnsi="Symbol" w:cstheme="minorHAnsi"/>
                <w:sz w:val="22"/>
                <w:lang w:eastAsia="es-ES"/>
              </w:rPr>
              <w:tab/>
            </w:r>
            <w:r w:rsidR="00B91F19" w:rsidRPr="00EB5388">
              <w:rPr>
                <w:rFonts w:cstheme="minorHAnsi"/>
                <w:sz w:val="22"/>
                <w:lang w:eastAsia="es-ES"/>
              </w:rPr>
              <w:t>The Green Digital Transformation Report of ITU and the World Benchmarking Alliance (WBA) documents the greenhouse gas (GHG) emissions and energy use of 200 of the world</w:t>
            </w:r>
            <w:r w:rsidR="00774D26">
              <w:rPr>
                <w:rFonts w:cstheme="minorHAnsi"/>
                <w:sz w:val="22"/>
                <w:lang w:eastAsia="es-ES"/>
              </w:rPr>
              <w:t>’</w:t>
            </w:r>
            <w:r w:rsidR="00B91F19" w:rsidRPr="00EB5388">
              <w:rPr>
                <w:rFonts w:cstheme="minorHAnsi"/>
                <w:sz w:val="22"/>
                <w:lang w:eastAsia="es-ES"/>
              </w:rPr>
              <w:t>s leading digital companies. The report aligns with ITU</w:t>
            </w:r>
            <w:r w:rsidR="00774D26">
              <w:rPr>
                <w:rFonts w:cstheme="minorHAnsi"/>
                <w:sz w:val="22"/>
                <w:lang w:eastAsia="es-ES"/>
              </w:rPr>
              <w:t>’</w:t>
            </w:r>
            <w:r w:rsidR="00B91F19" w:rsidRPr="00EB5388">
              <w:rPr>
                <w:rFonts w:cstheme="minorHAnsi"/>
                <w:sz w:val="22"/>
                <w:lang w:eastAsia="es-ES"/>
              </w:rPr>
              <w:t>s strategic plan</w:t>
            </w:r>
            <w:r w:rsidR="00774D26">
              <w:rPr>
                <w:rFonts w:cstheme="minorHAnsi"/>
                <w:sz w:val="22"/>
                <w:lang w:eastAsia="es-ES"/>
              </w:rPr>
              <w:t>’</w:t>
            </w:r>
            <w:r w:rsidR="00B91F19" w:rsidRPr="00EB5388">
              <w:rPr>
                <w:rFonts w:cstheme="minorHAnsi"/>
                <w:sz w:val="22"/>
                <w:lang w:eastAsia="es-ES"/>
              </w:rPr>
              <w:t xml:space="preserve">s target to enhance the climate and environmental impact of ICTs, recognizing their contribution to global emissions. In addition to evaluating the climate data and goals of the companies, the report functions as a valuable tool that companies can use to gain insights from exemplary approaches. This enables them to enhance their efforts in reducing emissions and expedite their progress towards achieving net-zero </w:t>
            </w:r>
            <w:proofErr w:type="gramStart"/>
            <w:r w:rsidR="00B91F19" w:rsidRPr="00EB5388">
              <w:rPr>
                <w:rFonts w:cstheme="minorHAnsi"/>
                <w:sz w:val="22"/>
                <w:lang w:eastAsia="es-ES"/>
              </w:rPr>
              <w:t>operations;</w:t>
            </w:r>
            <w:proofErr w:type="gramEnd"/>
          </w:p>
          <w:p w14:paraId="0A1A8B1E" w14:textId="66F5126F" w:rsidR="00B91F19" w:rsidRPr="00EB5388" w:rsidRDefault="00A201CA" w:rsidP="00A201CA">
            <w:pPr>
              <w:tabs>
                <w:tab w:val="clear" w:pos="567"/>
                <w:tab w:val="clear" w:pos="1134"/>
                <w:tab w:val="clear" w:pos="1701"/>
                <w:tab w:val="clear" w:pos="2268"/>
                <w:tab w:val="clear" w:pos="2835"/>
              </w:tabs>
              <w:overflowPunct/>
              <w:autoSpaceDE/>
              <w:autoSpaceDN/>
              <w:adjustRightInd/>
              <w:spacing w:before="0" w:after="120" w:line="259" w:lineRule="auto"/>
              <w:ind w:left="720" w:hanging="360"/>
              <w:contextualSpacing/>
              <w:textAlignment w:val="auto"/>
              <w:rPr>
                <w:rFonts w:asciiTheme="minorHAnsi" w:hAnsiTheme="minorHAnsi" w:cstheme="minorHAnsi"/>
                <w:sz w:val="22"/>
                <w:lang w:eastAsia="es-ES"/>
              </w:rPr>
            </w:pPr>
            <w:r w:rsidRPr="00EB5388">
              <w:rPr>
                <w:rFonts w:ascii="Symbol" w:hAnsi="Symbol" w:cstheme="minorHAnsi"/>
                <w:sz w:val="22"/>
                <w:lang w:eastAsia="es-ES"/>
              </w:rPr>
              <w:t></w:t>
            </w:r>
            <w:r w:rsidRPr="00EB5388">
              <w:rPr>
                <w:rFonts w:ascii="Symbol" w:hAnsi="Symbol" w:cstheme="minorHAnsi"/>
                <w:sz w:val="22"/>
                <w:lang w:eastAsia="es-ES"/>
              </w:rPr>
              <w:tab/>
            </w:r>
            <w:r w:rsidR="00B91F19" w:rsidRPr="00EB5388">
              <w:rPr>
                <w:rFonts w:asciiTheme="minorHAnsi" w:eastAsia="MS Mincho" w:hAnsiTheme="minorHAnsi"/>
                <w:sz w:val="22"/>
                <w:lang w:eastAsia="es-ES"/>
              </w:rPr>
              <w:t>In partnership with various stakeholders, including from the UN system, ITU</w:t>
            </w:r>
            <w:r w:rsidR="00774D26">
              <w:rPr>
                <w:rFonts w:asciiTheme="minorHAnsi" w:eastAsia="MS Mincho" w:hAnsiTheme="minorHAnsi"/>
                <w:sz w:val="22"/>
                <w:lang w:eastAsia="es-ES"/>
              </w:rPr>
              <w:t>’</w:t>
            </w:r>
            <w:r w:rsidR="00B91F19" w:rsidRPr="00EB5388">
              <w:rPr>
                <w:rFonts w:asciiTheme="minorHAnsi" w:eastAsia="MS Mincho" w:hAnsiTheme="minorHAnsi"/>
                <w:sz w:val="22"/>
                <w:lang w:eastAsia="es-ES"/>
              </w:rPr>
              <w:t>s Green Digital Action initiative at COP28 and beyond, aimed at enhancing digital-technology-driven climate action, co-creating practical solutions, and mobilizing commitments to promote green and digital transitions. This is achieved by leveraging key partnerships and coordination mechanisms, such as the Partner2Connect Digital Coalition, the Marrakech Partnership, and the UN Secretary-General</w:t>
            </w:r>
            <w:r w:rsidR="00774D26">
              <w:rPr>
                <w:rFonts w:asciiTheme="minorHAnsi" w:eastAsia="MS Mincho" w:hAnsiTheme="minorHAnsi"/>
                <w:sz w:val="22"/>
                <w:lang w:eastAsia="es-ES"/>
              </w:rPr>
              <w:t>’</w:t>
            </w:r>
            <w:r w:rsidR="00B91F19" w:rsidRPr="00EB5388">
              <w:rPr>
                <w:rFonts w:asciiTheme="minorHAnsi" w:eastAsia="MS Mincho" w:hAnsiTheme="minorHAnsi"/>
                <w:sz w:val="22"/>
                <w:lang w:eastAsia="es-ES"/>
              </w:rPr>
              <w:t xml:space="preserve">s Early Warning for All initiative. The collective efforts at COP28 resulted in nine key commitments/outcomes across four thematic pillars. These include corporate agreements to set 1.5-degree aligned, science-based targets. Other agreements involve publishing transition plans and increasing transparency on emissions data across the tech industry through a joint database. An action plan was developed to strengthen industry and country collaboration on the implementation of environmental sustainability standards. In addition, pledges from the mobile telecommunication and satellite industry are supporting the Early Warnings for All </w:t>
            </w:r>
            <w:r w:rsidR="00B91F19" w:rsidRPr="00EB5388">
              <w:rPr>
                <w:rFonts w:asciiTheme="minorHAnsi" w:eastAsia="MS Mincho" w:hAnsiTheme="minorHAnsi"/>
                <w:sz w:val="22"/>
                <w:lang w:eastAsia="es-ES"/>
              </w:rPr>
              <w:lastRenderedPageBreak/>
              <w:t>initiative through cell-broadcast, location-based SMS and direct-to-handset services. Currently, the ITU and its GDA partners are working to ensure the follow-through of these pledges and commitments.</w:t>
            </w:r>
          </w:p>
          <w:p w14:paraId="3757B532" w14:textId="0CB1B3B6" w:rsidR="00B91F19" w:rsidRPr="00EB5388" w:rsidRDefault="00A201CA" w:rsidP="00A201CA">
            <w:pPr>
              <w:tabs>
                <w:tab w:val="clear" w:pos="567"/>
                <w:tab w:val="clear" w:pos="1134"/>
                <w:tab w:val="clear" w:pos="1701"/>
                <w:tab w:val="clear" w:pos="2268"/>
                <w:tab w:val="clear" w:pos="2835"/>
              </w:tabs>
              <w:overflowPunct/>
              <w:autoSpaceDE/>
              <w:autoSpaceDN/>
              <w:adjustRightInd/>
              <w:spacing w:before="0" w:after="120" w:line="259" w:lineRule="auto"/>
              <w:ind w:left="720" w:hanging="360"/>
              <w:contextualSpacing/>
              <w:textAlignment w:val="auto"/>
              <w:rPr>
                <w:rFonts w:asciiTheme="minorHAnsi" w:eastAsia="MS Mincho" w:hAnsiTheme="minorHAnsi" w:cstheme="minorHAnsi"/>
                <w:sz w:val="22"/>
                <w:lang w:eastAsia="es-ES"/>
              </w:rPr>
            </w:pPr>
            <w:r w:rsidRPr="00EB5388">
              <w:rPr>
                <w:rFonts w:ascii="Symbol" w:eastAsia="MS Mincho" w:hAnsi="Symbol" w:cstheme="minorHAnsi"/>
                <w:sz w:val="22"/>
                <w:lang w:eastAsia="es-ES"/>
              </w:rPr>
              <w:t></w:t>
            </w:r>
            <w:r w:rsidRPr="00EB5388">
              <w:rPr>
                <w:rFonts w:ascii="Symbol" w:eastAsia="MS Mincho" w:hAnsi="Symbol" w:cstheme="minorHAnsi"/>
                <w:sz w:val="22"/>
                <w:lang w:eastAsia="es-ES"/>
              </w:rPr>
              <w:tab/>
            </w:r>
            <w:r w:rsidR="00B91F19" w:rsidRPr="00EB5388">
              <w:rPr>
                <w:rFonts w:asciiTheme="minorHAnsi" w:eastAsia="MS Mincho" w:hAnsiTheme="minorHAnsi" w:cstheme="minorHAnsi"/>
                <w:sz w:val="22"/>
                <w:lang w:eastAsia="es-ES"/>
              </w:rPr>
              <w:t>ITU will continue to support the ICT sector</w:t>
            </w:r>
            <w:r w:rsidR="00774D26">
              <w:rPr>
                <w:rFonts w:asciiTheme="minorHAnsi" w:eastAsia="MS Mincho" w:hAnsiTheme="minorHAnsi" w:cstheme="minorHAnsi"/>
                <w:sz w:val="22"/>
                <w:lang w:eastAsia="es-ES"/>
              </w:rPr>
              <w:t>’</w:t>
            </w:r>
            <w:r w:rsidR="00B91F19" w:rsidRPr="00EB5388">
              <w:rPr>
                <w:rFonts w:asciiTheme="minorHAnsi" w:eastAsia="MS Mincho" w:hAnsiTheme="minorHAnsi" w:cstheme="minorHAnsi"/>
                <w:sz w:val="22"/>
                <w:lang w:eastAsia="es-ES"/>
              </w:rPr>
              <w:t xml:space="preserve">s circular economy transition. For example, the ITU Standardization Study Group 5 is developing a new standard that will define the requirements of a global digital sustainable product passport for circular economy. The concept of global digital passport has recently generated significant attention, particularly at the European level. </w:t>
            </w:r>
          </w:p>
          <w:p w14:paraId="3ACF1AF4" w14:textId="519A4158" w:rsidR="00B91F19" w:rsidRPr="00EB5388" w:rsidRDefault="00A201CA" w:rsidP="00A201CA">
            <w:pPr>
              <w:tabs>
                <w:tab w:val="clear" w:pos="567"/>
                <w:tab w:val="clear" w:pos="1134"/>
                <w:tab w:val="clear" w:pos="1701"/>
                <w:tab w:val="clear" w:pos="2268"/>
                <w:tab w:val="clear" w:pos="2835"/>
              </w:tabs>
              <w:overflowPunct/>
              <w:autoSpaceDE/>
              <w:autoSpaceDN/>
              <w:adjustRightInd/>
              <w:spacing w:before="0" w:after="120" w:line="259" w:lineRule="auto"/>
              <w:ind w:left="720" w:hanging="360"/>
              <w:contextualSpacing/>
              <w:textAlignment w:val="auto"/>
              <w:rPr>
                <w:rFonts w:asciiTheme="minorHAnsi" w:eastAsia="MS Mincho" w:hAnsiTheme="minorHAnsi" w:cstheme="minorHAnsi"/>
                <w:sz w:val="22"/>
                <w:lang w:eastAsia="es-ES"/>
              </w:rPr>
            </w:pPr>
            <w:r w:rsidRPr="00EB5388">
              <w:rPr>
                <w:rFonts w:ascii="Symbol" w:eastAsia="MS Mincho" w:hAnsi="Symbol" w:cstheme="minorHAnsi"/>
                <w:sz w:val="22"/>
                <w:lang w:eastAsia="es-ES"/>
              </w:rPr>
              <w:t></w:t>
            </w:r>
            <w:r w:rsidRPr="00EB5388">
              <w:rPr>
                <w:rFonts w:ascii="Symbol" w:eastAsia="MS Mincho" w:hAnsi="Symbol" w:cstheme="minorHAnsi"/>
                <w:sz w:val="22"/>
                <w:lang w:eastAsia="es-ES"/>
              </w:rPr>
              <w:tab/>
            </w:r>
            <w:r w:rsidR="00B91F19" w:rsidRPr="00EB5388">
              <w:rPr>
                <w:rFonts w:asciiTheme="minorHAnsi" w:eastAsia="MS Mincho" w:hAnsiTheme="minorHAnsi" w:cstheme="minorHAnsi"/>
                <w:sz w:val="22"/>
                <w:lang w:eastAsia="es-ES"/>
              </w:rPr>
              <w:t>ITU also organizes a series of dialogues around the world to promote sustainable digital transformation, in addition to supporting key initiatives that focus on connecting digital technologies with environmental sustainability, such as the Coalition for Digital Environmental Sustainability (CODES), which ITU is pleased to have joined as a co-champion.</w:t>
            </w:r>
          </w:p>
          <w:p w14:paraId="3649C9AC" w14:textId="41862084" w:rsidR="00B91F19" w:rsidRPr="00EB5388" w:rsidRDefault="00A201CA" w:rsidP="00A201CA">
            <w:pPr>
              <w:tabs>
                <w:tab w:val="clear" w:pos="567"/>
                <w:tab w:val="clear" w:pos="1134"/>
                <w:tab w:val="clear" w:pos="1701"/>
                <w:tab w:val="clear" w:pos="2268"/>
                <w:tab w:val="clear" w:pos="2835"/>
              </w:tabs>
              <w:overflowPunct/>
              <w:autoSpaceDE/>
              <w:autoSpaceDN/>
              <w:adjustRightInd/>
              <w:spacing w:before="0" w:after="240" w:line="259" w:lineRule="auto"/>
              <w:ind w:left="714" w:hanging="357"/>
              <w:textAlignment w:val="auto"/>
              <w:rPr>
                <w:rFonts w:asciiTheme="minorHAnsi" w:eastAsia="MS Mincho" w:hAnsiTheme="minorHAnsi" w:cstheme="minorHAnsi"/>
                <w:sz w:val="22"/>
                <w:lang w:eastAsia="es-ES"/>
              </w:rPr>
            </w:pPr>
            <w:r w:rsidRPr="00EB5388">
              <w:rPr>
                <w:rFonts w:ascii="Symbol" w:eastAsia="MS Mincho" w:hAnsi="Symbol" w:cstheme="minorHAnsi"/>
                <w:sz w:val="22"/>
                <w:lang w:eastAsia="es-ES"/>
              </w:rPr>
              <w:t></w:t>
            </w:r>
            <w:r w:rsidRPr="00EB5388">
              <w:rPr>
                <w:rFonts w:ascii="Symbol" w:eastAsia="MS Mincho" w:hAnsi="Symbol" w:cstheme="minorHAnsi"/>
                <w:sz w:val="22"/>
                <w:lang w:eastAsia="es-ES"/>
              </w:rPr>
              <w:tab/>
            </w:r>
            <w:r w:rsidR="00B91F19" w:rsidRPr="00EB5388">
              <w:rPr>
                <w:rFonts w:asciiTheme="minorHAnsi" w:eastAsia="MS Mincho" w:hAnsiTheme="minorHAnsi" w:cstheme="minorHAnsi"/>
                <w:sz w:val="22"/>
                <w:lang w:eastAsia="es-ES"/>
              </w:rPr>
              <w:t>Through its partnership with the Global e-Sustainability Initiative (</w:t>
            </w:r>
            <w:proofErr w:type="spellStart"/>
            <w:r w:rsidR="00B91F19" w:rsidRPr="00EB5388">
              <w:rPr>
                <w:rFonts w:asciiTheme="minorHAnsi" w:eastAsia="MS Mincho" w:hAnsiTheme="minorHAnsi" w:cstheme="minorHAnsi"/>
                <w:sz w:val="22"/>
                <w:lang w:eastAsia="es-ES"/>
              </w:rPr>
              <w:t>GeSI</w:t>
            </w:r>
            <w:proofErr w:type="spellEnd"/>
            <w:r w:rsidR="00B91F19" w:rsidRPr="00EB5388">
              <w:rPr>
                <w:rFonts w:asciiTheme="minorHAnsi" w:eastAsia="MS Mincho" w:hAnsiTheme="minorHAnsi" w:cstheme="minorHAnsi"/>
                <w:sz w:val="22"/>
                <w:lang w:eastAsia="es-ES"/>
              </w:rPr>
              <w:t xml:space="preserve">), ITU is also supporting the Digital with Purpose movement to </w:t>
            </w:r>
            <w:proofErr w:type="spellStart"/>
            <w:r w:rsidR="00B91F19" w:rsidRPr="00EB5388">
              <w:rPr>
                <w:rFonts w:asciiTheme="minorHAnsi" w:eastAsia="MS Mincho" w:hAnsiTheme="minorHAnsi" w:cstheme="minorHAnsi"/>
                <w:sz w:val="22"/>
                <w:lang w:eastAsia="es-ES"/>
              </w:rPr>
              <w:t>catalyze</w:t>
            </w:r>
            <w:proofErr w:type="spellEnd"/>
            <w:r w:rsidR="00B91F19" w:rsidRPr="00EB5388">
              <w:rPr>
                <w:rFonts w:asciiTheme="minorHAnsi" w:eastAsia="MS Mincho" w:hAnsiTheme="minorHAnsi" w:cstheme="minorHAnsi"/>
                <w:sz w:val="22"/>
                <w:lang w:eastAsia="es-ES"/>
              </w:rPr>
              <w:t xml:space="preserve"> collective action across the ICT sector to accelerate their efforts in pursuit of a more sustainable strategy to meeting the Paris Agreement and United Nation Sustainability Goals by 2030. </w:t>
            </w:r>
          </w:p>
        </w:tc>
      </w:tr>
      <w:tr w:rsidR="00B91F19" w:rsidRPr="006F5A29" w14:paraId="6D68BB23" w14:textId="77777777" w:rsidTr="008611C0">
        <w:tc>
          <w:tcPr>
            <w:tcW w:w="9016" w:type="dxa"/>
          </w:tcPr>
          <w:tbl>
            <w:tblPr>
              <w:tblW w:w="0" w:type="auto"/>
              <w:tblBorders>
                <w:top w:val="nil"/>
                <w:left w:val="nil"/>
                <w:bottom w:val="nil"/>
                <w:right w:val="nil"/>
              </w:tblBorders>
              <w:tblLook w:val="0000" w:firstRow="0" w:lastRow="0" w:firstColumn="0" w:lastColumn="0" w:noHBand="0" w:noVBand="0"/>
            </w:tblPr>
            <w:tblGrid>
              <w:gridCol w:w="8800"/>
            </w:tblGrid>
            <w:tr w:rsidR="00B91F19" w:rsidRPr="006F5A29" w14:paraId="626D4F33" w14:textId="77777777" w:rsidTr="008611C0">
              <w:trPr>
                <w:trHeight w:val="1404"/>
              </w:trPr>
              <w:tc>
                <w:tcPr>
                  <w:tcW w:w="0" w:type="auto"/>
                </w:tcPr>
                <w:p w14:paraId="4554A5E4" w14:textId="77777777" w:rsidR="00B91F19" w:rsidRPr="00EB5388" w:rsidRDefault="00B91F19" w:rsidP="008611C0">
                  <w:pPr>
                    <w:spacing w:after="120"/>
                    <w:rPr>
                      <w:rFonts w:eastAsiaTheme="minorEastAsia" w:cstheme="minorHAnsi"/>
                      <w:b/>
                      <w:bCs/>
                      <w:color w:val="000000"/>
                      <w:szCs w:val="24"/>
                      <w:lang w:eastAsia="zh-CN"/>
                    </w:rPr>
                  </w:pPr>
                  <w:r w:rsidRPr="00EB5388">
                    <w:rPr>
                      <w:rFonts w:eastAsiaTheme="minorEastAsia" w:cstheme="minorHAnsi"/>
                      <w:b/>
                      <w:bCs/>
                      <w:color w:val="000000"/>
                      <w:szCs w:val="24"/>
                      <w:lang w:eastAsia="zh-CN"/>
                    </w:rPr>
                    <w:lastRenderedPageBreak/>
                    <w:t>Goal 16. Promote peaceful and inclusive societies for sustainable development, provide access to justice for all and build effective, accountable and inclusive institutions at all levels</w:t>
                  </w:r>
                </w:p>
                <w:p w14:paraId="5B6CFF1B" w14:textId="77777777" w:rsidR="00B91F19" w:rsidRPr="00EB5388" w:rsidRDefault="00B91F19" w:rsidP="008611C0">
                  <w:pPr>
                    <w:spacing w:after="120"/>
                    <w:rPr>
                      <w:rFonts w:cstheme="minorHAnsi"/>
                      <w:sz w:val="22"/>
                      <w:szCs w:val="22"/>
                      <w:lang w:eastAsia="es-ES"/>
                    </w:rPr>
                  </w:pPr>
                  <w:r w:rsidRPr="00EB5388">
                    <w:rPr>
                      <w:rFonts w:cstheme="minorHAnsi"/>
                      <w:i/>
                      <w:iCs/>
                      <w:sz w:val="22"/>
                      <w:szCs w:val="22"/>
                      <w:lang w:eastAsia="es-ES"/>
                    </w:rPr>
                    <w:t>ICTs can play an important role in crisis management, humanitarian aid and peacebuilding, and have proved to be a powerful aid in areas such as electoral monitoring. The growing use of open data by governments increases transparency, empowers citizens, and helps to drive economic growth. ICTs are also essential in terms of record-keeping and tracking government data and local demographics.</w:t>
                  </w:r>
                  <w:r w:rsidRPr="00EB5388">
                    <w:rPr>
                      <w:rFonts w:cstheme="minorHAnsi"/>
                      <w:sz w:val="22"/>
                      <w:szCs w:val="22"/>
                      <w:lang w:eastAsia="es-ES"/>
                    </w:rPr>
                    <w:t> </w:t>
                  </w:r>
                </w:p>
                <w:p w14:paraId="7F83A27F" w14:textId="77777777" w:rsidR="00B91F19" w:rsidRPr="00EB5388" w:rsidRDefault="00B91F19" w:rsidP="008611C0">
                  <w:pPr>
                    <w:spacing w:after="120"/>
                    <w:rPr>
                      <w:rFonts w:cstheme="minorHAnsi"/>
                      <w:sz w:val="22"/>
                      <w:szCs w:val="22"/>
                      <w:lang w:eastAsia="es-ES"/>
                    </w:rPr>
                  </w:pPr>
                  <w:r w:rsidRPr="00EB5388">
                    <w:rPr>
                      <w:rFonts w:cstheme="minorHAnsi"/>
                      <w:i/>
                      <w:iCs/>
                      <w:sz w:val="22"/>
                      <w:szCs w:val="22"/>
                      <w:lang w:eastAsia="es-ES"/>
                    </w:rPr>
                    <w:t xml:space="preserve">When natural or man-made disasters occur, ICTs are crucial in obtaining, communicating and transmitting accurate and timely crisis information, allowing appropriate responses to be made. </w:t>
                  </w:r>
                </w:p>
                <w:p w14:paraId="77FDCD5B" w14:textId="77777777" w:rsidR="00B91F19" w:rsidRPr="00EB5388" w:rsidRDefault="00B91F19" w:rsidP="008611C0">
                  <w:pPr>
                    <w:spacing w:after="120"/>
                    <w:rPr>
                      <w:rFonts w:cstheme="minorHAnsi"/>
                      <w:sz w:val="22"/>
                      <w:szCs w:val="22"/>
                      <w:lang w:eastAsia="es-ES"/>
                    </w:rPr>
                  </w:pPr>
                  <w:r w:rsidRPr="00EB5388">
                    <w:rPr>
                      <w:rFonts w:cstheme="minorHAnsi"/>
                      <w:b/>
                      <w:bCs/>
                      <w:sz w:val="22"/>
                      <w:szCs w:val="22"/>
                      <w:lang w:eastAsia="es-ES"/>
                    </w:rPr>
                    <w:t>ITU contributes to SDG 16:</w:t>
                  </w:r>
                </w:p>
                <w:p w14:paraId="5EBC1990" w14:textId="5F00ECB7" w:rsidR="00B91F19" w:rsidRPr="00EB5388" w:rsidRDefault="00A201CA" w:rsidP="00A201CA">
                  <w:pPr>
                    <w:tabs>
                      <w:tab w:val="clear" w:pos="567"/>
                      <w:tab w:val="clear" w:pos="1134"/>
                      <w:tab w:val="clear" w:pos="1701"/>
                      <w:tab w:val="clear" w:pos="2268"/>
                      <w:tab w:val="clear" w:pos="2835"/>
                      <w:tab w:val="left" w:pos="720"/>
                    </w:tabs>
                    <w:overflowPunct/>
                    <w:autoSpaceDE/>
                    <w:autoSpaceDN/>
                    <w:adjustRightInd/>
                    <w:spacing w:after="120"/>
                    <w:ind w:left="720" w:hanging="360"/>
                    <w:rPr>
                      <w:rFonts w:cstheme="minorHAnsi"/>
                      <w:sz w:val="22"/>
                      <w:szCs w:val="22"/>
                      <w:lang w:eastAsia="es-ES"/>
                    </w:rPr>
                  </w:pPr>
                  <w:r w:rsidRPr="00EB5388">
                    <w:rPr>
                      <w:rFonts w:ascii="Symbol" w:hAnsi="Symbol" w:cstheme="minorHAnsi"/>
                      <w:sz w:val="20"/>
                      <w:szCs w:val="22"/>
                      <w:lang w:eastAsia="es-ES"/>
                    </w:rPr>
                    <w:t></w:t>
                  </w:r>
                  <w:r w:rsidRPr="00EB5388">
                    <w:rPr>
                      <w:rFonts w:ascii="Symbol" w:hAnsi="Symbol" w:cstheme="minorHAnsi"/>
                      <w:sz w:val="20"/>
                      <w:szCs w:val="22"/>
                      <w:lang w:eastAsia="es-ES"/>
                    </w:rPr>
                    <w:tab/>
                  </w:r>
                  <w:r w:rsidR="00B91F19" w:rsidRPr="00EB5388">
                    <w:rPr>
                      <w:rFonts w:cstheme="minorHAnsi"/>
                      <w:sz w:val="22"/>
                      <w:szCs w:val="22"/>
                      <w:lang w:eastAsia="es-ES"/>
                    </w:rPr>
                    <w:t xml:space="preserve">Committed to promoting broadband, and mobile </w:t>
                  </w:r>
                  <w:proofErr w:type="gramStart"/>
                  <w:r w:rsidR="00B91F19" w:rsidRPr="00EB5388">
                    <w:rPr>
                      <w:rFonts w:cstheme="minorHAnsi"/>
                      <w:sz w:val="22"/>
                      <w:szCs w:val="22"/>
                      <w:lang w:eastAsia="es-ES"/>
                    </w:rPr>
                    <w:t>broadband in particular, to</w:t>
                  </w:r>
                  <w:proofErr w:type="gramEnd"/>
                  <w:r w:rsidR="00B91F19" w:rsidRPr="00EB5388">
                    <w:rPr>
                      <w:rFonts w:cstheme="minorHAnsi"/>
                      <w:sz w:val="22"/>
                      <w:szCs w:val="22"/>
                      <w:lang w:eastAsia="es-ES"/>
                    </w:rPr>
                    <w:t xml:space="preserve"> enable citizens to access any content, anytime, anywhere in the global information society. Enabling ICT regulatory policies promote innovative services and technologies enhancing such access and driving social and economic </w:t>
                  </w:r>
                  <w:proofErr w:type="gramStart"/>
                  <w:r w:rsidR="00B91F19" w:rsidRPr="00EB5388">
                    <w:rPr>
                      <w:rFonts w:cstheme="minorHAnsi"/>
                      <w:sz w:val="22"/>
                      <w:szCs w:val="22"/>
                      <w:lang w:eastAsia="es-ES"/>
                    </w:rPr>
                    <w:t>progress;</w:t>
                  </w:r>
                  <w:proofErr w:type="gramEnd"/>
                </w:p>
                <w:p w14:paraId="712D8CBD" w14:textId="47A34E55" w:rsidR="00B91F19" w:rsidRPr="00EB5388" w:rsidRDefault="00A201CA" w:rsidP="00A201CA">
                  <w:pPr>
                    <w:tabs>
                      <w:tab w:val="clear" w:pos="567"/>
                      <w:tab w:val="clear" w:pos="1134"/>
                      <w:tab w:val="clear" w:pos="1701"/>
                      <w:tab w:val="clear" w:pos="2268"/>
                      <w:tab w:val="clear" w:pos="2835"/>
                      <w:tab w:val="left" w:pos="720"/>
                    </w:tabs>
                    <w:overflowPunct/>
                    <w:autoSpaceDE/>
                    <w:autoSpaceDN/>
                    <w:adjustRightInd/>
                    <w:spacing w:after="120"/>
                    <w:ind w:left="720" w:hanging="360"/>
                    <w:rPr>
                      <w:rFonts w:cstheme="minorHAnsi"/>
                      <w:sz w:val="22"/>
                      <w:szCs w:val="22"/>
                      <w:lang w:eastAsia="es-ES"/>
                    </w:rPr>
                  </w:pPr>
                  <w:r w:rsidRPr="00EB5388">
                    <w:rPr>
                      <w:rFonts w:ascii="Symbol" w:hAnsi="Symbol" w:cstheme="minorHAnsi"/>
                      <w:sz w:val="20"/>
                      <w:szCs w:val="22"/>
                      <w:lang w:eastAsia="es-ES"/>
                    </w:rPr>
                    <w:t></w:t>
                  </w:r>
                  <w:r w:rsidRPr="00EB5388">
                    <w:rPr>
                      <w:rFonts w:ascii="Symbol" w:hAnsi="Symbol" w:cstheme="minorHAnsi"/>
                      <w:sz w:val="20"/>
                      <w:szCs w:val="22"/>
                      <w:lang w:eastAsia="es-ES"/>
                    </w:rPr>
                    <w:tab/>
                  </w:r>
                  <w:r w:rsidR="00B91F19" w:rsidRPr="00EB5388">
                    <w:rPr>
                      <w:rFonts w:cstheme="minorHAnsi"/>
                      <w:sz w:val="22"/>
                      <w:szCs w:val="22"/>
                      <w:lang w:eastAsia="es-ES"/>
                    </w:rPr>
                    <w:t xml:space="preserve">The monitoring of Target 16.10 by collecting and disseminating data on Internet access and usage, a key indicator for public access to </w:t>
                  </w:r>
                  <w:proofErr w:type="gramStart"/>
                  <w:r w:rsidR="00B91F19" w:rsidRPr="00EB5388">
                    <w:rPr>
                      <w:rFonts w:cstheme="minorHAnsi"/>
                      <w:sz w:val="22"/>
                      <w:szCs w:val="22"/>
                      <w:lang w:eastAsia="es-ES"/>
                    </w:rPr>
                    <w:t>information;</w:t>
                  </w:r>
                  <w:proofErr w:type="gramEnd"/>
                </w:p>
                <w:p w14:paraId="7B7D3048" w14:textId="7DD3F678" w:rsidR="00B91F19" w:rsidRPr="00EB5388" w:rsidRDefault="00A201CA" w:rsidP="00A201CA">
                  <w:pPr>
                    <w:tabs>
                      <w:tab w:val="clear" w:pos="567"/>
                      <w:tab w:val="clear" w:pos="1134"/>
                      <w:tab w:val="clear" w:pos="1701"/>
                      <w:tab w:val="clear" w:pos="2268"/>
                      <w:tab w:val="clear" w:pos="2835"/>
                      <w:tab w:val="left" w:pos="720"/>
                    </w:tabs>
                    <w:overflowPunct/>
                    <w:autoSpaceDE/>
                    <w:autoSpaceDN/>
                    <w:adjustRightInd/>
                    <w:spacing w:after="120"/>
                    <w:ind w:left="720" w:hanging="360"/>
                    <w:rPr>
                      <w:rFonts w:cstheme="minorHAnsi"/>
                      <w:sz w:val="22"/>
                      <w:szCs w:val="22"/>
                      <w:lang w:eastAsia="es-ES"/>
                    </w:rPr>
                  </w:pPr>
                  <w:r w:rsidRPr="00EB5388">
                    <w:rPr>
                      <w:rFonts w:ascii="Symbol" w:hAnsi="Symbol" w:cstheme="minorHAnsi"/>
                      <w:sz w:val="20"/>
                      <w:szCs w:val="22"/>
                      <w:lang w:eastAsia="es-ES"/>
                    </w:rPr>
                    <w:t></w:t>
                  </w:r>
                  <w:r w:rsidRPr="00EB5388">
                    <w:rPr>
                      <w:rFonts w:ascii="Symbol" w:hAnsi="Symbol" w:cstheme="minorHAnsi"/>
                      <w:sz w:val="20"/>
                      <w:szCs w:val="22"/>
                      <w:lang w:eastAsia="es-ES"/>
                    </w:rPr>
                    <w:tab/>
                  </w:r>
                  <w:r w:rsidR="00B91F19" w:rsidRPr="00EB5388">
                    <w:rPr>
                      <w:rFonts w:cstheme="minorHAnsi"/>
                      <w:sz w:val="22"/>
                      <w:szCs w:val="22"/>
                      <w:lang w:eastAsia="es-ES"/>
                    </w:rPr>
                    <w:t xml:space="preserve">Providing high-quality data, research, analyses, and tools to support membership in implementing and reviewing strategies, policies, and legal and regulatory frameworks as well as in moving towards evidence-based decision-making to achieve digital </w:t>
                  </w:r>
                  <w:proofErr w:type="gramStart"/>
                  <w:r w:rsidR="00B91F19" w:rsidRPr="00EB5388">
                    <w:rPr>
                      <w:rFonts w:cstheme="minorHAnsi"/>
                      <w:sz w:val="22"/>
                      <w:szCs w:val="22"/>
                      <w:lang w:eastAsia="es-ES"/>
                    </w:rPr>
                    <w:t>transformation;</w:t>
                  </w:r>
                  <w:proofErr w:type="gramEnd"/>
                </w:p>
                <w:p w14:paraId="0CB243A7" w14:textId="1172D7F8" w:rsidR="00B91F19" w:rsidRPr="00EB5388" w:rsidRDefault="00A201CA" w:rsidP="00A201CA">
                  <w:pPr>
                    <w:tabs>
                      <w:tab w:val="clear" w:pos="567"/>
                      <w:tab w:val="clear" w:pos="1134"/>
                      <w:tab w:val="clear" w:pos="1701"/>
                      <w:tab w:val="clear" w:pos="2268"/>
                      <w:tab w:val="clear" w:pos="2835"/>
                      <w:tab w:val="left" w:pos="720"/>
                    </w:tabs>
                    <w:overflowPunct/>
                    <w:autoSpaceDE/>
                    <w:autoSpaceDN/>
                    <w:adjustRightInd/>
                    <w:spacing w:after="120"/>
                    <w:ind w:left="720" w:hanging="360"/>
                    <w:rPr>
                      <w:rFonts w:cstheme="minorHAnsi"/>
                      <w:sz w:val="22"/>
                      <w:szCs w:val="22"/>
                      <w:lang w:eastAsia="es-ES"/>
                    </w:rPr>
                  </w:pPr>
                  <w:r w:rsidRPr="00EB5388">
                    <w:rPr>
                      <w:rFonts w:ascii="Symbol" w:hAnsi="Symbol" w:cstheme="minorHAnsi"/>
                      <w:sz w:val="20"/>
                      <w:szCs w:val="22"/>
                      <w:lang w:eastAsia="es-ES"/>
                    </w:rPr>
                    <w:t></w:t>
                  </w:r>
                  <w:r w:rsidRPr="00EB5388">
                    <w:rPr>
                      <w:rFonts w:ascii="Symbol" w:hAnsi="Symbol" w:cstheme="minorHAnsi"/>
                      <w:sz w:val="20"/>
                      <w:szCs w:val="22"/>
                      <w:lang w:eastAsia="es-ES"/>
                    </w:rPr>
                    <w:tab/>
                  </w:r>
                  <w:r w:rsidR="00B91F19" w:rsidRPr="00EB5388">
                    <w:rPr>
                      <w:rFonts w:cstheme="minorHAnsi"/>
                      <w:sz w:val="22"/>
                      <w:szCs w:val="22"/>
                      <w:lang w:eastAsia="es-ES"/>
                    </w:rPr>
                    <w:t xml:space="preserve">Capacity building initiatives in areas such as international Internet governance and training in cybersecurity. ITU also contributes to this target by providing institutional capacity support to ITU Academy Training Centres and Digital Transformation </w:t>
                  </w:r>
                  <w:proofErr w:type="spellStart"/>
                  <w:proofErr w:type="gramStart"/>
                  <w:r w:rsidR="00B91F19" w:rsidRPr="00EB5388">
                    <w:rPr>
                      <w:rFonts w:cstheme="minorHAnsi"/>
                      <w:sz w:val="22"/>
                      <w:szCs w:val="22"/>
                      <w:lang w:eastAsia="es-ES"/>
                    </w:rPr>
                    <w:t>Centers</w:t>
                  </w:r>
                  <w:proofErr w:type="spellEnd"/>
                  <w:r w:rsidR="00B91F19" w:rsidRPr="00EB5388">
                    <w:rPr>
                      <w:rFonts w:cstheme="minorHAnsi"/>
                      <w:sz w:val="22"/>
                      <w:szCs w:val="22"/>
                      <w:lang w:eastAsia="es-ES"/>
                    </w:rPr>
                    <w:t>;</w:t>
                  </w:r>
                  <w:proofErr w:type="gramEnd"/>
                </w:p>
                <w:p w14:paraId="2DDA1D22" w14:textId="3663103D" w:rsidR="00B91F19" w:rsidRPr="00EB5388" w:rsidRDefault="00A201CA" w:rsidP="00A201CA">
                  <w:pPr>
                    <w:tabs>
                      <w:tab w:val="clear" w:pos="567"/>
                      <w:tab w:val="clear" w:pos="1134"/>
                      <w:tab w:val="clear" w:pos="1701"/>
                      <w:tab w:val="clear" w:pos="2268"/>
                      <w:tab w:val="clear" w:pos="2835"/>
                      <w:tab w:val="left" w:pos="720"/>
                    </w:tabs>
                    <w:overflowPunct/>
                    <w:autoSpaceDE/>
                    <w:autoSpaceDN/>
                    <w:adjustRightInd/>
                    <w:spacing w:after="120"/>
                    <w:ind w:left="720" w:hanging="360"/>
                    <w:rPr>
                      <w:rFonts w:cstheme="minorHAnsi"/>
                      <w:sz w:val="22"/>
                      <w:szCs w:val="22"/>
                      <w:lang w:eastAsia="es-ES"/>
                    </w:rPr>
                  </w:pPr>
                  <w:r w:rsidRPr="00EB5388">
                    <w:rPr>
                      <w:rFonts w:ascii="Symbol" w:hAnsi="Symbol" w:cstheme="minorHAnsi"/>
                      <w:sz w:val="20"/>
                      <w:szCs w:val="22"/>
                      <w:lang w:eastAsia="es-ES"/>
                    </w:rPr>
                    <w:t></w:t>
                  </w:r>
                  <w:r w:rsidRPr="00EB5388">
                    <w:rPr>
                      <w:rFonts w:ascii="Symbol" w:hAnsi="Symbol" w:cstheme="minorHAnsi"/>
                      <w:sz w:val="20"/>
                      <w:szCs w:val="22"/>
                      <w:lang w:eastAsia="es-ES"/>
                    </w:rPr>
                    <w:tab/>
                  </w:r>
                  <w:r w:rsidR="00B91F19" w:rsidRPr="00EB5388">
                    <w:rPr>
                      <w:rFonts w:cstheme="minorHAnsi"/>
                      <w:sz w:val="22"/>
                      <w:szCs w:val="22"/>
                      <w:lang w:eastAsia="es-ES"/>
                    </w:rPr>
                    <w:t xml:space="preserve">The creation and ongoing capacity building of ICT regulatory authorities. ITU regular activities such as the Global Symposium for Regulators allow for a constructive discussion on topical regulatory issues and identify best practice guidelines while ad </w:t>
                  </w:r>
                  <w:r w:rsidR="00B91F19" w:rsidRPr="00EB5388">
                    <w:rPr>
                      <w:rFonts w:cstheme="minorHAnsi"/>
                      <w:sz w:val="22"/>
                      <w:szCs w:val="22"/>
                      <w:lang w:eastAsia="es-ES"/>
                    </w:rPr>
                    <w:lastRenderedPageBreak/>
                    <w:t xml:space="preserve">hoc targeted assistance intervenes to leverage on those and provide for policy choices opening ways to new digital </w:t>
                  </w:r>
                  <w:proofErr w:type="gramStart"/>
                  <w:r w:rsidR="00B91F19" w:rsidRPr="00EB5388">
                    <w:rPr>
                      <w:rFonts w:cstheme="minorHAnsi"/>
                      <w:sz w:val="22"/>
                      <w:szCs w:val="22"/>
                      <w:lang w:eastAsia="es-ES"/>
                    </w:rPr>
                    <w:t>opportunities;</w:t>
                  </w:r>
                  <w:proofErr w:type="gramEnd"/>
                </w:p>
                <w:p w14:paraId="239C756C" w14:textId="35C3DF87" w:rsidR="00B91F19" w:rsidRPr="00EB5388" w:rsidRDefault="00A201CA" w:rsidP="00A201CA">
                  <w:pPr>
                    <w:keepNext/>
                    <w:keepLines/>
                    <w:tabs>
                      <w:tab w:val="clear" w:pos="567"/>
                      <w:tab w:val="clear" w:pos="1134"/>
                      <w:tab w:val="clear" w:pos="1701"/>
                      <w:tab w:val="clear" w:pos="2268"/>
                      <w:tab w:val="clear" w:pos="2835"/>
                      <w:tab w:val="left" w:pos="720"/>
                    </w:tabs>
                    <w:overflowPunct/>
                    <w:autoSpaceDE/>
                    <w:autoSpaceDN/>
                    <w:adjustRightInd/>
                    <w:spacing w:after="120"/>
                    <w:ind w:left="714" w:hanging="357"/>
                    <w:rPr>
                      <w:rFonts w:cstheme="minorHAnsi"/>
                      <w:sz w:val="22"/>
                      <w:szCs w:val="22"/>
                      <w:lang w:eastAsia="es-ES"/>
                    </w:rPr>
                  </w:pPr>
                  <w:r w:rsidRPr="00EB5388">
                    <w:rPr>
                      <w:rFonts w:ascii="Symbol" w:hAnsi="Symbol" w:cstheme="minorHAnsi"/>
                      <w:sz w:val="20"/>
                      <w:szCs w:val="22"/>
                      <w:lang w:eastAsia="es-ES"/>
                    </w:rPr>
                    <w:t></w:t>
                  </w:r>
                  <w:r w:rsidRPr="00EB5388">
                    <w:rPr>
                      <w:rFonts w:ascii="Symbol" w:hAnsi="Symbol" w:cstheme="minorHAnsi"/>
                      <w:sz w:val="20"/>
                      <w:szCs w:val="22"/>
                      <w:lang w:eastAsia="es-ES"/>
                    </w:rPr>
                    <w:tab/>
                  </w:r>
                  <w:r w:rsidR="00B91F19" w:rsidRPr="00EB5388">
                    <w:rPr>
                      <w:rFonts w:cstheme="minorHAnsi"/>
                      <w:sz w:val="22"/>
                      <w:szCs w:val="22"/>
                      <w:lang w:eastAsia="es-ES"/>
                    </w:rPr>
                    <w:t xml:space="preserve">Through the newly established Network of Digital Regulators, there is acceleration of sustainable digital transformation through common approaches to collaborative digital policy, regulation and governance across economic sectors and across borders. The Network is enabled by Regulatory Associations (RAs) at the regional and global level by leveraging South-South, North-South and triangular </w:t>
                  </w:r>
                  <w:proofErr w:type="gramStart"/>
                  <w:r w:rsidR="00B91F19" w:rsidRPr="00EB5388">
                    <w:rPr>
                      <w:rFonts w:cstheme="minorHAnsi"/>
                      <w:sz w:val="22"/>
                      <w:szCs w:val="22"/>
                      <w:lang w:eastAsia="es-ES"/>
                    </w:rPr>
                    <w:t>cooperation;</w:t>
                  </w:r>
                  <w:proofErr w:type="gramEnd"/>
                </w:p>
                <w:p w14:paraId="4451826E" w14:textId="73BD0709" w:rsidR="00B91F19" w:rsidRPr="00EB5388" w:rsidRDefault="00A201CA" w:rsidP="00A201CA">
                  <w:pPr>
                    <w:tabs>
                      <w:tab w:val="clear" w:pos="567"/>
                      <w:tab w:val="clear" w:pos="1134"/>
                      <w:tab w:val="clear" w:pos="1701"/>
                      <w:tab w:val="clear" w:pos="2268"/>
                      <w:tab w:val="clear" w:pos="2835"/>
                      <w:tab w:val="left" w:pos="720"/>
                    </w:tabs>
                    <w:overflowPunct/>
                    <w:autoSpaceDE/>
                    <w:autoSpaceDN/>
                    <w:adjustRightInd/>
                    <w:spacing w:after="120"/>
                    <w:ind w:left="720" w:hanging="360"/>
                    <w:rPr>
                      <w:rFonts w:cstheme="minorHAnsi"/>
                      <w:sz w:val="22"/>
                      <w:szCs w:val="22"/>
                      <w:lang w:eastAsia="es-ES"/>
                    </w:rPr>
                  </w:pPr>
                  <w:r w:rsidRPr="00EB5388">
                    <w:rPr>
                      <w:rFonts w:ascii="Symbol" w:hAnsi="Symbol" w:cstheme="minorHAnsi"/>
                      <w:sz w:val="20"/>
                      <w:szCs w:val="22"/>
                      <w:lang w:eastAsia="es-ES"/>
                    </w:rPr>
                    <w:t></w:t>
                  </w:r>
                  <w:r w:rsidRPr="00EB5388">
                    <w:rPr>
                      <w:rFonts w:ascii="Symbol" w:hAnsi="Symbol" w:cstheme="minorHAnsi"/>
                      <w:sz w:val="20"/>
                      <w:szCs w:val="22"/>
                      <w:lang w:eastAsia="es-ES"/>
                    </w:rPr>
                    <w:tab/>
                  </w:r>
                  <w:r w:rsidR="00B91F19" w:rsidRPr="00EB5388">
                    <w:rPr>
                      <w:rFonts w:cstheme="minorHAnsi"/>
                      <w:sz w:val="22"/>
                      <w:szCs w:val="22"/>
                      <w:lang w:eastAsia="es-ES"/>
                    </w:rPr>
                    <w:t xml:space="preserve">Developing various platforms for developing a common understanding, vision and strategy on ICTs and multiple collaboration mechanisms are put in place to further the dialogue among regulatory authorities as well as with industry, consumers and other </w:t>
                  </w:r>
                  <w:proofErr w:type="gramStart"/>
                  <w:r w:rsidR="00B91F19" w:rsidRPr="00EB5388">
                    <w:rPr>
                      <w:rFonts w:cstheme="minorHAnsi"/>
                      <w:sz w:val="22"/>
                      <w:szCs w:val="22"/>
                      <w:lang w:eastAsia="es-ES"/>
                    </w:rPr>
                    <w:t>stakeholders;</w:t>
                  </w:r>
                  <w:proofErr w:type="gramEnd"/>
                </w:p>
                <w:p w14:paraId="060599C5" w14:textId="7F54D003" w:rsidR="00B91F19" w:rsidRPr="00EB5388" w:rsidRDefault="00A201CA" w:rsidP="00A201CA">
                  <w:pPr>
                    <w:tabs>
                      <w:tab w:val="clear" w:pos="567"/>
                      <w:tab w:val="clear" w:pos="1134"/>
                      <w:tab w:val="clear" w:pos="1701"/>
                      <w:tab w:val="clear" w:pos="2268"/>
                      <w:tab w:val="clear" w:pos="2835"/>
                      <w:tab w:val="left" w:pos="720"/>
                    </w:tabs>
                    <w:overflowPunct/>
                    <w:autoSpaceDE/>
                    <w:autoSpaceDN/>
                    <w:adjustRightInd/>
                    <w:spacing w:after="120"/>
                    <w:ind w:left="720" w:hanging="360"/>
                    <w:rPr>
                      <w:rFonts w:cstheme="minorHAnsi"/>
                      <w:sz w:val="22"/>
                      <w:szCs w:val="22"/>
                      <w:lang w:eastAsia="es-ES"/>
                    </w:rPr>
                  </w:pPr>
                  <w:r w:rsidRPr="00EB5388">
                    <w:rPr>
                      <w:rFonts w:ascii="Symbol" w:hAnsi="Symbol" w:cstheme="minorHAnsi"/>
                      <w:sz w:val="20"/>
                      <w:szCs w:val="22"/>
                      <w:lang w:eastAsia="es-ES"/>
                    </w:rPr>
                    <w:t></w:t>
                  </w:r>
                  <w:r w:rsidRPr="00EB5388">
                    <w:rPr>
                      <w:rFonts w:ascii="Symbol" w:hAnsi="Symbol" w:cstheme="minorHAnsi"/>
                      <w:sz w:val="20"/>
                      <w:szCs w:val="22"/>
                      <w:lang w:eastAsia="es-ES"/>
                    </w:rPr>
                    <w:tab/>
                  </w:r>
                  <w:r w:rsidR="00B91F19" w:rsidRPr="00EB5388">
                    <w:rPr>
                      <w:rFonts w:cstheme="minorHAnsi"/>
                      <w:sz w:val="22"/>
                      <w:szCs w:val="22"/>
                      <w:lang w:eastAsia="es-ES"/>
                    </w:rPr>
                    <w:t xml:space="preserve">Acting as a partner to ICT regulators and policy makers as well as to the private sector to further ICT development and social inclusion, by facilitating and creating partnerships, such as private-public-partnerships (PPP), with aid-donors, governments, ministries and NGOs, </w:t>
                  </w:r>
                  <w:proofErr w:type="gramStart"/>
                  <w:r w:rsidR="00B91F19" w:rsidRPr="00EB5388">
                    <w:rPr>
                      <w:rFonts w:cstheme="minorHAnsi"/>
                      <w:sz w:val="22"/>
                      <w:szCs w:val="22"/>
                      <w:lang w:eastAsia="es-ES"/>
                    </w:rPr>
                    <w:t>in particular to</w:t>
                  </w:r>
                  <w:proofErr w:type="gramEnd"/>
                  <w:r w:rsidR="00B91F19" w:rsidRPr="00EB5388">
                    <w:rPr>
                      <w:rFonts w:cstheme="minorHAnsi"/>
                      <w:sz w:val="22"/>
                      <w:szCs w:val="22"/>
                      <w:lang w:eastAsia="es-ES"/>
                    </w:rPr>
                    <w:t xml:space="preserve"> meet universal access goals for rural, remote and unserved areas and for people with special </w:t>
                  </w:r>
                  <w:proofErr w:type="gramStart"/>
                  <w:r w:rsidR="00B91F19" w:rsidRPr="00EB5388">
                    <w:rPr>
                      <w:rFonts w:cstheme="minorHAnsi"/>
                      <w:sz w:val="22"/>
                      <w:szCs w:val="22"/>
                      <w:lang w:eastAsia="es-ES"/>
                    </w:rPr>
                    <w:t>needs;</w:t>
                  </w:r>
                  <w:proofErr w:type="gramEnd"/>
                  <w:r w:rsidR="00B91F19" w:rsidRPr="00EB5388">
                    <w:rPr>
                      <w:rFonts w:cstheme="minorHAnsi"/>
                      <w:sz w:val="22"/>
                      <w:szCs w:val="22"/>
                      <w:lang w:eastAsia="es-ES"/>
                    </w:rPr>
                    <w:t> </w:t>
                  </w:r>
                </w:p>
                <w:p w14:paraId="1FE8CBF2" w14:textId="63FD167E" w:rsidR="00B91F19" w:rsidRPr="00EB5388" w:rsidRDefault="00A201CA" w:rsidP="00A201CA">
                  <w:pPr>
                    <w:tabs>
                      <w:tab w:val="clear" w:pos="567"/>
                      <w:tab w:val="clear" w:pos="1134"/>
                      <w:tab w:val="clear" w:pos="1701"/>
                      <w:tab w:val="clear" w:pos="2268"/>
                      <w:tab w:val="clear" w:pos="2835"/>
                      <w:tab w:val="left" w:pos="720"/>
                    </w:tabs>
                    <w:overflowPunct/>
                    <w:autoSpaceDE/>
                    <w:autoSpaceDN/>
                    <w:adjustRightInd/>
                    <w:spacing w:after="120"/>
                    <w:ind w:left="720" w:hanging="360"/>
                    <w:rPr>
                      <w:rFonts w:cstheme="minorHAnsi"/>
                      <w:sz w:val="22"/>
                      <w:szCs w:val="22"/>
                      <w:lang w:eastAsia="es-ES"/>
                    </w:rPr>
                  </w:pPr>
                  <w:r w:rsidRPr="00EB5388">
                    <w:rPr>
                      <w:rFonts w:ascii="Symbol" w:hAnsi="Symbol" w:cstheme="minorHAnsi"/>
                      <w:sz w:val="20"/>
                      <w:szCs w:val="22"/>
                      <w:lang w:eastAsia="es-ES"/>
                    </w:rPr>
                    <w:t></w:t>
                  </w:r>
                  <w:r w:rsidRPr="00EB5388">
                    <w:rPr>
                      <w:rFonts w:ascii="Symbol" w:hAnsi="Symbol" w:cstheme="minorHAnsi"/>
                      <w:sz w:val="20"/>
                      <w:szCs w:val="22"/>
                      <w:lang w:eastAsia="es-ES"/>
                    </w:rPr>
                    <w:tab/>
                  </w:r>
                  <w:r w:rsidR="00B91F19" w:rsidRPr="00EB5388">
                    <w:rPr>
                      <w:rFonts w:cstheme="minorHAnsi"/>
                      <w:sz w:val="22"/>
                      <w:szCs w:val="22"/>
                      <w:lang w:eastAsia="es-ES"/>
                    </w:rPr>
                    <w:t xml:space="preserve">Promoting and facilitating international cooperation on specialized fields such as cybersecurity, together with other UN agencies, </w:t>
                  </w:r>
                  <w:proofErr w:type="gramStart"/>
                  <w:r w:rsidR="00B91F19" w:rsidRPr="00EB5388">
                    <w:rPr>
                      <w:rFonts w:cstheme="minorHAnsi"/>
                      <w:sz w:val="22"/>
                      <w:szCs w:val="22"/>
                      <w:lang w:eastAsia="es-ES"/>
                    </w:rPr>
                    <w:t>in order to</w:t>
                  </w:r>
                  <w:proofErr w:type="gramEnd"/>
                  <w:r w:rsidR="00B91F19" w:rsidRPr="00EB5388">
                    <w:rPr>
                      <w:rFonts w:cstheme="minorHAnsi"/>
                      <w:sz w:val="22"/>
                      <w:szCs w:val="22"/>
                      <w:lang w:eastAsia="es-ES"/>
                    </w:rPr>
                    <w:t xml:space="preserve"> contribute to the achievement of peace and international </w:t>
                  </w:r>
                  <w:proofErr w:type="gramStart"/>
                  <w:r w:rsidR="00B91F19" w:rsidRPr="00EB5388">
                    <w:rPr>
                      <w:rFonts w:cstheme="minorHAnsi"/>
                      <w:sz w:val="22"/>
                      <w:szCs w:val="22"/>
                      <w:lang w:eastAsia="es-ES"/>
                    </w:rPr>
                    <w:t>security;</w:t>
                  </w:r>
                  <w:proofErr w:type="gramEnd"/>
                  <w:r w:rsidR="00B91F19" w:rsidRPr="00EB5388">
                    <w:rPr>
                      <w:rFonts w:cstheme="minorHAnsi"/>
                      <w:sz w:val="22"/>
                      <w:szCs w:val="22"/>
                      <w:lang w:eastAsia="es-ES"/>
                    </w:rPr>
                    <w:t> </w:t>
                  </w:r>
                </w:p>
                <w:p w14:paraId="40E4D14A" w14:textId="30E533B3" w:rsidR="00B91F19" w:rsidRPr="00EB5388" w:rsidRDefault="00A201CA" w:rsidP="00A201CA">
                  <w:pPr>
                    <w:tabs>
                      <w:tab w:val="clear" w:pos="567"/>
                      <w:tab w:val="clear" w:pos="1134"/>
                      <w:tab w:val="clear" w:pos="1701"/>
                      <w:tab w:val="clear" w:pos="2268"/>
                      <w:tab w:val="clear" w:pos="2835"/>
                      <w:tab w:val="left" w:pos="720"/>
                    </w:tabs>
                    <w:overflowPunct/>
                    <w:autoSpaceDE/>
                    <w:autoSpaceDN/>
                    <w:adjustRightInd/>
                    <w:spacing w:after="120"/>
                    <w:ind w:left="720" w:hanging="360"/>
                    <w:rPr>
                      <w:rFonts w:cstheme="minorHAnsi"/>
                      <w:sz w:val="22"/>
                      <w:szCs w:val="22"/>
                      <w:lang w:eastAsia="es-ES"/>
                    </w:rPr>
                  </w:pPr>
                  <w:r w:rsidRPr="00EB5388">
                    <w:rPr>
                      <w:rFonts w:ascii="Symbol" w:hAnsi="Symbol" w:cstheme="minorHAnsi"/>
                      <w:sz w:val="20"/>
                      <w:szCs w:val="22"/>
                      <w:lang w:eastAsia="es-ES"/>
                    </w:rPr>
                    <w:t></w:t>
                  </w:r>
                  <w:r w:rsidRPr="00EB5388">
                    <w:rPr>
                      <w:rFonts w:ascii="Symbol" w:hAnsi="Symbol" w:cstheme="minorHAnsi"/>
                      <w:sz w:val="20"/>
                      <w:szCs w:val="22"/>
                      <w:lang w:eastAsia="es-ES"/>
                    </w:rPr>
                    <w:tab/>
                  </w:r>
                  <w:r w:rsidR="00B91F19" w:rsidRPr="00EB5388">
                    <w:rPr>
                      <w:rFonts w:cstheme="minorHAnsi"/>
                      <w:sz w:val="22"/>
                      <w:szCs w:val="22"/>
                      <w:lang w:eastAsia="es-ES"/>
                    </w:rPr>
                    <w:t xml:space="preserve">Monitoring commitment to cybersecurity worldwide, through the </w:t>
                  </w:r>
                  <w:hyperlink r:id="rId40">
                    <w:r w:rsidR="00B91F19" w:rsidRPr="00EB5388">
                      <w:rPr>
                        <w:rFonts w:cstheme="minorHAnsi"/>
                        <w:sz w:val="22"/>
                        <w:szCs w:val="22"/>
                        <w:lang w:eastAsia="es-ES"/>
                      </w:rPr>
                      <w:t>ITU Global Cybersecurity Index</w:t>
                    </w:r>
                  </w:hyperlink>
                  <w:r w:rsidR="00B91F19" w:rsidRPr="00EB5388">
                    <w:rPr>
                      <w:rFonts w:cstheme="minorHAnsi"/>
                      <w:sz w:val="22"/>
                      <w:szCs w:val="22"/>
                      <w:lang w:eastAsia="es-ES"/>
                    </w:rPr>
                    <w:t xml:space="preserve"> (GCI), assessing national cybersecurity strategies, national plans or policies, capacity development questions,</w:t>
                  </w:r>
                  <w:r w:rsidR="00B91F19">
                    <w:rPr>
                      <w:rFonts w:cstheme="minorHAnsi"/>
                      <w:sz w:val="22"/>
                      <w:szCs w:val="22"/>
                      <w:lang w:eastAsia="es-ES"/>
                    </w:rPr>
                    <w:t xml:space="preserve"> </w:t>
                  </w:r>
                  <w:r w:rsidR="00B91F19" w:rsidRPr="00EB5388">
                    <w:rPr>
                      <w:rFonts w:cstheme="minorHAnsi"/>
                      <w:sz w:val="22"/>
                      <w:szCs w:val="22"/>
                      <w:lang w:eastAsia="es-ES"/>
                    </w:rPr>
                    <w:t>response teams and technical aspects, specific legislation to counter the threats as well as cooperation amongst ITU Member States;  </w:t>
                  </w:r>
                </w:p>
                <w:p w14:paraId="253DDD93" w14:textId="1C9F935E" w:rsidR="00B91F19" w:rsidRPr="00EB5388" w:rsidRDefault="00A201CA" w:rsidP="00A201CA">
                  <w:pPr>
                    <w:tabs>
                      <w:tab w:val="clear" w:pos="567"/>
                      <w:tab w:val="clear" w:pos="1134"/>
                      <w:tab w:val="clear" w:pos="1701"/>
                      <w:tab w:val="clear" w:pos="2268"/>
                      <w:tab w:val="clear" w:pos="2835"/>
                      <w:tab w:val="left" w:pos="720"/>
                    </w:tabs>
                    <w:overflowPunct/>
                    <w:autoSpaceDE/>
                    <w:autoSpaceDN/>
                    <w:adjustRightInd/>
                    <w:spacing w:after="120"/>
                    <w:ind w:left="720" w:hanging="360"/>
                    <w:rPr>
                      <w:rFonts w:cstheme="minorHAnsi"/>
                      <w:sz w:val="22"/>
                      <w:szCs w:val="22"/>
                      <w:lang w:eastAsia="es-ES"/>
                    </w:rPr>
                  </w:pPr>
                  <w:r w:rsidRPr="00EB5388">
                    <w:rPr>
                      <w:rFonts w:ascii="Symbol" w:hAnsi="Symbol" w:cstheme="minorHAnsi"/>
                      <w:sz w:val="20"/>
                      <w:szCs w:val="22"/>
                      <w:lang w:eastAsia="es-ES"/>
                    </w:rPr>
                    <w:t></w:t>
                  </w:r>
                  <w:r w:rsidRPr="00EB5388">
                    <w:rPr>
                      <w:rFonts w:ascii="Symbol" w:hAnsi="Symbol" w:cstheme="minorHAnsi"/>
                      <w:sz w:val="20"/>
                      <w:szCs w:val="22"/>
                      <w:lang w:eastAsia="es-ES"/>
                    </w:rPr>
                    <w:tab/>
                  </w:r>
                  <w:proofErr w:type="gramStart"/>
                  <w:r w:rsidR="00B91F19" w:rsidRPr="00EB5388">
                    <w:rPr>
                      <w:rFonts w:cstheme="minorHAnsi"/>
                      <w:sz w:val="22"/>
                      <w:szCs w:val="22"/>
                      <w:lang w:eastAsia="es-ES"/>
                    </w:rPr>
                    <w:t>Providing assistance to</w:t>
                  </w:r>
                  <w:proofErr w:type="gramEnd"/>
                  <w:r w:rsidR="00B91F19" w:rsidRPr="00EB5388">
                    <w:rPr>
                      <w:rFonts w:cstheme="minorHAnsi"/>
                      <w:sz w:val="22"/>
                      <w:szCs w:val="22"/>
                      <w:lang w:eastAsia="es-ES"/>
                    </w:rPr>
                    <w:t xml:space="preserve"> countries in field of legislation, national cybersecurity strategies (NCS), computer incident response teams (CIRTs), awareness and capacity development to communicate the strategies, and capabilities and programmes in the field of cybersecurity through annual Global </w:t>
                  </w:r>
                  <w:proofErr w:type="spellStart"/>
                  <w:r w:rsidR="00B91F19" w:rsidRPr="00EB5388">
                    <w:rPr>
                      <w:rFonts w:cstheme="minorHAnsi"/>
                      <w:sz w:val="22"/>
                      <w:szCs w:val="22"/>
                      <w:lang w:eastAsia="es-ES"/>
                    </w:rPr>
                    <w:t>Cyberdrill</w:t>
                  </w:r>
                  <w:proofErr w:type="spellEnd"/>
                  <w:r w:rsidR="00B91F19" w:rsidRPr="00EB5388">
                    <w:rPr>
                      <w:rFonts w:cstheme="minorHAnsi"/>
                      <w:sz w:val="22"/>
                      <w:szCs w:val="22"/>
                      <w:lang w:eastAsia="es-ES"/>
                    </w:rPr>
                    <w:t xml:space="preserve"> </w:t>
                  </w:r>
                  <w:proofErr w:type="gramStart"/>
                  <w:r w:rsidR="00B91F19" w:rsidRPr="00EB5388">
                    <w:rPr>
                      <w:rFonts w:cstheme="minorHAnsi"/>
                      <w:sz w:val="22"/>
                      <w:szCs w:val="22"/>
                      <w:lang w:eastAsia="es-ES"/>
                    </w:rPr>
                    <w:t>events;</w:t>
                  </w:r>
                  <w:proofErr w:type="gramEnd"/>
                </w:p>
                <w:p w14:paraId="516A1423" w14:textId="46ED6745" w:rsidR="00B91F19" w:rsidRPr="00EB5388" w:rsidRDefault="00A201CA" w:rsidP="00A201CA">
                  <w:pPr>
                    <w:tabs>
                      <w:tab w:val="clear" w:pos="567"/>
                      <w:tab w:val="clear" w:pos="1134"/>
                      <w:tab w:val="clear" w:pos="1701"/>
                      <w:tab w:val="clear" w:pos="2268"/>
                      <w:tab w:val="clear" w:pos="2835"/>
                      <w:tab w:val="left" w:pos="720"/>
                    </w:tabs>
                    <w:overflowPunct/>
                    <w:autoSpaceDE/>
                    <w:autoSpaceDN/>
                    <w:adjustRightInd/>
                    <w:spacing w:after="120"/>
                    <w:ind w:left="720" w:hanging="360"/>
                    <w:rPr>
                      <w:rFonts w:cstheme="minorHAnsi"/>
                      <w:sz w:val="22"/>
                      <w:szCs w:val="22"/>
                      <w:lang w:eastAsia="es-ES"/>
                    </w:rPr>
                  </w:pPr>
                  <w:r w:rsidRPr="00EB5388">
                    <w:rPr>
                      <w:rFonts w:ascii="Symbol" w:hAnsi="Symbol" w:cstheme="minorHAnsi"/>
                      <w:sz w:val="20"/>
                      <w:szCs w:val="22"/>
                      <w:lang w:eastAsia="es-ES"/>
                    </w:rPr>
                    <w:t></w:t>
                  </w:r>
                  <w:r w:rsidRPr="00EB5388">
                    <w:rPr>
                      <w:rFonts w:ascii="Symbol" w:hAnsi="Symbol" w:cstheme="minorHAnsi"/>
                      <w:sz w:val="20"/>
                      <w:szCs w:val="22"/>
                      <w:lang w:eastAsia="es-ES"/>
                    </w:rPr>
                    <w:tab/>
                  </w:r>
                  <w:r w:rsidR="00B91F19" w:rsidRPr="00EB5388">
                    <w:rPr>
                      <w:rFonts w:cstheme="minorHAnsi"/>
                      <w:sz w:val="22"/>
                      <w:szCs w:val="22"/>
                      <w:lang w:eastAsia="es-ES"/>
                    </w:rPr>
                    <w:t xml:space="preserve">Rolling out the Global Child Online Protection Guidelines worldwide, ensuring the mainstreaming of the set of recommendations for all relevant stakeholders on how to contribute to the development of a safe and empowering online environment for children and young people. COP Guidelines are now available in over 15 national </w:t>
                  </w:r>
                  <w:proofErr w:type="gramStart"/>
                  <w:r w:rsidR="00B91F19" w:rsidRPr="00EB5388">
                    <w:rPr>
                      <w:rFonts w:cstheme="minorHAnsi"/>
                      <w:sz w:val="22"/>
                      <w:szCs w:val="22"/>
                      <w:lang w:eastAsia="es-ES"/>
                    </w:rPr>
                    <w:t>languages;</w:t>
                  </w:r>
                  <w:proofErr w:type="gramEnd"/>
                  <w:r w:rsidR="00B91F19" w:rsidRPr="00EB5388">
                    <w:rPr>
                      <w:rFonts w:cstheme="minorHAnsi"/>
                      <w:sz w:val="22"/>
                      <w:szCs w:val="22"/>
                      <w:lang w:eastAsia="es-ES"/>
                    </w:rPr>
                    <w:t xml:space="preserve"> </w:t>
                  </w:r>
                </w:p>
                <w:p w14:paraId="6D936458" w14:textId="1DFAF101" w:rsidR="00B91F19" w:rsidRPr="00EB5388" w:rsidRDefault="00A201CA" w:rsidP="00A201CA">
                  <w:pPr>
                    <w:tabs>
                      <w:tab w:val="clear" w:pos="567"/>
                      <w:tab w:val="clear" w:pos="1134"/>
                      <w:tab w:val="clear" w:pos="1701"/>
                      <w:tab w:val="clear" w:pos="2268"/>
                      <w:tab w:val="clear" w:pos="2835"/>
                      <w:tab w:val="left" w:pos="720"/>
                    </w:tabs>
                    <w:overflowPunct/>
                    <w:autoSpaceDE/>
                    <w:autoSpaceDN/>
                    <w:adjustRightInd/>
                    <w:spacing w:after="120"/>
                    <w:ind w:left="720" w:hanging="360"/>
                    <w:rPr>
                      <w:rFonts w:cstheme="minorHAnsi"/>
                      <w:sz w:val="22"/>
                      <w:szCs w:val="22"/>
                      <w:lang w:eastAsia="es-ES"/>
                    </w:rPr>
                  </w:pPr>
                  <w:r w:rsidRPr="00EB5388">
                    <w:rPr>
                      <w:rFonts w:ascii="Symbol" w:hAnsi="Symbol" w:cstheme="minorHAnsi"/>
                      <w:sz w:val="20"/>
                      <w:szCs w:val="22"/>
                      <w:lang w:eastAsia="es-ES"/>
                    </w:rPr>
                    <w:t></w:t>
                  </w:r>
                  <w:r w:rsidRPr="00EB5388">
                    <w:rPr>
                      <w:rFonts w:ascii="Symbol" w:hAnsi="Symbol" w:cstheme="minorHAnsi"/>
                      <w:sz w:val="20"/>
                      <w:szCs w:val="22"/>
                      <w:lang w:eastAsia="es-ES"/>
                    </w:rPr>
                    <w:tab/>
                  </w:r>
                  <w:r w:rsidR="00B91F19" w:rsidRPr="00EB5388">
                    <w:rPr>
                      <w:rFonts w:cstheme="minorHAnsi"/>
                      <w:sz w:val="22"/>
                      <w:szCs w:val="22"/>
                      <w:lang w:eastAsia="es-ES"/>
                    </w:rPr>
                    <w:t>Under the Generation Connect initiative engaging global youth and encourage their participation as equal partners alongside the leaders of today</w:t>
                  </w:r>
                  <w:r w:rsidR="00774D26">
                    <w:rPr>
                      <w:rFonts w:cstheme="minorHAnsi"/>
                      <w:sz w:val="22"/>
                      <w:szCs w:val="22"/>
                      <w:lang w:eastAsia="es-ES"/>
                    </w:rPr>
                    <w:t>’</w:t>
                  </w:r>
                  <w:r w:rsidR="00B91F19" w:rsidRPr="00EB5388">
                    <w:rPr>
                      <w:rFonts w:cstheme="minorHAnsi"/>
                      <w:sz w:val="22"/>
                      <w:szCs w:val="22"/>
                      <w:lang w:eastAsia="es-ES"/>
                    </w:rPr>
                    <w:t xml:space="preserve">s digital change, empowering young people with the skills and opportunities to advance their vision of a connected future. Preparing the foundations for the preparations towards the 2025 Global Youth </w:t>
                  </w:r>
                  <w:proofErr w:type="gramStart"/>
                  <w:r w:rsidR="00B91F19" w:rsidRPr="00EB5388">
                    <w:rPr>
                      <w:rFonts w:cstheme="minorHAnsi"/>
                      <w:sz w:val="22"/>
                      <w:szCs w:val="22"/>
                      <w:lang w:eastAsia="es-ES"/>
                    </w:rPr>
                    <w:t>Summit;</w:t>
                  </w:r>
                  <w:proofErr w:type="gramEnd"/>
                </w:p>
                <w:p w14:paraId="4A7D77CF" w14:textId="5EE47036" w:rsidR="00B91F19" w:rsidRPr="00EB5388" w:rsidRDefault="00A201CA" w:rsidP="00A201CA">
                  <w:pPr>
                    <w:tabs>
                      <w:tab w:val="clear" w:pos="567"/>
                      <w:tab w:val="clear" w:pos="1134"/>
                      <w:tab w:val="clear" w:pos="1701"/>
                      <w:tab w:val="clear" w:pos="2268"/>
                      <w:tab w:val="clear" w:pos="2835"/>
                      <w:tab w:val="left" w:pos="720"/>
                    </w:tabs>
                    <w:overflowPunct/>
                    <w:autoSpaceDE/>
                    <w:autoSpaceDN/>
                    <w:adjustRightInd/>
                    <w:spacing w:after="120"/>
                    <w:ind w:left="720" w:hanging="360"/>
                    <w:rPr>
                      <w:rFonts w:cstheme="minorHAnsi"/>
                      <w:sz w:val="22"/>
                      <w:szCs w:val="22"/>
                      <w:lang w:eastAsia="es-ES"/>
                    </w:rPr>
                  </w:pPr>
                  <w:r w:rsidRPr="00EB5388">
                    <w:rPr>
                      <w:rFonts w:ascii="Symbol" w:hAnsi="Symbol" w:cstheme="minorHAnsi"/>
                      <w:sz w:val="20"/>
                      <w:szCs w:val="22"/>
                      <w:lang w:eastAsia="es-ES"/>
                    </w:rPr>
                    <w:t></w:t>
                  </w:r>
                  <w:r w:rsidRPr="00EB5388">
                    <w:rPr>
                      <w:rFonts w:ascii="Symbol" w:hAnsi="Symbol" w:cstheme="minorHAnsi"/>
                      <w:sz w:val="20"/>
                      <w:szCs w:val="22"/>
                      <w:lang w:eastAsia="es-ES"/>
                    </w:rPr>
                    <w:tab/>
                  </w:r>
                  <w:r w:rsidR="00B91F19" w:rsidRPr="00EB5388">
                    <w:rPr>
                      <w:rFonts w:cstheme="minorHAnsi"/>
                      <w:sz w:val="22"/>
                      <w:szCs w:val="22"/>
                      <w:lang w:eastAsia="es-ES"/>
                    </w:rPr>
                    <w:t xml:space="preserve">Providing globally harmonized spectrum and standards, ITU enables the development of mobile broadband, satellite and terrestrial sound and television broadcasting and their wider penetration, thus facilitating public access to information and protection of fundamental </w:t>
                  </w:r>
                  <w:proofErr w:type="gramStart"/>
                  <w:r w:rsidR="00B91F19" w:rsidRPr="00EB5388">
                    <w:rPr>
                      <w:rFonts w:cstheme="minorHAnsi"/>
                      <w:sz w:val="22"/>
                      <w:szCs w:val="22"/>
                      <w:lang w:eastAsia="es-ES"/>
                    </w:rPr>
                    <w:t>freedoms;</w:t>
                  </w:r>
                  <w:proofErr w:type="gramEnd"/>
                </w:p>
                <w:p w14:paraId="4A6A1325" w14:textId="5EA4447E" w:rsidR="00B91F19" w:rsidRPr="00EB5388" w:rsidRDefault="00A201CA" w:rsidP="00A201CA">
                  <w:pPr>
                    <w:tabs>
                      <w:tab w:val="clear" w:pos="567"/>
                      <w:tab w:val="clear" w:pos="1134"/>
                      <w:tab w:val="clear" w:pos="1701"/>
                      <w:tab w:val="clear" w:pos="2268"/>
                      <w:tab w:val="clear" w:pos="2835"/>
                      <w:tab w:val="left" w:pos="720"/>
                    </w:tabs>
                    <w:overflowPunct/>
                    <w:autoSpaceDE/>
                    <w:autoSpaceDN/>
                    <w:adjustRightInd/>
                    <w:spacing w:after="240"/>
                    <w:ind w:left="720" w:hanging="360"/>
                    <w:rPr>
                      <w:rFonts w:asciiTheme="minorHAnsi" w:hAnsiTheme="minorHAnsi" w:cstheme="minorHAnsi"/>
                      <w:sz w:val="22"/>
                      <w:szCs w:val="22"/>
                      <w:lang w:eastAsia="es-ES"/>
                    </w:rPr>
                  </w:pPr>
                  <w:r w:rsidRPr="00EB5388">
                    <w:rPr>
                      <w:rFonts w:ascii="Symbol" w:hAnsi="Symbol" w:cstheme="minorHAnsi"/>
                      <w:sz w:val="20"/>
                      <w:szCs w:val="22"/>
                      <w:lang w:eastAsia="es-ES"/>
                    </w:rPr>
                    <w:t></w:t>
                  </w:r>
                  <w:r w:rsidRPr="00EB5388">
                    <w:rPr>
                      <w:rFonts w:ascii="Symbol" w:hAnsi="Symbol" w:cstheme="minorHAnsi"/>
                      <w:sz w:val="20"/>
                      <w:szCs w:val="22"/>
                      <w:lang w:eastAsia="es-ES"/>
                    </w:rPr>
                    <w:tab/>
                  </w:r>
                  <w:r w:rsidR="00B91F19" w:rsidRPr="00EB5388">
                    <w:rPr>
                      <w:rFonts w:cstheme="minorHAnsi"/>
                      <w:sz w:val="22"/>
                      <w:szCs w:val="22"/>
                      <w:lang w:eastAsia="es-ES"/>
                    </w:rPr>
                    <w:t>Standardizing technical specifications and solutions for identity management in (heterogeneous) in next generation networks for interoperable identification and authentication (SDG target 16.9).</w:t>
                  </w:r>
                </w:p>
              </w:tc>
            </w:tr>
          </w:tbl>
          <w:p w14:paraId="168452CA" w14:textId="77777777" w:rsidR="00B91F19" w:rsidRPr="006F5A29" w:rsidRDefault="00B91F19" w:rsidP="008611C0">
            <w:pPr>
              <w:spacing w:after="120"/>
              <w:rPr>
                <w:rFonts w:cstheme="minorHAnsi"/>
              </w:rPr>
            </w:pPr>
          </w:p>
        </w:tc>
      </w:tr>
      <w:tr w:rsidR="00B91F19" w:rsidRPr="006F5A29" w14:paraId="2557F6C1" w14:textId="77777777" w:rsidTr="008611C0">
        <w:tc>
          <w:tcPr>
            <w:tcW w:w="9016" w:type="dxa"/>
            <w:shd w:val="clear" w:color="auto" w:fill="auto"/>
          </w:tcPr>
          <w:p w14:paraId="65E030EA" w14:textId="77777777" w:rsidR="00B91F19" w:rsidRPr="00EB5388" w:rsidRDefault="00B91F19" w:rsidP="008611C0">
            <w:pPr>
              <w:keepNext/>
              <w:keepLines/>
              <w:rPr>
                <w:rFonts w:asciiTheme="minorHAnsi" w:hAnsiTheme="minorHAnsi" w:cstheme="minorHAnsi"/>
                <w:b/>
                <w:bCs/>
                <w:color w:val="000000"/>
                <w:szCs w:val="24"/>
              </w:rPr>
            </w:pPr>
            <w:r w:rsidRPr="00EB5388">
              <w:rPr>
                <w:rFonts w:asciiTheme="minorHAnsi" w:hAnsiTheme="minorHAnsi" w:cstheme="minorHAnsi"/>
                <w:b/>
                <w:color w:val="000000"/>
                <w:szCs w:val="24"/>
              </w:rPr>
              <w:lastRenderedPageBreak/>
              <w:t>Goal 17. Strengthen the means of implementation and revitalize the global partnership for sustainable development</w:t>
            </w:r>
          </w:p>
          <w:p w14:paraId="64C15CF1" w14:textId="016FF63C" w:rsidR="00B91F19" w:rsidRPr="00EB5388" w:rsidRDefault="00B91F19" w:rsidP="008611C0">
            <w:pPr>
              <w:keepNext/>
              <w:keepLines/>
              <w:ind w:left="720"/>
              <w:rPr>
                <w:rFonts w:asciiTheme="minorHAnsi" w:hAnsiTheme="minorHAnsi" w:cstheme="minorHAnsi"/>
                <w:i/>
                <w:iCs/>
                <w:color w:val="000000"/>
                <w:sz w:val="22"/>
              </w:rPr>
            </w:pPr>
            <w:r w:rsidRPr="00EB5388">
              <w:rPr>
                <w:rFonts w:asciiTheme="minorHAnsi" w:hAnsiTheme="minorHAnsi" w:cstheme="minorHAnsi"/>
                <w:i/>
                <w:iCs/>
                <w:color w:val="000000" w:themeColor="text1"/>
                <w:sz w:val="22"/>
              </w:rPr>
              <w:t xml:space="preserve">ICTs are specifically mentioned as a means of implementation under SDG17, highlighting the cross-cutting transformative potential of ICTs. Indeed, ICTs are crucial in achieving </w:t>
            </w:r>
            <w:proofErr w:type="gramStart"/>
            <w:r w:rsidRPr="00EB5388">
              <w:rPr>
                <w:rFonts w:asciiTheme="minorHAnsi" w:hAnsiTheme="minorHAnsi" w:cstheme="minorHAnsi"/>
                <w:i/>
                <w:iCs/>
                <w:color w:val="000000" w:themeColor="text1"/>
                <w:sz w:val="22"/>
              </w:rPr>
              <w:t>all of</w:t>
            </w:r>
            <w:proofErr w:type="gramEnd"/>
            <w:r w:rsidRPr="00EB5388">
              <w:rPr>
                <w:rFonts w:asciiTheme="minorHAnsi" w:hAnsiTheme="minorHAnsi" w:cstheme="minorHAnsi"/>
                <w:i/>
                <w:iCs/>
                <w:color w:val="000000" w:themeColor="text1"/>
                <w:sz w:val="22"/>
              </w:rPr>
              <w:t xml:space="preserve"> the SDGs. Paragraph 15 of the 2030 Agenda for Sustainable Development highlights that </w:t>
            </w:r>
            <w:r w:rsidR="00774D26">
              <w:rPr>
                <w:rFonts w:asciiTheme="minorHAnsi" w:hAnsiTheme="minorHAnsi" w:cstheme="minorHAnsi"/>
                <w:i/>
                <w:iCs/>
                <w:color w:val="000000" w:themeColor="text1"/>
                <w:sz w:val="22"/>
              </w:rPr>
              <w:t>“</w:t>
            </w:r>
            <w:r w:rsidRPr="00EB5388">
              <w:rPr>
                <w:rFonts w:asciiTheme="minorHAnsi" w:hAnsiTheme="minorHAnsi" w:cstheme="minorHAnsi"/>
                <w:i/>
                <w:iCs/>
                <w:color w:val="000000" w:themeColor="text1"/>
                <w:sz w:val="22"/>
              </w:rPr>
              <w:t>the spread of information and communication technology and global interconnectedness has great potential to accelerate human progress, to bridge the digital divide and to develop knowledge societies…</w:t>
            </w:r>
            <w:r w:rsidR="00774D26">
              <w:rPr>
                <w:rFonts w:asciiTheme="minorHAnsi" w:hAnsiTheme="minorHAnsi" w:cstheme="minorHAnsi"/>
                <w:i/>
                <w:iCs/>
                <w:color w:val="000000" w:themeColor="text1"/>
                <w:sz w:val="22"/>
              </w:rPr>
              <w:t>”</w:t>
            </w:r>
            <w:r w:rsidRPr="00EB5388">
              <w:rPr>
                <w:rFonts w:asciiTheme="minorHAnsi" w:hAnsiTheme="minorHAnsi" w:cstheme="minorHAnsi"/>
                <w:i/>
                <w:iCs/>
                <w:color w:val="000000" w:themeColor="text1"/>
                <w:sz w:val="22"/>
              </w:rPr>
              <w:t xml:space="preserve"> </w:t>
            </w:r>
          </w:p>
          <w:p w14:paraId="691784E1" w14:textId="77777777" w:rsidR="00B91F19" w:rsidRPr="00EB5388" w:rsidRDefault="00B91F19" w:rsidP="008611C0">
            <w:pPr>
              <w:rPr>
                <w:rFonts w:asciiTheme="minorHAnsi" w:hAnsiTheme="minorHAnsi" w:cstheme="minorHAnsi"/>
                <w:b/>
                <w:bCs/>
                <w:color w:val="000000"/>
                <w:sz w:val="22"/>
              </w:rPr>
            </w:pPr>
            <w:r w:rsidRPr="00EB5388">
              <w:rPr>
                <w:rFonts w:asciiTheme="minorHAnsi" w:hAnsiTheme="minorHAnsi" w:cstheme="minorHAnsi"/>
                <w:b/>
                <w:color w:val="000000"/>
                <w:sz w:val="22"/>
              </w:rPr>
              <w:t>ITU contributes to Goal 17:</w:t>
            </w:r>
          </w:p>
          <w:p w14:paraId="4651AB31" w14:textId="76831AEF" w:rsidR="00B91F19" w:rsidRPr="00EB5388" w:rsidRDefault="00A201CA" w:rsidP="00A201CA">
            <w:pPr>
              <w:shd w:val="clear" w:color="auto" w:fill="FFFFFF"/>
              <w:tabs>
                <w:tab w:val="clear" w:pos="567"/>
                <w:tab w:val="clear" w:pos="1134"/>
                <w:tab w:val="clear" w:pos="1701"/>
                <w:tab w:val="clear" w:pos="2268"/>
                <w:tab w:val="clear" w:pos="2835"/>
                <w:tab w:val="left" w:pos="720"/>
              </w:tabs>
              <w:overflowPunct/>
              <w:autoSpaceDE/>
              <w:autoSpaceDN/>
              <w:adjustRightInd/>
              <w:spacing w:after="120"/>
              <w:ind w:left="720" w:hanging="360"/>
              <w:rPr>
                <w:rFonts w:asciiTheme="minorHAnsi" w:hAnsiTheme="minorHAnsi" w:cstheme="minorHAnsi"/>
                <w:color w:val="000000" w:themeColor="text1"/>
                <w:sz w:val="22"/>
              </w:rPr>
            </w:pPr>
            <w:r w:rsidRPr="00EB5388">
              <w:rPr>
                <w:rFonts w:ascii="Symbol" w:hAnsi="Symbol" w:cstheme="minorHAnsi"/>
                <w:color w:val="000000" w:themeColor="text1"/>
                <w:sz w:val="20"/>
              </w:rPr>
              <w:t></w:t>
            </w:r>
            <w:r w:rsidRPr="00EB5388">
              <w:rPr>
                <w:rFonts w:ascii="Symbol" w:hAnsi="Symbol" w:cstheme="minorHAnsi"/>
                <w:color w:val="000000" w:themeColor="text1"/>
                <w:sz w:val="20"/>
              </w:rPr>
              <w:tab/>
            </w:r>
            <w:r w:rsidR="00B91F19" w:rsidRPr="00EB5388">
              <w:rPr>
                <w:rFonts w:asciiTheme="minorHAnsi" w:hAnsiTheme="minorHAnsi" w:cstheme="minorHAnsi"/>
                <w:color w:val="000000" w:themeColor="text1"/>
                <w:sz w:val="22"/>
              </w:rPr>
              <w:t>ITU</w:t>
            </w:r>
            <w:r w:rsidR="00774D26">
              <w:rPr>
                <w:rFonts w:asciiTheme="minorHAnsi" w:hAnsiTheme="minorHAnsi" w:cstheme="minorHAnsi"/>
                <w:color w:val="000000" w:themeColor="text1"/>
                <w:sz w:val="22"/>
              </w:rPr>
              <w:t>’</w:t>
            </w:r>
            <w:r w:rsidR="00B91F19" w:rsidRPr="00EB5388">
              <w:rPr>
                <w:rFonts w:asciiTheme="minorHAnsi" w:hAnsiTheme="minorHAnsi" w:cstheme="minorHAnsi"/>
                <w:color w:val="000000" w:themeColor="text1"/>
                <w:sz w:val="22"/>
              </w:rPr>
              <w:t xml:space="preserve">s World Telecommunication Development Conference (WTDC) in June 2022 provided a unique opportunity to develop innovative approaches and new models of collaboration for connectivity and digital solutions in this final Decade of Action to achieve the SDGs. WTDC agreed upon a set of priorities for a joint action beyond 2022 around the areas of </w:t>
            </w:r>
            <w:hyperlink r:id="rId41" w:history="1">
              <w:r w:rsidR="00B91F19" w:rsidRPr="00EB5388">
                <w:rPr>
                  <w:rFonts w:asciiTheme="minorHAnsi" w:hAnsiTheme="minorHAnsi" w:cstheme="minorHAnsi"/>
                  <w:color w:val="000000" w:themeColor="text1"/>
                  <w:sz w:val="22"/>
                </w:rPr>
                <w:t>Affordable connectivity</w:t>
              </w:r>
            </w:hyperlink>
            <w:r w:rsidR="00B91F19" w:rsidRPr="00EB5388">
              <w:rPr>
                <w:rFonts w:asciiTheme="minorHAnsi" w:hAnsiTheme="minorHAnsi" w:cstheme="minorHAnsi"/>
                <w:color w:val="000000" w:themeColor="text1"/>
                <w:sz w:val="22"/>
              </w:rPr>
              <w:t xml:space="preserve">, </w:t>
            </w:r>
            <w:hyperlink r:id="rId42" w:history="1">
              <w:r w:rsidR="00B91F19" w:rsidRPr="00EB5388">
                <w:rPr>
                  <w:rFonts w:asciiTheme="minorHAnsi" w:hAnsiTheme="minorHAnsi" w:cstheme="minorHAnsi"/>
                  <w:color w:val="000000" w:themeColor="text1"/>
                  <w:sz w:val="22"/>
                </w:rPr>
                <w:t>Digital transformation</w:t>
              </w:r>
            </w:hyperlink>
            <w:r w:rsidR="00B91F19" w:rsidRPr="00EB5388">
              <w:rPr>
                <w:rFonts w:asciiTheme="minorHAnsi" w:hAnsiTheme="minorHAnsi" w:cstheme="minorHAnsi"/>
                <w:color w:val="000000" w:themeColor="text1"/>
                <w:sz w:val="22"/>
              </w:rPr>
              <w:t xml:space="preserve">, </w:t>
            </w:r>
            <w:hyperlink r:id="rId43" w:history="1">
              <w:r w:rsidR="00B91F19" w:rsidRPr="00EB5388">
                <w:rPr>
                  <w:rFonts w:asciiTheme="minorHAnsi" w:hAnsiTheme="minorHAnsi" w:cstheme="minorHAnsi"/>
                  <w:color w:val="000000" w:themeColor="text1"/>
                  <w:sz w:val="22"/>
                </w:rPr>
                <w:t>Enabling policy and regulatory environment</w:t>
              </w:r>
            </w:hyperlink>
            <w:r w:rsidR="00B91F19" w:rsidRPr="00EB5388">
              <w:rPr>
                <w:rFonts w:asciiTheme="minorHAnsi" w:hAnsiTheme="minorHAnsi" w:cstheme="minorHAnsi"/>
                <w:color w:val="000000" w:themeColor="text1"/>
                <w:sz w:val="22"/>
              </w:rPr>
              <w:t xml:space="preserve">, </w:t>
            </w:r>
            <w:hyperlink r:id="rId44" w:history="1">
              <w:r w:rsidR="00B91F19" w:rsidRPr="00EB5388">
                <w:rPr>
                  <w:rFonts w:asciiTheme="minorHAnsi" w:hAnsiTheme="minorHAnsi" w:cstheme="minorHAnsi"/>
                  <w:color w:val="000000" w:themeColor="text1"/>
                  <w:sz w:val="22"/>
                </w:rPr>
                <w:t>Resource mobilization and international cooperation</w:t>
              </w:r>
            </w:hyperlink>
            <w:r w:rsidR="00B91F19" w:rsidRPr="00EB5388">
              <w:rPr>
                <w:rFonts w:asciiTheme="minorHAnsi" w:hAnsiTheme="minorHAnsi" w:cstheme="minorHAnsi"/>
                <w:color w:val="000000" w:themeColor="text1"/>
                <w:sz w:val="22"/>
              </w:rPr>
              <w:t xml:space="preserve">, </w:t>
            </w:r>
            <w:hyperlink r:id="rId45" w:history="1">
              <w:r w:rsidR="00B91F19" w:rsidRPr="00EB5388">
                <w:rPr>
                  <w:rFonts w:asciiTheme="minorHAnsi" w:hAnsiTheme="minorHAnsi" w:cstheme="minorHAnsi"/>
                  <w:color w:val="000000" w:themeColor="text1"/>
                  <w:sz w:val="22"/>
                </w:rPr>
                <w:t>Inclusive and secure telecommunications/ICTs for sustainable development</w:t>
              </w:r>
            </w:hyperlink>
            <w:r w:rsidR="00B91F19" w:rsidRPr="00EB5388">
              <w:rPr>
                <w:rFonts w:asciiTheme="minorHAnsi" w:hAnsiTheme="minorHAnsi" w:cstheme="minorHAnsi"/>
                <w:color w:val="000000" w:themeColor="text1"/>
                <w:sz w:val="22"/>
              </w:rPr>
              <w:t xml:space="preserve">. WTDC mobilized the global community around the power of digital transformation and reshaped the connectivity agenda to achieve the </w:t>
            </w:r>
            <w:proofErr w:type="gramStart"/>
            <w:r w:rsidR="00B91F19" w:rsidRPr="00EB5388">
              <w:rPr>
                <w:rFonts w:asciiTheme="minorHAnsi" w:hAnsiTheme="minorHAnsi" w:cstheme="minorHAnsi"/>
                <w:color w:val="000000" w:themeColor="text1"/>
                <w:sz w:val="22"/>
              </w:rPr>
              <w:t>SDGs;</w:t>
            </w:r>
            <w:proofErr w:type="gramEnd"/>
            <w:r w:rsidR="00B91F19" w:rsidRPr="00EB5388">
              <w:rPr>
                <w:rFonts w:asciiTheme="minorHAnsi" w:hAnsiTheme="minorHAnsi" w:cstheme="minorHAnsi"/>
                <w:color w:val="000000" w:themeColor="text1"/>
                <w:sz w:val="22"/>
              </w:rPr>
              <w:t xml:space="preserve"> </w:t>
            </w:r>
          </w:p>
          <w:p w14:paraId="46214F84" w14:textId="26E283F7"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color w:val="000000"/>
                <w:sz w:val="22"/>
              </w:rPr>
            </w:pPr>
            <w:r w:rsidRPr="00EB5388">
              <w:rPr>
                <w:rFonts w:ascii="Symbol" w:hAnsi="Symbol" w:cstheme="minorHAnsi"/>
                <w:color w:val="000000"/>
                <w:sz w:val="20"/>
              </w:rPr>
              <w:t></w:t>
            </w:r>
            <w:r w:rsidRPr="00EB5388">
              <w:rPr>
                <w:rFonts w:ascii="Symbol" w:hAnsi="Symbol" w:cstheme="minorHAnsi"/>
                <w:color w:val="000000"/>
                <w:sz w:val="20"/>
              </w:rPr>
              <w:tab/>
            </w:r>
            <w:r w:rsidR="00B91F19" w:rsidRPr="00EB5388">
              <w:rPr>
                <w:rFonts w:asciiTheme="minorHAnsi" w:hAnsiTheme="minorHAnsi" w:cstheme="minorHAnsi"/>
                <w:color w:val="000000" w:themeColor="text1"/>
                <w:sz w:val="22"/>
              </w:rPr>
              <w:t xml:space="preserve">A series of ITU Regional Development Forums held in all regions in 2023 (RDF CIS to be held in March 2024) provided a platform for building effective partnerships and matchmaking between the real needs of the countries and stakeholders interested in supporting digital </w:t>
            </w:r>
            <w:proofErr w:type="gramStart"/>
            <w:r w:rsidR="00B91F19" w:rsidRPr="00EB5388">
              <w:rPr>
                <w:rFonts w:asciiTheme="minorHAnsi" w:hAnsiTheme="minorHAnsi" w:cstheme="minorHAnsi"/>
                <w:color w:val="000000" w:themeColor="text1"/>
                <w:sz w:val="22"/>
              </w:rPr>
              <w:t>development;</w:t>
            </w:r>
            <w:proofErr w:type="gramEnd"/>
          </w:p>
          <w:p w14:paraId="06F45732" w14:textId="0655DBEB"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color w:val="000000"/>
                <w:sz w:val="22"/>
              </w:rPr>
            </w:pPr>
            <w:r w:rsidRPr="00EB5388">
              <w:rPr>
                <w:rFonts w:ascii="Symbol" w:hAnsi="Symbol" w:cstheme="minorHAnsi"/>
                <w:color w:val="000000"/>
                <w:sz w:val="20"/>
              </w:rPr>
              <w:t></w:t>
            </w:r>
            <w:r w:rsidRPr="00EB5388">
              <w:rPr>
                <w:rFonts w:ascii="Symbol" w:hAnsi="Symbol" w:cstheme="minorHAnsi"/>
                <w:color w:val="000000"/>
                <w:sz w:val="20"/>
              </w:rPr>
              <w:tab/>
            </w:r>
            <w:r w:rsidR="00B91F19" w:rsidRPr="00EB5388">
              <w:rPr>
                <w:rFonts w:asciiTheme="minorHAnsi" w:hAnsiTheme="minorHAnsi" w:cstheme="minorHAnsi"/>
                <w:color w:val="000000" w:themeColor="text1"/>
                <w:sz w:val="22"/>
              </w:rPr>
              <w:t xml:space="preserve">Strengthened engagement of ITU in the UN Development System, and its natural leadership as the UN Agency for Digital at the regional and country level has been leading towards extended interagency and multistakeholder partnership building for digital </w:t>
            </w:r>
            <w:proofErr w:type="gramStart"/>
            <w:r w:rsidR="00B91F19" w:rsidRPr="00EB5388">
              <w:rPr>
                <w:rFonts w:asciiTheme="minorHAnsi" w:hAnsiTheme="minorHAnsi" w:cstheme="minorHAnsi"/>
                <w:color w:val="000000" w:themeColor="text1"/>
                <w:sz w:val="22"/>
              </w:rPr>
              <w:t>development;</w:t>
            </w:r>
            <w:proofErr w:type="gramEnd"/>
          </w:p>
          <w:p w14:paraId="66C1BD47" w14:textId="335606F6"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color w:val="000000"/>
                <w:sz w:val="22"/>
              </w:rPr>
            </w:pPr>
            <w:r w:rsidRPr="00EB5388">
              <w:rPr>
                <w:rFonts w:ascii="Symbol" w:hAnsi="Symbol" w:cstheme="minorHAnsi"/>
                <w:color w:val="000000"/>
                <w:sz w:val="20"/>
              </w:rPr>
              <w:t></w:t>
            </w:r>
            <w:r w:rsidRPr="00EB5388">
              <w:rPr>
                <w:rFonts w:ascii="Symbol" w:hAnsi="Symbol" w:cstheme="minorHAnsi"/>
                <w:color w:val="000000"/>
                <w:sz w:val="20"/>
              </w:rPr>
              <w:tab/>
            </w:r>
            <w:r w:rsidR="00B91F19" w:rsidRPr="00EB5388">
              <w:rPr>
                <w:rFonts w:asciiTheme="minorHAnsi" w:hAnsiTheme="minorHAnsi" w:cstheme="minorHAnsi"/>
                <w:color w:val="000000" w:themeColor="text1"/>
                <w:sz w:val="22"/>
              </w:rPr>
              <w:t xml:space="preserve">ITU-led coordination mechanisms, such as the UN Digital Transformation Group for Europe and Central Asia, UN Brussels Digital Taskforce or development of diverse products (such as the UN Digital Development Toolbox) and services supporting UN Country Teams in their endeavour of strengthening One UN support to countries on digital, opened new opportunities for scaled up </w:t>
            </w:r>
            <w:proofErr w:type="gramStart"/>
            <w:r w:rsidR="00B91F19" w:rsidRPr="00EB5388">
              <w:rPr>
                <w:rFonts w:asciiTheme="minorHAnsi" w:hAnsiTheme="minorHAnsi" w:cstheme="minorHAnsi"/>
                <w:color w:val="000000" w:themeColor="text1"/>
                <w:sz w:val="22"/>
              </w:rPr>
              <w:t>operations;</w:t>
            </w:r>
            <w:proofErr w:type="gramEnd"/>
          </w:p>
          <w:p w14:paraId="31873BC3" w14:textId="6C9BE2BB"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color w:val="000000"/>
                <w:sz w:val="22"/>
              </w:rPr>
            </w:pPr>
            <w:r w:rsidRPr="00EB5388">
              <w:rPr>
                <w:rFonts w:ascii="Symbol" w:hAnsi="Symbol" w:cstheme="minorHAnsi"/>
                <w:color w:val="000000"/>
                <w:sz w:val="20"/>
              </w:rPr>
              <w:t></w:t>
            </w:r>
            <w:r w:rsidRPr="00EB5388">
              <w:rPr>
                <w:rFonts w:ascii="Symbol" w:hAnsi="Symbol" w:cstheme="minorHAnsi"/>
                <w:color w:val="000000"/>
                <w:sz w:val="20"/>
              </w:rPr>
              <w:tab/>
            </w:r>
            <w:r w:rsidR="00B91F19" w:rsidRPr="00EB5388">
              <w:rPr>
                <w:rFonts w:asciiTheme="minorHAnsi" w:hAnsiTheme="minorHAnsi" w:cstheme="minorHAnsi"/>
                <w:color w:val="000000" w:themeColor="text1"/>
                <w:sz w:val="22"/>
              </w:rPr>
              <w:t xml:space="preserve">Engagement of ITU in the setting up and operationalization of the Digital Window of the Joint SDG Fund, leading towards new opportunities for multiagency support to the countries following their national priorities, with 23 countries benefiting from the first round of </w:t>
            </w:r>
            <w:proofErr w:type="gramStart"/>
            <w:r w:rsidR="00B91F19" w:rsidRPr="00EB5388">
              <w:rPr>
                <w:rFonts w:asciiTheme="minorHAnsi" w:hAnsiTheme="minorHAnsi" w:cstheme="minorHAnsi"/>
                <w:color w:val="000000" w:themeColor="text1"/>
                <w:sz w:val="22"/>
              </w:rPr>
              <w:t>funding;</w:t>
            </w:r>
            <w:proofErr w:type="gramEnd"/>
            <w:r w:rsidR="00B91F19" w:rsidRPr="00EB5388">
              <w:rPr>
                <w:rFonts w:asciiTheme="minorHAnsi" w:hAnsiTheme="minorHAnsi" w:cstheme="minorHAnsi"/>
                <w:color w:val="000000" w:themeColor="text1"/>
                <w:sz w:val="22"/>
              </w:rPr>
              <w:t xml:space="preserve"> </w:t>
            </w:r>
          </w:p>
          <w:p w14:paraId="2C0C820E" w14:textId="6AA59040"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color w:val="000000"/>
                <w:sz w:val="22"/>
              </w:rPr>
            </w:pPr>
            <w:r w:rsidRPr="00EB5388">
              <w:rPr>
                <w:rFonts w:ascii="Symbol" w:hAnsi="Symbol" w:cstheme="minorHAnsi"/>
                <w:color w:val="000000"/>
                <w:sz w:val="20"/>
              </w:rPr>
              <w:t></w:t>
            </w:r>
            <w:r w:rsidRPr="00EB5388">
              <w:rPr>
                <w:rFonts w:ascii="Symbol" w:hAnsi="Symbol" w:cstheme="minorHAnsi"/>
                <w:color w:val="000000"/>
                <w:sz w:val="20"/>
              </w:rPr>
              <w:tab/>
            </w:r>
            <w:r w:rsidR="00B91F19" w:rsidRPr="00EB5388">
              <w:rPr>
                <w:rFonts w:asciiTheme="minorHAnsi" w:hAnsiTheme="minorHAnsi" w:cstheme="minorHAnsi"/>
                <w:color w:val="000000" w:themeColor="text1"/>
                <w:sz w:val="22"/>
              </w:rPr>
              <w:t xml:space="preserve">The implementation of ITU Strategic Plan, linked to the ITU Connect 2030 Agenda, and WTDC Action Plan will contribute to achieving the SDGs. Based on key policy and regulatory developments which impact innovation and investment, including and </w:t>
            </w:r>
            <w:proofErr w:type="gramStart"/>
            <w:r w:rsidR="00B91F19" w:rsidRPr="00EB5388">
              <w:rPr>
                <w:rFonts w:asciiTheme="minorHAnsi" w:hAnsiTheme="minorHAnsi" w:cstheme="minorHAnsi"/>
                <w:color w:val="000000" w:themeColor="text1"/>
                <w:sz w:val="22"/>
              </w:rPr>
              <w:t>in particular through</w:t>
            </w:r>
            <w:proofErr w:type="gramEnd"/>
            <w:r w:rsidR="00B91F19" w:rsidRPr="00EB5388">
              <w:rPr>
                <w:rFonts w:asciiTheme="minorHAnsi" w:hAnsiTheme="minorHAnsi" w:cstheme="minorHAnsi"/>
                <w:color w:val="000000" w:themeColor="text1"/>
                <w:sz w:val="22"/>
              </w:rPr>
              <w:t xml:space="preserve"> implementation of the Regional Initiatives and to implement the SDGs where ICTs can play a decisive role, including health, education, gender equality, agriculture, governance, e-waste and emergency telecommunications. The mapping of activities between other Sectors is conducted and a calendar of events, which facilitates collaboration and coordination between Sectors, is </w:t>
            </w:r>
            <w:proofErr w:type="gramStart"/>
            <w:r w:rsidR="00B91F19" w:rsidRPr="00EB5388">
              <w:rPr>
                <w:rFonts w:asciiTheme="minorHAnsi" w:hAnsiTheme="minorHAnsi" w:cstheme="minorHAnsi"/>
                <w:color w:val="000000" w:themeColor="text1"/>
                <w:sz w:val="22"/>
              </w:rPr>
              <w:t>developed;</w:t>
            </w:r>
            <w:proofErr w:type="gramEnd"/>
            <w:r w:rsidR="00B91F19" w:rsidRPr="00EB5388">
              <w:rPr>
                <w:rFonts w:asciiTheme="minorHAnsi" w:hAnsiTheme="minorHAnsi" w:cstheme="minorHAnsi"/>
                <w:color w:val="000000" w:themeColor="text1"/>
                <w:sz w:val="22"/>
              </w:rPr>
              <w:t xml:space="preserve"> </w:t>
            </w:r>
          </w:p>
          <w:p w14:paraId="76E6213C" w14:textId="45FA35AD"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sz w:val="22"/>
              </w:rPr>
            </w:pPr>
            <w:r w:rsidRPr="00EB5388">
              <w:rPr>
                <w:rFonts w:ascii="Symbol" w:hAnsi="Symbol" w:cstheme="minorHAnsi"/>
                <w:sz w:val="20"/>
              </w:rPr>
              <w:t></w:t>
            </w:r>
            <w:r w:rsidRPr="00EB5388">
              <w:rPr>
                <w:rFonts w:ascii="Symbol" w:hAnsi="Symbol" w:cstheme="minorHAnsi"/>
                <w:sz w:val="20"/>
              </w:rPr>
              <w:tab/>
            </w:r>
            <w:r w:rsidR="00B91F19" w:rsidRPr="00EB5388">
              <w:rPr>
                <w:rFonts w:asciiTheme="minorHAnsi" w:hAnsiTheme="minorHAnsi" w:cstheme="minorHAnsi"/>
                <w:color w:val="000000" w:themeColor="text1"/>
                <w:sz w:val="22"/>
              </w:rPr>
              <w:t xml:space="preserve">The </w:t>
            </w:r>
            <w:r w:rsidR="00774D26">
              <w:rPr>
                <w:rFonts w:asciiTheme="minorHAnsi" w:hAnsiTheme="minorHAnsi" w:cstheme="minorHAnsi"/>
                <w:color w:val="000000" w:themeColor="text1"/>
                <w:sz w:val="22"/>
              </w:rPr>
              <w:t>“</w:t>
            </w:r>
            <w:r w:rsidR="00B91F19" w:rsidRPr="00EB5388">
              <w:rPr>
                <w:rFonts w:asciiTheme="minorHAnsi" w:hAnsiTheme="minorHAnsi" w:cstheme="minorHAnsi"/>
                <w:color w:val="000000" w:themeColor="text1"/>
                <w:sz w:val="22"/>
              </w:rPr>
              <w:t>World Telecommunication and Information Society Day</w:t>
            </w:r>
            <w:r w:rsidR="00774D26">
              <w:rPr>
                <w:rFonts w:asciiTheme="minorHAnsi" w:hAnsiTheme="minorHAnsi" w:cstheme="minorHAnsi"/>
                <w:color w:val="000000" w:themeColor="text1"/>
                <w:sz w:val="22"/>
              </w:rPr>
              <w:t>”</w:t>
            </w:r>
            <w:r w:rsidR="00B91F19" w:rsidRPr="00EB5388">
              <w:rPr>
                <w:rFonts w:asciiTheme="minorHAnsi" w:hAnsiTheme="minorHAnsi" w:cstheme="minorHAnsi"/>
                <w:color w:val="000000" w:themeColor="text1"/>
                <w:sz w:val="22"/>
              </w:rPr>
              <w:t xml:space="preserve"> celebrated annually on 17</w:t>
            </w:r>
            <w:r w:rsidR="00B91F19">
              <w:rPr>
                <w:rFonts w:asciiTheme="minorHAnsi" w:hAnsiTheme="minorHAnsi" w:cstheme="minorHAnsi"/>
                <w:color w:val="000000" w:themeColor="text1"/>
                <w:sz w:val="22"/>
              </w:rPr>
              <w:t> </w:t>
            </w:r>
            <w:r w:rsidR="00B91F19" w:rsidRPr="00EB5388">
              <w:rPr>
                <w:rFonts w:asciiTheme="minorHAnsi" w:hAnsiTheme="minorHAnsi" w:cstheme="minorHAnsi"/>
                <w:color w:val="000000" w:themeColor="text1"/>
                <w:sz w:val="22"/>
              </w:rPr>
              <w:t xml:space="preserve">May, to raise awareness of the possibilities that the use of the Internet and other ICTs can bring to societies and economies, as well as ways to bridge the digital </w:t>
            </w:r>
            <w:proofErr w:type="gramStart"/>
            <w:r w:rsidR="00B91F19" w:rsidRPr="00EB5388">
              <w:rPr>
                <w:rFonts w:asciiTheme="minorHAnsi" w:hAnsiTheme="minorHAnsi" w:cstheme="minorHAnsi"/>
                <w:color w:val="000000" w:themeColor="text1"/>
                <w:sz w:val="22"/>
              </w:rPr>
              <w:t>divide;</w:t>
            </w:r>
            <w:proofErr w:type="gramEnd"/>
          </w:p>
          <w:p w14:paraId="7595E5F1" w14:textId="0888DB57"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sz w:val="22"/>
              </w:rPr>
            </w:pPr>
            <w:r w:rsidRPr="00EB5388">
              <w:rPr>
                <w:rFonts w:ascii="Symbol" w:hAnsi="Symbol" w:cstheme="minorHAnsi"/>
                <w:sz w:val="20"/>
              </w:rPr>
              <w:lastRenderedPageBreak/>
              <w:t></w:t>
            </w:r>
            <w:r w:rsidRPr="00EB5388">
              <w:rPr>
                <w:rFonts w:ascii="Symbol" w:hAnsi="Symbol" w:cstheme="minorHAnsi"/>
                <w:sz w:val="20"/>
              </w:rPr>
              <w:tab/>
            </w:r>
            <w:r w:rsidR="00B91F19" w:rsidRPr="00EB5388">
              <w:rPr>
                <w:rFonts w:asciiTheme="minorHAnsi" w:hAnsiTheme="minorHAnsi" w:cstheme="minorHAnsi"/>
                <w:color w:val="000000" w:themeColor="text1"/>
                <w:sz w:val="22"/>
              </w:rPr>
              <w:t xml:space="preserve">ITU provides a neutral platform for ITU members from government, industry and academia to share experiences, present ideas, exchange views and achieve consensus on appropriate strategies to address ICT priorities, as well as strengthening the means of implementation and enhancing access to science, technology and innovation by strengthening international cooperation and knowledge sharing on key ICT </w:t>
            </w:r>
            <w:proofErr w:type="gramStart"/>
            <w:r w:rsidR="00B91F19" w:rsidRPr="00EB5388">
              <w:rPr>
                <w:rFonts w:asciiTheme="minorHAnsi" w:hAnsiTheme="minorHAnsi" w:cstheme="minorHAnsi"/>
                <w:color w:val="000000" w:themeColor="text1"/>
                <w:sz w:val="22"/>
              </w:rPr>
              <w:t>topics;</w:t>
            </w:r>
            <w:proofErr w:type="gramEnd"/>
          </w:p>
          <w:p w14:paraId="12A3452A" w14:textId="04D8B448" w:rsidR="00B91F19" w:rsidRPr="00EB5388" w:rsidRDefault="00A201CA" w:rsidP="00A201CA">
            <w:pPr>
              <w:tabs>
                <w:tab w:val="clear" w:pos="567"/>
                <w:tab w:val="clear" w:pos="1134"/>
                <w:tab w:val="clear" w:pos="1701"/>
                <w:tab w:val="clear" w:pos="2268"/>
                <w:tab w:val="clear" w:pos="2835"/>
                <w:tab w:val="left" w:pos="720"/>
              </w:tabs>
              <w:overflowPunct/>
              <w:autoSpaceDE/>
              <w:autoSpaceDN/>
              <w:adjustRightInd/>
              <w:spacing w:after="120"/>
              <w:ind w:left="720" w:hanging="360"/>
              <w:textAlignment w:val="auto"/>
              <w:rPr>
                <w:rFonts w:asciiTheme="minorHAnsi" w:hAnsiTheme="minorHAnsi" w:cstheme="minorHAnsi"/>
                <w:sz w:val="22"/>
              </w:rPr>
            </w:pPr>
            <w:r w:rsidRPr="00EB5388">
              <w:rPr>
                <w:rFonts w:ascii="Symbol" w:hAnsi="Symbol" w:cstheme="minorHAnsi"/>
                <w:sz w:val="20"/>
              </w:rPr>
              <w:t></w:t>
            </w:r>
            <w:r w:rsidRPr="00EB5388">
              <w:rPr>
                <w:rFonts w:ascii="Symbol" w:hAnsi="Symbol" w:cstheme="minorHAnsi"/>
                <w:sz w:val="20"/>
              </w:rPr>
              <w:tab/>
            </w:r>
            <w:r w:rsidR="00B91F19" w:rsidRPr="00EB5388">
              <w:rPr>
                <w:rFonts w:asciiTheme="minorHAnsi" w:hAnsiTheme="minorHAnsi" w:cstheme="minorHAnsi"/>
                <w:color w:val="000000" w:themeColor="text1"/>
                <w:sz w:val="22"/>
              </w:rPr>
              <w:t xml:space="preserve">Open platforms, such as ITU-T Focus Groups, help determine the way forward, while membership-driven ITU-T and ITU-R Study Groups develop the international standards that give everyone the opportunity to move forward together. Partnerships also receive key support from collaborative frameworks like AI for Good, United for Smart Sustainable Cities, the Digital Currency Global Initiative, and the AI for Road Safety </w:t>
            </w:r>
            <w:proofErr w:type="gramStart"/>
            <w:r w:rsidR="00B91F19" w:rsidRPr="00EB5388">
              <w:rPr>
                <w:rFonts w:asciiTheme="minorHAnsi" w:hAnsiTheme="minorHAnsi" w:cstheme="minorHAnsi"/>
                <w:color w:val="000000" w:themeColor="text1"/>
                <w:sz w:val="22"/>
              </w:rPr>
              <w:t>initiative;</w:t>
            </w:r>
            <w:proofErr w:type="gramEnd"/>
          </w:p>
          <w:p w14:paraId="1CA1246B" w14:textId="77334486" w:rsidR="00B91F19" w:rsidRPr="00EB5388" w:rsidRDefault="00A201CA" w:rsidP="00A201CA">
            <w:pPr>
              <w:tabs>
                <w:tab w:val="clear" w:pos="567"/>
                <w:tab w:val="clear" w:pos="1134"/>
                <w:tab w:val="clear" w:pos="1701"/>
                <w:tab w:val="clear" w:pos="2268"/>
                <w:tab w:val="clear" w:pos="2835"/>
                <w:tab w:val="left" w:pos="720"/>
              </w:tabs>
              <w:overflowPunct/>
              <w:autoSpaceDE/>
              <w:autoSpaceDN/>
              <w:adjustRightInd/>
              <w:spacing w:after="120"/>
              <w:ind w:left="720" w:hanging="360"/>
              <w:textAlignment w:val="auto"/>
              <w:rPr>
                <w:rFonts w:asciiTheme="minorHAnsi" w:hAnsiTheme="minorHAnsi" w:cstheme="minorHAnsi"/>
                <w:sz w:val="22"/>
              </w:rPr>
            </w:pPr>
            <w:r w:rsidRPr="00EB5388">
              <w:rPr>
                <w:rFonts w:ascii="Symbol" w:hAnsi="Symbol" w:cstheme="minorHAnsi"/>
                <w:sz w:val="20"/>
              </w:rPr>
              <w:t></w:t>
            </w:r>
            <w:r w:rsidRPr="00EB5388">
              <w:rPr>
                <w:rFonts w:ascii="Symbol" w:hAnsi="Symbol" w:cstheme="minorHAnsi"/>
                <w:sz w:val="20"/>
              </w:rPr>
              <w:tab/>
            </w:r>
            <w:r w:rsidR="00B91F19" w:rsidRPr="00EB5388">
              <w:rPr>
                <w:rFonts w:asciiTheme="minorHAnsi" w:hAnsiTheme="minorHAnsi" w:cstheme="minorHAnsi"/>
                <w:sz w:val="22"/>
              </w:rPr>
              <w:t xml:space="preserve">Strengthening digital skills development in the America region through the implementation of the Americas Girls Can Code Project, in partnership with Meta for Latin American countries. Through this project countries are assisted on topics related to promotion of gender digital inclusion policies and </w:t>
            </w:r>
            <w:proofErr w:type="gramStart"/>
            <w:r w:rsidR="00B91F19" w:rsidRPr="00EB5388">
              <w:rPr>
                <w:rFonts w:asciiTheme="minorHAnsi" w:hAnsiTheme="minorHAnsi" w:cstheme="minorHAnsi"/>
                <w:sz w:val="22"/>
              </w:rPr>
              <w:t>strategies;</w:t>
            </w:r>
            <w:proofErr w:type="gramEnd"/>
            <w:r w:rsidR="00B91F19" w:rsidRPr="00EB5388">
              <w:rPr>
                <w:rFonts w:asciiTheme="minorHAnsi" w:hAnsiTheme="minorHAnsi" w:cstheme="minorHAnsi"/>
                <w:sz w:val="22"/>
              </w:rPr>
              <w:t xml:space="preserve"> </w:t>
            </w:r>
          </w:p>
          <w:p w14:paraId="6CFECD46" w14:textId="5B9296D0" w:rsidR="00B91F19" w:rsidRPr="00EB5388" w:rsidRDefault="00A201CA" w:rsidP="00A201CA">
            <w:pPr>
              <w:tabs>
                <w:tab w:val="clear" w:pos="567"/>
                <w:tab w:val="clear" w:pos="1134"/>
                <w:tab w:val="clear" w:pos="1701"/>
                <w:tab w:val="clear" w:pos="2268"/>
                <w:tab w:val="clear" w:pos="2835"/>
                <w:tab w:val="left" w:pos="720"/>
              </w:tabs>
              <w:overflowPunct/>
              <w:autoSpaceDE/>
              <w:autoSpaceDN/>
              <w:adjustRightInd/>
              <w:spacing w:after="120"/>
              <w:ind w:left="720" w:hanging="360"/>
              <w:textAlignment w:val="auto"/>
              <w:rPr>
                <w:rFonts w:asciiTheme="minorHAnsi" w:hAnsiTheme="minorHAnsi" w:cstheme="minorHAnsi"/>
                <w:sz w:val="22"/>
              </w:rPr>
            </w:pPr>
            <w:r w:rsidRPr="00EB5388">
              <w:rPr>
                <w:rFonts w:ascii="Symbol" w:hAnsi="Symbol" w:cstheme="minorHAnsi"/>
                <w:sz w:val="20"/>
              </w:rPr>
              <w:t></w:t>
            </w:r>
            <w:r w:rsidRPr="00EB5388">
              <w:rPr>
                <w:rFonts w:ascii="Symbol" w:hAnsi="Symbol" w:cstheme="minorHAnsi"/>
                <w:sz w:val="20"/>
              </w:rPr>
              <w:tab/>
            </w:r>
            <w:r w:rsidR="00B91F19" w:rsidRPr="00EB5388">
              <w:rPr>
                <w:rFonts w:asciiTheme="minorHAnsi" w:hAnsiTheme="minorHAnsi" w:cstheme="minorHAnsi"/>
                <w:sz w:val="22"/>
              </w:rPr>
              <w:t xml:space="preserve">Promoting ICT capacity development training activities in benefit of youth from local communities in the Americas Region, more specifically in the Gran Chaco region, through the project entitled </w:t>
            </w:r>
            <w:r w:rsidR="00774D26">
              <w:rPr>
                <w:rFonts w:asciiTheme="minorHAnsi" w:hAnsiTheme="minorHAnsi" w:cstheme="minorHAnsi"/>
                <w:sz w:val="22"/>
              </w:rPr>
              <w:t>“</w:t>
            </w:r>
            <w:r w:rsidR="00B91F19" w:rsidRPr="00EB5388">
              <w:rPr>
                <w:rFonts w:asciiTheme="minorHAnsi" w:hAnsiTheme="minorHAnsi" w:cstheme="minorHAnsi"/>
                <w:sz w:val="22"/>
              </w:rPr>
              <w:t>Youth Digital Skills</w:t>
            </w:r>
            <w:r w:rsidR="00774D26">
              <w:rPr>
                <w:rFonts w:asciiTheme="minorHAnsi" w:hAnsiTheme="minorHAnsi" w:cstheme="minorHAnsi"/>
                <w:sz w:val="22"/>
              </w:rPr>
              <w:t>”</w:t>
            </w:r>
            <w:r w:rsidR="00B91F19" w:rsidRPr="00EB5388">
              <w:rPr>
                <w:rFonts w:asciiTheme="minorHAnsi" w:hAnsiTheme="minorHAnsi" w:cstheme="minorHAnsi"/>
                <w:sz w:val="22"/>
              </w:rPr>
              <w:t xml:space="preserve"> in line with the needs of the ICT labour market/ecosystem. This project represents a cooperation between ITU and the Gran Chaco Foundation </w:t>
            </w:r>
            <w:proofErr w:type="gramStart"/>
            <w:r w:rsidR="00B91F19" w:rsidRPr="00EB5388">
              <w:rPr>
                <w:rFonts w:asciiTheme="minorHAnsi" w:hAnsiTheme="minorHAnsi" w:cstheme="minorHAnsi"/>
                <w:sz w:val="22"/>
              </w:rPr>
              <w:t>and also</w:t>
            </w:r>
            <w:proofErr w:type="gramEnd"/>
            <w:r w:rsidR="00B91F19" w:rsidRPr="00EB5388">
              <w:rPr>
                <w:rFonts w:asciiTheme="minorHAnsi" w:hAnsiTheme="minorHAnsi" w:cstheme="minorHAnsi"/>
                <w:sz w:val="22"/>
              </w:rPr>
              <w:t xml:space="preserve"> provides support to countries for the development of national strategies for enabling innovation and entrepreneurship oriented to </w:t>
            </w:r>
            <w:proofErr w:type="gramStart"/>
            <w:r w:rsidR="00B91F19" w:rsidRPr="00EB5388">
              <w:rPr>
                <w:rFonts w:asciiTheme="minorHAnsi" w:hAnsiTheme="minorHAnsi" w:cstheme="minorHAnsi"/>
                <w:sz w:val="22"/>
              </w:rPr>
              <w:t>youth;</w:t>
            </w:r>
            <w:proofErr w:type="gramEnd"/>
          </w:p>
          <w:p w14:paraId="0615DD4F" w14:textId="177F9CF7" w:rsidR="00B91F19" w:rsidRPr="00EB5388" w:rsidRDefault="00A201CA" w:rsidP="00A201CA">
            <w:pPr>
              <w:tabs>
                <w:tab w:val="clear" w:pos="567"/>
                <w:tab w:val="clear" w:pos="1134"/>
                <w:tab w:val="clear" w:pos="1701"/>
                <w:tab w:val="clear" w:pos="2268"/>
                <w:tab w:val="clear" w:pos="2835"/>
                <w:tab w:val="left" w:pos="720"/>
              </w:tabs>
              <w:overflowPunct/>
              <w:autoSpaceDE/>
              <w:autoSpaceDN/>
              <w:adjustRightInd/>
              <w:spacing w:after="120"/>
              <w:ind w:left="720" w:hanging="360"/>
              <w:textAlignment w:val="auto"/>
              <w:rPr>
                <w:rFonts w:asciiTheme="minorHAnsi" w:hAnsiTheme="minorHAnsi" w:cstheme="minorHAnsi"/>
                <w:color w:val="000000" w:themeColor="text1"/>
                <w:sz w:val="22"/>
              </w:rPr>
            </w:pPr>
            <w:r w:rsidRPr="00EB5388">
              <w:rPr>
                <w:rFonts w:ascii="Symbol" w:hAnsi="Symbol" w:cstheme="minorHAnsi"/>
                <w:color w:val="000000" w:themeColor="text1"/>
                <w:sz w:val="20"/>
              </w:rPr>
              <w:t></w:t>
            </w:r>
            <w:r w:rsidRPr="00EB5388">
              <w:rPr>
                <w:rFonts w:ascii="Symbol" w:hAnsi="Symbol" w:cstheme="minorHAnsi"/>
                <w:color w:val="000000" w:themeColor="text1"/>
                <w:sz w:val="20"/>
              </w:rPr>
              <w:tab/>
            </w:r>
            <w:r w:rsidR="00B91F19" w:rsidRPr="00EB5388">
              <w:rPr>
                <w:rFonts w:asciiTheme="minorHAnsi" w:hAnsiTheme="minorHAnsi" w:cstheme="minorHAnsi"/>
                <w:color w:val="000000" w:themeColor="text1"/>
                <w:sz w:val="22"/>
              </w:rPr>
              <w:t xml:space="preserve">Promoting a regional platform on ICT accessibility that brings together stakeholders from the Americas region for participating in the event </w:t>
            </w:r>
            <w:r w:rsidR="00774D26">
              <w:rPr>
                <w:rFonts w:asciiTheme="minorHAnsi" w:hAnsiTheme="minorHAnsi" w:cstheme="minorHAnsi"/>
                <w:color w:val="000000" w:themeColor="text1"/>
                <w:sz w:val="22"/>
              </w:rPr>
              <w:t>“</w:t>
            </w:r>
            <w:r w:rsidR="00B91F19" w:rsidRPr="00EB5388">
              <w:rPr>
                <w:rFonts w:asciiTheme="minorHAnsi" w:hAnsiTheme="minorHAnsi" w:cstheme="minorHAnsi"/>
                <w:color w:val="000000" w:themeColor="text1"/>
                <w:sz w:val="22"/>
              </w:rPr>
              <w:t>Accessible Americas: ICT for ALL</w:t>
            </w:r>
            <w:r w:rsidR="00774D26">
              <w:rPr>
                <w:rFonts w:asciiTheme="minorHAnsi" w:hAnsiTheme="minorHAnsi" w:cstheme="minorHAnsi"/>
                <w:color w:val="000000" w:themeColor="text1"/>
                <w:sz w:val="22"/>
              </w:rPr>
              <w:t>”</w:t>
            </w:r>
            <w:r w:rsidR="00B91F19" w:rsidRPr="00EB5388">
              <w:rPr>
                <w:rFonts w:asciiTheme="minorHAnsi" w:hAnsiTheme="minorHAnsi" w:cstheme="minorHAnsi"/>
                <w:color w:val="000000" w:themeColor="text1"/>
                <w:sz w:val="22"/>
              </w:rPr>
              <w:t xml:space="preserve"> as an opportunity for the development of strategic cooperation and collaboration in the field of digital accessibility and inclusion in the region. This platform also provides ITU executive trainings on the topic of ICT accessibility, promotes tools, resources, solutions and good practices to foster national policies toward achieving digital inclusion of everyone, including persons with </w:t>
            </w:r>
            <w:proofErr w:type="gramStart"/>
            <w:r w:rsidR="00B91F19" w:rsidRPr="00EB5388">
              <w:rPr>
                <w:rFonts w:asciiTheme="minorHAnsi" w:hAnsiTheme="minorHAnsi" w:cstheme="minorHAnsi"/>
                <w:color w:val="000000" w:themeColor="text1"/>
                <w:sz w:val="22"/>
              </w:rPr>
              <w:t>disabilities;</w:t>
            </w:r>
            <w:proofErr w:type="gramEnd"/>
            <w:r w:rsidR="00B91F19" w:rsidRPr="00EB5388">
              <w:rPr>
                <w:rFonts w:asciiTheme="minorHAnsi" w:hAnsiTheme="minorHAnsi" w:cstheme="minorHAnsi"/>
                <w:color w:val="000000" w:themeColor="text1"/>
                <w:sz w:val="22"/>
              </w:rPr>
              <w:t xml:space="preserve"> </w:t>
            </w:r>
          </w:p>
          <w:p w14:paraId="0FD7E250" w14:textId="34EA6CD8"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color w:val="000000"/>
                <w:sz w:val="22"/>
              </w:rPr>
            </w:pPr>
            <w:r w:rsidRPr="00EB5388">
              <w:rPr>
                <w:rFonts w:ascii="Symbol" w:hAnsi="Symbol" w:cstheme="minorHAnsi"/>
                <w:color w:val="000000"/>
                <w:sz w:val="20"/>
              </w:rPr>
              <w:t></w:t>
            </w:r>
            <w:r w:rsidRPr="00EB5388">
              <w:rPr>
                <w:rFonts w:ascii="Symbol" w:hAnsi="Symbol" w:cstheme="minorHAnsi"/>
                <w:color w:val="000000"/>
                <w:sz w:val="20"/>
              </w:rPr>
              <w:tab/>
            </w:r>
            <w:r w:rsidR="00B91F19" w:rsidRPr="00EB5388">
              <w:rPr>
                <w:rFonts w:asciiTheme="minorHAnsi" w:hAnsiTheme="minorHAnsi" w:cstheme="minorHAnsi"/>
                <w:color w:val="000000" w:themeColor="text1"/>
                <w:sz w:val="22"/>
              </w:rPr>
              <w:t>Strengthening the global ICT innovation ecosystem through activities such as know-how sharing (e.g. Global Innovation Forum, WSIS, Digital World, Broadband Commission for Sustainable Development), and co-creating grassroots projects based on new global and local partnerships. In addition, the established International Centre of Digital Innovation (I-</w:t>
            </w:r>
            <w:proofErr w:type="spellStart"/>
            <w:r w:rsidR="00B91F19" w:rsidRPr="00EB5388">
              <w:rPr>
                <w:rFonts w:asciiTheme="minorHAnsi" w:hAnsiTheme="minorHAnsi" w:cstheme="minorHAnsi"/>
                <w:color w:val="000000" w:themeColor="text1"/>
                <w:sz w:val="22"/>
              </w:rPr>
              <w:t>CoDI</w:t>
            </w:r>
            <w:proofErr w:type="spellEnd"/>
            <w:r w:rsidR="00B91F19" w:rsidRPr="00EB5388">
              <w:rPr>
                <w:rFonts w:asciiTheme="minorHAnsi" w:hAnsiTheme="minorHAnsi" w:cstheme="minorHAnsi"/>
                <w:color w:val="000000" w:themeColor="text1"/>
                <w:sz w:val="22"/>
              </w:rPr>
              <w:t xml:space="preserve">) </w:t>
            </w:r>
            <w:proofErr w:type="gramStart"/>
            <w:r w:rsidR="00B91F19" w:rsidRPr="00EB5388">
              <w:rPr>
                <w:rFonts w:asciiTheme="minorHAnsi" w:hAnsiTheme="minorHAnsi" w:cstheme="minorHAnsi"/>
                <w:color w:val="000000" w:themeColor="text1"/>
                <w:sz w:val="22"/>
              </w:rPr>
              <w:t>provides assistance to</w:t>
            </w:r>
            <w:proofErr w:type="gramEnd"/>
            <w:r w:rsidR="00B91F19" w:rsidRPr="00EB5388">
              <w:rPr>
                <w:rFonts w:asciiTheme="minorHAnsi" w:hAnsiTheme="minorHAnsi" w:cstheme="minorHAnsi"/>
                <w:color w:val="000000" w:themeColor="text1"/>
                <w:sz w:val="22"/>
              </w:rPr>
              <w:t xml:space="preserve"> the Member States facilitation integration of telecommunication/ICT innovation into their national development agendas. Within the framework of the activities under I-</w:t>
            </w:r>
            <w:proofErr w:type="spellStart"/>
            <w:r w:rsidR="00B91F19" w:rsidRPr="00EB5388">
              <w:rPr>
                <w:rFonts w:asciiTheme="minorHAnsi" w:hAnsiTheme="minorHAnsi" w:cstheme="minorHAnsi"/>
                <w:color w:val="000000" w:themeColor="text1"/>
                <w:sz w:val="22"/>
              </w:rPr>
              <w:t>CoDI</w:t>
            </w:r>
            <w:proofErr w:type="spellEnd"/>
            <w:r w:rsidR="00B91F19" w:rsidRPr="00EB5388">
              <w:rPr>
                <w:rFonts w:asciiTheme="minorHAnsi" w:hAnsiTheme="minorHAnsi" w:cstheme="minorHAnsi"/>
                <w:color w:val="000000" w:themeColor="text1"/>
                <w:sz w:val="22"/>
              </w:rPr>
              <w:t xml:space="preserve">, a Regional Hub for Africa has been established with dedicated physical space in the ITU Regional Office that aims to bring together different partners and create synergies around ongoing activities using different innovative approaches, tools and processes that can solve complex connectivity challenges for meaningful connectivity. It also aims to foster collaboration across governments, UN country teams, development partners, private sector, academia, and other stakeholders to implement joint initiatives to advance digital transformation in the </w:t>
            </w:r>
            <w:proofErr w:type="gramStart"/>
            <w:r w:rsidR="00B91F19" w:rsidRPr="00EB5388">
              <w:rPr>
                <w:rFonts w:asciiTheme="minorHAnsi" w:hAnsiTheme="minorHAnsi" w:cstheme="minorHAnsi"/>
                <w:color w:val="000000" w:themeColor="text1"/>
                <w:sz w:val="22"/>
              </w:rPr>
              <w:t>region;</w:t>
            </w:r>
            <w:proofErr w:type="gramEnd"/>
            <w:r w:rsidR="00B91F19" w:rsidRPr="00EB5388">
              <w:rPr>
                <w:rFonts w:asciiTheme="minorHAnsi" w:hAnsiTheme="minorHAnsi" w:cstheme="minorHAnsi"/>
                <w:color w:val="000000" w:themeColor="text1"/>
                <w:sz w:val="22"/>
              </w:rPr>
              <w:t xml:space="preserve"> </w:t>
            </w:r>
          </w:p>
          <w:p w14:paraId="6811DCE5" w14:textId="21A7298E" w:rsidR="00B91F19" w:rsidRPr="00EB5388" w:rsidRDefault="00A201CA" w:rsidP="00A201CA">
            <w:pPr>
              <w:tabs>
                <w:tab w:val="clear" w:pos="567"/>
                <w:tab w:val="clear" w:pos="1134"/>
                <w:tab w:val="clear" w:pos="1701"/>
                <w:tab w:val="clear" w:pos="2268"/>
                <w:tab w:val="clear" w:pos="2835"/>
                <w:tab w:val="left" w:pos="720"/>
              </w:tabs>
              <w:overflowPunct/>
              <w:autoSpaceDE/>
              <w:autoSpaceDN/>
              <w:adjustRightInd/>
              <w:spacing w:after="120"/>
              <w:ind w:left="720" w:hanging="360"/>
              <w:textAlignment w:val="auto"/>
              <w:rPr>
                <w:rFonts w:asciiTheme="minorHAnsi" w:hAnsiTheme="minorHAnsi" w:cstheme="minorHAnsi"/>
                <w:sz w:val="22"/>
              </w:rPr>
            </w:pPr>
            <w:r w:rsidRPr="00EB5388">
              <w:rPr>
                <w:rFonts w:ascii="Symbol" w:hAnsi="Symbol" w:cstheme="minorHAnsi"/>
                <w:sz w:val="20"/>
              </w:rPr>
              <w:t></w:t>
            </w:r>
            <w:r w:rsidRPr="00EB5388">
              <w:rPr>
                <w:rFonts w:ascii="Symbol" w:hAnsi="Symbol" w:cstheme="minorHAnsi"/>
                <w:sz w:val="20"/>
              </w:rPr>
              <w:tab/>
            </w:r>
            <w:r w:rsidR="00B91F19" w:rsidRPr="00EB5388">
              <w:rPr>
                <w:rFonts w:asciiTheme="minorHAnsi" w:hAnsiTheme="minorHAnsi" w:cstheme="minorHAnsi"/>
                <w:sz w:val="22"/>
              </w:rPr>
              <w:t>ITU has launched the empowering Africa young leaders to solve regional digital challenges: Africa</w:t>
            </w:r>
            <w:r w:rsidR="00774D26">
              <w:rPr>
                <w:rFonts w:asciiTheme="minorHAnsi" w:hAnsiTheme="minorHAnsi" w:cstheme="minorHAnsi"/>
                <w:sz w:val="22"/>
              </w:rPr>
              <w:t>’</w:t>
            </w:r>
            <w:r w:rsidR="00B91F19" w:rsidRPr="00EB5388">
              <w:rPr>
                <w:rFonts w:asciiTheme="minorHAnsi" w:hAnsiTheme="minorHAnsi" w:cstheme="minorHAnsi"/>
                <w:sz w:val="22"/>
              </w:rPr>
              <w:t xml:space="preserve">s youth (ITU youth envoys, community workers, entrepreneurs, researchers, students and young professionals) from various backgrounds shared best practices on youth-led digital innovations at the Generation Connect Global Youth Summit in Kigali. ITU in collaboration with partners such as ILO, UNHCR and ATU convened young leaders from around the Africa region to lead and participate in partner sessions that provided youth organizations and youth leaders a forum to present and discuss their innovations and projects to empower youth to contribute to the digital transformation of </w:t>
            </w:r>
            <w:r w:rsidR="00B91F19" w:rsidRPr="00EB5388">
              <w:rPr>
                <w:rFonts w:asciiTheme="minorHAnsi" w:hAnsiTheme="minorHAnsi" w:cstheme="minorHAnsi"/>
                <w:sz w:val="22"/>
              </w:rPr>
              <w:lastRenderedPageBreak/>
              <w:t xml:space="preserve">their societies, in support of joint programmes and initiatives. In partnership with UNFPA, ITU helped rethink the Tech4Youth platform, which addresses a range of issues related to the empowerment and resilience of Youth for SDGs 3 and 5, and developed a new initiative called Tech4Girls, an innovative training and mentoring project to improve creativity and problem-solving, and communication and entrepreneurial skills of young girls. In addition, ITU partnered with UNFPA and WIPO to run an Innovation Challenge to seek and support </w:t>
            </w:r>
            <w:r w:rsidR="00774D26">
              <w:rPr>
                <w:rFonts w:asciiTheme="minorHAnsi" w:hAnsiTheme="minorHAnsi" w:cstheme="minorHAnsi"/>
                <w:sz w:val="22"/>
              </w:rPr>
              <w:t>“</w:t>
            </w:r>
            <w:r w:rsidR="00B91F19" w:rsidRPr="00EB5388">
              <w:rPr>
                <w:rFonts w:asciiTheme="minorHAnsi" w:hAnsiTheme="minorHAnsi" w:cstheme="minorHAnsi"/>
                <w:sz w:val="22"/>
              </w:rPr>
              <w:t>Innovation to Empower Women and Girls</w:t>
            </w:r>
            <w:proofErr w:type="gramStart"/>
            <w:r w:rsidR="00774D26">
              <w:rPr>
                <w:rFonts w:asciiTheme="minorHAnsi" w:hAnsiTheme="minorHAnsi" w:cstheme="minorHAnsi"/>
                <w:sz w:val="22"/>
              </w:rPr>
              <w:t>”</w:t>
            </w:r>
            <w:r w:rsidR="00B91F19" w:rsidRPr="00EB5388">
              <w:rPr>
                <w:rFonts w:asciiTheme="minorHAnsi" w:hAnsiTheme="minorHAnsi" w:cstheme="minorHAnsi"/>
                <w:sz w:val="22"/>
              </w:rPr>
              <w:t>;</w:t>
            </w:r>
            <w:proofErr w:type="gramEnd"/>
            <w:r w:rsidR="00B91F19" w:rsidRPr="00EB5388">
              <w:rPr>
                <w:rFonts w:asciiTheme="minorHAnsi" w:hAnsiTheme="minorHAnsi" w:cstheme="minorHAnsi"/>
                <w:sz w:val="22"/>
              </w:rPr>
              <w:t xml:space="preserve"> </w:t>
            </w:r>
          </w:p>
          <w:p w14:paraId="10542220" w14:textId="1DF0DFB9"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color w:val="000000"/>
                <w:sz w:val="22"/>
              </w:rPr>
            </w:pPr>
            <w:r w:rsidRPr="00EB5388">
              <w:rPr>
                <w:rFonts w:ascii="Symbol" w:hAnsi="Symbol" w:cstheme="minorHAnsi"/>
                <w:color w:val="000000"/>
                <w:sz w:val="20"/>
              </w:rPr>
              <w:t></w:t>
            </w:r>
            <w:r w:rsidRPr="00EB5388">
              <w:rPr>
                <w:rFonts w:ascii="Symbol" w:hAnsi="Symbol" w:cstheme="minorHAnsi"/>
                <w:color w:val="000000"/>
                <w:sz w:val="20"/>
              </w:rPr>
              <w:tab/>
            </w:r>
            <w:r w:rsidR="00B91F19" w:rsidRPr="00EB5388">
              <w:rPr>
                <w:rFonts w:asciiTheme="minorHAnsi" w:hAnsiTheme="minorHAnsi" w:cstheme="minorHAnsi"/>
                <w:color w:val="000000" w:themeColor="text1"/>
                <w:sz w:val="22"/>
              </w:rPr>
              <w:t xml:space="preserve">Promoting and scaling up actions at the global level aiming at adopting whole-of-government approaches for investing in shared digital infrastructure that can lead to more rapid scale-up of digital services at less cost and greater return on investment, and how to coordinate investment to make digital public goods available that can enable digital transformation for </w:t>
            </w:r>
            <w:proofErr w:type="gramStart"/>
            <w:r w:rsidR="00B91F19" w:rsidRPr="00EB5388">
              <w:rPr>
                <w:rFonts w:asciiTheme="minorHAnsi" w:hAnsiTheme="minorHAnsi" w:cstheme="minorHAnsi"/>
                <w:color w:val="000000" w:themeColor="text1"/>
                <w:sz w:val="22"/>
              </w:rPr>
              <w:t>SDGs;</w:t>
            </w:r>
            <w:proofErr w:type="gramEnd"/>
            <w:r w:rsidR="00B91F19" w:rsidRPr="00EB5388">
              <w:rPr>
                <w:rFonts w:asciiTheme="minorHAnsi" w:hAnsiTheme="minorHAnsi" w:cstheme="minorHAnsi"/>
                <w:color w:val="000000" w:themeColor="text1"/>
                <w:sz w:val="22"/>
              </w:rPr>
              <w:t xml:space="preserve"> </w:t>
            </w:r>
          </w:p>
          <w:p w14:paraId="06ADCC71" w14:textId="0761FC61"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color w:val="000000"/>
                <w:sz w:val="22"/>
              </w:rPr>
            </w:pPr>
            <w:r w:rsidRPr="00EB5388">
              <w:rPr>
                <w:rFonts w:ascii="Symbol" w:hAnsi="Symbol" w:cstheme="minorHAnsi"/>
                <w:color w:val="000000"/>
                <w:sz w:val="20"/>
              </w:rPr>
              <w:t></w:t>
            </w:r>
            <w:r w:rsidRPr="00EB5388">
              <w:rPr>
                <w:rFonts w:ascii="Symbol" w:hAnsi="Symbol" w:cstheme="minorHAnsi"/>
                <w:color w:val="000000"/>
                <w:sz w:val="20"/>
              </w:rPr>
              <w:tab/>
            </w:r>
            <w:r w:rsidR="00B91F19" w:rsidRPr="00EB5388">
              <w:rPr>
                <w:rFonts w:asciiTheme="minorHAnsi" w:hAnsiTheme="minorHAnsi" w:cstheme="minorHAnsi"/>
                <w:color w:val="000000" w:themeColor="text1"/>
                <w:sz w:val="22"/>
              </w:rPr>
              <w:t xml:space="preserve">ITU, together with the governments of Germany and Estonia, and the Digital Impact Alliance, launched an initiative to assist national governments in establishing interoperable, secure and reusable IT infrastructure in support of their national development objectives. The </w:t>
            </w:r>
            <w:r w:rsidR="00774D26">
              <w:rPr>
                <w:rFonts w:asciiTheme="minorHAnsi" w:hAnsiTheme="minorHAnsi" w:cstheme="minorHAnsi"/>
                <w:color w:val="000000" w:themeColor="text1"/>
                <w:sz w:val="22"/>
              </w:rPr>
              <w:t>“</w:t>
            </w:r>
            <w:proofErr w:type="spellStart"/>
            <w:r w:rsidR="00B91F19" w:rsidRPr="00EB5388">
              <w:rPr>
                <w:rFonts w:asciiTheme="minorHAnsi" w:hAnsiTheme="minorHAnsi" w:cstheme="minorHAnsi"/>
                <w:color w:val="000000" w:themeColor="text1"/>
                <w:sz w:val="22"/>
              </w:rPr>
              <w:t>GovStack</w:t>
            </w:r>
            <w:proofErr w:type="spellEnd"/>
            <w:r w:rsidR="00774D26">
              <w:rPr>
                <w:rFonts w:asciiTheme="minorHAnsi" w:hAnsiTheme="minorHAnsi" w:cstheme="minorHAnsi"/>
                <w:color w:val="000000" w:themeColor="text1"/>
                <w:sz w:val="22"/>
              </w:rPr>
              <w:t>”</w:t>
            </w:r>
            <w:r w:rsidR="00B91F19" w:rsidRPr="00EB5388">
              <w:rPr>
                <w:rFonts w:asciiTheme="minorHAnsi" w:hAnsiTheme="minorHAnsi" w:cstheme="minorHAnsi"/>
                <w:color w:val="000000" w:themeColor="text1"/>
                <w:sz w:val="22"/>
              </w:rPr>
              <w:t xml:space="preserve"> is a set of digital building blocks that allow national public agencies to harness the power of emerging IT technologies, while minimizing costs and dependence on external contractors. The building blocks can be stacked together to easily build need-tailored, yet technically standardized solutions and services for citizen-oriented use cases in administration, health care, agriculture, education, and more. Within this framework, the following activities were launched:</w:t>
            </w:r>
          </w:p>
          <w:p w14:paraId="5488C1F9" w14:textId="2C86051D" w:rsidR="00B91F19" w:rsidRPr="00EB5388" w:rsidRDefault="00A201CA" w:rsidP="00A201CA">
            <w:pPr>
              <w:tabs>
                <w:tab w:val="clear" w:pos="567"/>
                <w:tab w:val="clear" w:pos="1134"/>
                <w:tab w:val="clear" w:pos="1701"/>
                <w:tab w:val="clear" w:pos="2268"/>
                <w:tab w:val="clear" w:pos="2835"/>
              </w:tabs>
              <w:overflowPunct/>
              <w:autoSpaceDE/>
              <w:autoSpaceDN/>
              <w:adjustRightInd/>
              <w:spacing w:after="60"/>
              <w:ind w:left="1440" w:hanging="360"/>
              <w:textAlignment w:val="auto"/>
              <w:rPr>
                <w:rFonts w:asciiTheme="minorHAnsi" w:hAnsiTheme="minorHAnsi" w:cstheme="minorHAnsi"/>
                <w:sz w:val="22"/>
              </w:rPr>
            </w:pPr>
            <w:r w:rsidRPr="00EB5388">
              <w:rPr>
                <w:rFonts w:ascii="Courier New" w:hAnsi="Courier New" w:cs="Courier New"/>
                <w:sz w:val="22"/>
              </w:rPr>
              <w:t>o</w:t>
            </w:r>
            <w:r w:rsidRPr="00EB5388">
              <w:rPr>
                <w:rFonts w:ascii="Courier New" w:hAnsi="Courier New" w:cs="Courier New"/>
                <w:sz w:val="22"/>
              </w:rPr>
              <w:tab/>
            </w:r>
            <w:r w:rsidR="00B91F19" w:rsidRPr="00EB5388">
              <w:rPr>
                <w:rFonts w:asciiTheme="minorHAnsi" w:hAnsiTheme="minorHAnsi" w:cstheme="minorHAnsi"/>
                <w:sz w:val="22"/>
              </w:rPr>
              <w:t xml:space="preserve">Two Building Block (BB) technical specifications were published. </w:t>
            </w:r>
          </w:p>
          <w:p w14:paraId="1D864CC5" w14:textId="19249C1F" w:rsidR="00B91F19" w:rsidRPr="00EB5388" w:rsidRDefault="00A201CA" w:rsidP="00A201CA">
            <w:pPr>
              <w:tabs>
                <w:tab w:val="clear" w:pos="567"/>
                <w:tab w:val="clear" w:pos="1134"/>
                <w:tab w:val="clear" w:pos="1701"/>
                <w:tab w:val="clear" w:pos="2268"/>
                <w:tab w:val="clear" w:pos="2835"/>
              </w:tabs>
              <w:overflowPunct/>
              <w:autoSpaceDE/>
              <w:autoSpaceDN/>
              <w:adjustRightInd/>
              <w:spacing w:before="60" w:after="60"/>
              <w:ind w:left="1440" w:hanging="360"/>
              <w:textAlignment w:val="auto"/>
              <w:rPr>
                <w:rFonts w:asciiTheme="minorHAnsi" w:hAnsiTheme="minorHAnsi" w:cstheme="minorHAnsi"/>
                <w:sz w:val="22"/>
              </w:rPr>
            </w:pPr>
            <w:r w:rsidRPr="00EB5388">
              <w:rPr>
                <w:rFonts w:ascii="Courier New" w:hAnsi="Courier New" w:cs="Courier New"/>
                <w:sz w:val="22"/>
              </w:rPr>
              <w:t>o</w:t>
            </w:r>
            <w:r w:rsidRPr="00EB5388">
              <w:rPr>
                <w:rFonts w:ascii="Courier New" w:hAnsi="Courier New" w:cs="Courier New"/>
                <w:sz w:val="22"/>
              </w:rPr>
              <w:tab/>
            </w:r>
            <w:r w:rsidR="00B91F19" w:rsidRPr="00EB5388">
              <w:rPr>
                <w:rFonts w:asciiTheme="minorHAnsi" w:hAnsiTheme="minorHAnsi" w:cstheme="minorHAnsi"/>
                <w:sz w:val="22"/>
              </w:rPr>
              <w:t xml:space="preserve">The Horn of Africa </w:t>
            </w:r>
            <w:proofErr w:type="spellStart"/>
            <w:r w:rsidR="00B91F19" w:rsidRPr="00EB5388">
              <w:rPr>
                <w:rFonts w:asciiTheme="minorHAnsi" w:hAnsiTheme="minorHAnsi" w:cstheme="minorHAnsi"/>
                <w:sz w:val="22"/>
              </w:rPr>
              <w:t>GovStack</w:t>
            </w:r>
            <w:proofErr w:type="spellEnd"/>
            <w:r w:rsidR="00B91F19" w:rsidRPr="00EB5388">
              <w:rPr>
                <w:rFonts w:asciiTheme="minorHAnsi" w:hAnsiTheme="minorHAnsi" w:cstheme="minorHAnsi"/>
                <w:sz w:val="22"/>
              </w:rPr>
              <w:t xml:space="preserve"> implementation in Djibouti and Kenya started in June with a series of digital service co-design workshops to prioritize and rank five government services to be digitized in 2023 using a </w:t>
            </w:r>
            <w:proofErr w:type="spellStart"/>
            <w:r w:rsidR="00B91F19" w:rsidRPr="00EB5388">
              <w:rPr>
                <w:rFonts w:asciiTheme="minorHAnsi" w:hAnsiTheme="minorHAnsi" w:cstheme="minorHAnsi"/>
                <w:sz w:val="22"/>
              </w:rPr>
              <w:t>GovStack</w:t>
            </w:r>
            <w:proofErr w:type="spellEnd"/>
            <w:r w:rsidR="00B91F19" w:rsidRPr="00EB5388">
              <w:rPr>
                <w:rFonts w:asciiTheme="minorHAnsi" w:hAnsiTheme="minorHAnsi" w:cstheme="minorHAnsi"/>
                <w:sz w:val="22"/>
              </w:rPr>
              <w:t xml:space="preserve"> Service Design &amp; Building Blocks Approach. </w:t>
            </w:r>
          </w:p>
          <w:p w14:paraId="443BD6D7" w14:textId="1D88835F" w:rsidR="00B91F19" w:rsidRPr="00EB5388" w:rsidRDefault="00A201CA" w:rsidP="00A201CA">
            <w:pPr>
              <w:tabs>
                <w:tab w:val="clear" w:pos="567"/>
                <w:tab w:val="clear" w:pos="1134"/>
                <w:tab w:val="clear" w:pos="1701"/>
                <w:tab w:val="clear" w:pos="2268"/>
                <w:tab w:val="clear" w:pos="2835"/>
              </w:tabs>
              <w:overflowPunct/>
              <w:autoSpaceDE/>
              <w:autoSpaceDN/>
              <w:adjustRightInd/>
              <w:spacing w:before="60" w:after="60"/>
              <w:ind w:left="1440" w:hanging="360"/>
              <w:textAlignment w:val="auto"/>
              <w:rPr>
                <w:rFonts w:asciiTheme="minorHAnsi" w:hAnsiTheme="minorHAnsi" w:cstheme="minorHAnsi"/>
                <w:sz w:val="22"/>
              </w:rPr>
            </w:pPr>
            <w:r w:rsidRPr="00EB5388">
              <w:rPr>
                <w:rFonts w:ascii="Courier New" w:hAnsi="Courier New" w:cs="Courier New"/>
                <w:sz w:val="22"/>
              </w:rPr>
              <w:t>o</w:t>
            </w:r>
            <w:r w:rsidRPr="00EB5388">
              <w:rPr>
                <w:rFonts w:ascii="Courier New" w:hAnsi="Courier New" w:cs="Courier New"/>
                <w:sz w:val="22"/>
              </w:rPr>
              <w:tab/>
            </w:r>
            <w:proofErr w:type="gramStart"/>
            <w:r w:rsidR="00B91F19" w:rsidRPr="00EB5388">
              <w:rPr>
                <w:rFonts w:asciiTheme="minorHAnsi" w:hAnsiTheme="minorHAnsi" w:cstheme="minorHAnsi"/>
                <w:sz w:val="22"/>
              </w:rPr>
              <w:t>Technical</w:t>
            </w:r>
            <w:proofErr w:type="gramEnd"/>
            <w:r w:rsidR="00B91F19" w:rsidRPr="00EB5388">
              <w:rPr>
                <w:rFonts w:asciiTheme="minorHAnsi" w:hAnsiTheme="minorHAnsi" w:cstheme="minorHAnsi"/>
                <w:sz w:val="22"/>
              </w:rPr>
              <w:t xml:space="preserve"> specifications for geographic information systems, e-signature, cloud &amp; infrastructure, UX/UI, and e-marketplace started their co-design process in September. </w:t>
            </w:r>
          </w:p>
          <w:p w14:paraId="46ADD590" w14:textId="783ED544" w:rsidR="00B91F19" w:rsidRPr="00EB5388" w:rsidRDefault="00A201CA" w:rsidP="00A201CA">
            <w:pPr>
              <w:tabs>
                <w:tab w:val="clear" w:pos="567"/>
                <w:tab w:val="clear" w:pos="1134"/>
                <w:tab w:val="clear" w:pos="1701"/>
                <w:tab w:val="clear" w:pos="2268"/>
                <w:tab w:val="clear" w:pos="2835"/>
              </w:tabs>
              <w:overflowPunct/>
              <w:autoSpaceDE/>
              <w:autoSpaceDN/>
              <w:adjustRightInd/>
              <w:spacing w:before="60" w:after="120"/>
              <w:ind w:left="1440" w:hanging="360"/>
              <w:textAlignment w:val="auto"/>
              <w:rPr>
                <w:rFonts w:asciiTheme="minorHAnsi" w:hAnsiTheme="minorHAnsi" w:cstheme="minorHAnsi"/>
                <w:sz w:val="22"/>
              </w:rPr>
            </w:pPr>
            <w:r w:rsidRPr="00EB5388">
              <w:rPr>
                <w:rFonts w:ascii="Courier New" w:hAnsi="Courier New" w:cs="Courier New"/>
                <w:sz w:val="22"/>
              </w:rPr>
              <w:t>o</w:t>
            </w:r>
            <w:r w:rsidRPr="00EB5388">
              <w:rPr>
                <w:rFonts w:ascii="Courier New" w:hAnsi="Courier New" w:cs="Courier New"/>
                <w:sz w:val="22"/>
              </w:rPr>
              <w:tab/>
            </w:r>
            <w:r w:rsidR="00B91F19" w:rsidRPr="00EB5388">
              <w:rPr>
                <w:rFonts w:asciiTheme="minorHAnsi" w:hAnsiTheme="minorHAnsi" w:cstheme="minorHAnsi"/>
                <w:sz w:val="22"/>
              </w:rPr>
              <w:t xml:space="preserve">The </w:t>
            </w:r>
            <w:proofErr w:type="spellStart"/>
            <w:r w:rsidR="00B91F19" w:rsidRPr="00EB5388">
              <w:rPr>
                <w:rFonts w:asciiTheme="minorHAnsi" w:hAnsiTheme="minorHAnsi" w:cstheme="minorHAnsi"/>
                <w:sz w:val="22"/>
              </w:rPr>
              <w:t>GovStack</w:t>
            </w:r>
            <w:proofErr w:type="spellEnd"/>
            <w:r w:rsidR="00B91F19" w:rsidRPr="00EB5388">
              <w:rPr>
                <w:rFonts w:asciiTheme="minorHAnsi" w:hAnsiTheme="minorHAnsi" w:cstheme="minorHAnsi"/>
                <w:sz w:val="22"/>
              </w:rPr>
              <w:t xml:space="preserve"> CIO Digital Leaders Forum was launched at WSIS Forum 2022 with the participation of Egypt, Estonia, India, Peru, Rwanda and Ukraine.</w:t>
            </w:r>
          </w:p>
          <w:p w14:paraId="15E6DEE4" w14:textId="4FA496ED"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sz w:val="22"/>
              </w:rPr>
            </w:pPr>
            <w:r w:rsidRPr="00EB5388">
              <w:rPr>
                <w:rFonts w:ascii="Symbol" w:hAnsi="Symbol" w:cstheme="minorHAnsi"/>
                <w:sz w:val="20"/>
              </w:rPr>
              <w:t></w:t>
            </w:r>
            <w:r w:rsidRPr="00EB5388">
              <w:rPr>
                <w:rFonts w:ascii="Symbol" w:hAnsi="Symbol" w:cstheme="minorHAnsi"/>
                <w:sz w:val="20"/>
              </w:rPr>
              <w:tab/>
            </w:r>
            <w:r w:rsidR="00B91F19" w:rsidRPr="00EB5388">
              <w:rPr>
                <w:rFonts w:asciiTheme="minorHAnsi" w:hAnsiTheme="minorHAnsi" w:cstheme="minorHAnsi"/>
                <w:color w:val="000000" w:themeColor="text1"/>
                <w:sz w:val="22"/>
              </w:rPr>
              <w:t>Promoting ICT regulatory policies enhancing policy coherence, notably by making knowledge exchange tools and platforms available, raising awareness about the importance of an enabling environment; organizing global and regional forums and seminars to discuss global trends in digital regulation for Sector Members and other national and international ICT and intersectoral stakeholders, through events such as the Global Symposium for Regulators (GSR) as well as strategic dialogues on topical policy, legal, regulatory, as well as on economic and financial issues and market developments, and the World Telecommunication/ICT Indicators Symposium (WTIS);</w:t>
            </w:r>
          </w:p>
          <w:p w14:paraId="550181AE" w14:textId="6510C6B9"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sz w:val="22"/>
              </w:rPr>
            </w:pPr>
            <w:r w:rsidRPr="00EB5388">
              <w:rPr>
                <w:rFonts w:ascii="Symbol" w:hAnsi="Symbol" w:cstheme="minorHAnsi"/>
                <w:sz w:val="20"/>
              </w:rPr>
              <w:t></w:t>
            </w:r>
            <w:r w:rsidRPr="00EB5388">
              <w:rPr>
                <w:rFonts w:ascii="Symbol" w:hAnsi="Symbol" w:cstheme="minorHAnsi"/>
                <w:sz w:val="20"/>
              </w:rPr>
              <w:tab/>
            </w:r>
            <w:r w:rsidR="00B91F19" w:rsidRPr="00EB5388">
              <w:rPr>
                <w:rFonts w:asciiTheme="minorHAnsi" w:hAnsiTheme="minorHAnsi" w:cstheme="minorHAnsi"/>
                <w:color w:val="000000" w:themeColor="text1"/>
                <w:sz w:val="22"/>
              </w:rPr>
              <w:t xml:space="preserve">Proposing guidelines and recommendations addressed to the regulatory community and industry stakeholders (policy-makers, national regulatory authorities (NRAs), network operators/service providers, equipment manufacturers, digital players, governments, academics, international and regional associations, civil society) to promote and encourage cooperation and collaboration at regional and global level on policy, regulatory and economic issues notably through ITU Research publications, the Global Symposium for Regulators (GSR) Best Practices Guidelines, REG4COVID platform, ITU Datahub, ITU-World Bank digital regulation platform,G5 Accelerator, etc.; </w:t>
            </w:r>
          </w:p>
          <w:p w14:paraId="35D8DA89" w14:textId="469534A0"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sz w:val="22"/>
              </w:rPr>
            </w:pPr>
            <w:r w:rsidRPr="00EB5388">
              <w:rPr>
                <w:rFonts w:ascii="Symbol" w:hAnsi="Symbol" w:cstheme="minorHAnsi"/>
                <w:sz w:val="20"/>
              </w:rPr>
              <w:lastRenderedPageBreak/>
              <w:t></w:t>
            </w:r>
            <w:r w:rsidRPr="00EB5388">
              <w:rPr>
                <w:rFonts w:ascii="Symbol" w:hAnsi="Symbol" w:cstheme="minorHAnsi"/>
                <w:sz w:val="20"/>
              </w:rPr>
              <w:tab/>
            </w:r>
            <w:r w:rsidR="00B91F19" w:rsidRPr="00EB5388">
              <w:rPr>
                <w:rFonts w:asciiTheme="minorHAnsi" w:hAnsiTheme="minorHAnsi" w:cstheme="minorHAnsi"/>
                <w:color w:val="000000" w:themeColor="text1"/>
                <w:sz w:val="22"/>
              </w:rPr>
              <w:t xml:space="preserve">Providing a neutral platform for international cooperation towards building a harmonized and coordinated approach to fast-forward the evolution of the information </w:t>
            </w:r>
            <w:proofErr w:type="gramStart"/>
            <w:r w:rsidR="00B91F19" w:rsidRPr="00EB5388">
              <w:rPr>
                <w:rFonts w:asciiTheme="minorHAnsi" w:hAnsiTheme="minorHAnsi" w:cstheme="minorHAnsi"/>
                <w:color w:val="000000" w:themeColor="text1"/>
                <w:sz w:val="22"/>
              </w:rPr>
              <w:t>society;</w:t>
            </w:r>
            <w:proofErr w:type="gramEnd"/>
            <w:r w:rsidR="00B91F19" w:rsidRPr="00EB5388">
              <w:rPr>
                <w:rFonts w:asciiTheme="minorHAnsi" w:hAnsiTheme="minorHAnsi" w:cstheme="minorHAnsi"/>
                <w:color w:val="000000" w:themeColor="text1"/>
                <w:sz w:val="22"/>
              </w:rPr>
              <w:t xml:space="preserve"> </w:t>
            </w:r>
          </w:p>
          <w:p w14:paraId="5B4489F1" w14:textId="5DA96504"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sz w:val="22"/>
              </w:rPr>
            </w:pPr>
            <w:r w:rsidRPr="00EB5388">
              <w:rPr>
                <w:rFonts w:ascii="Symbol" w:hAnsi="Symbol" w:cstheme="minorHAnsi"/>
                <w:sz w:val="20"/>
              </w:rPr>
              <w:t></w:t>
            </w:r>
            <w:r w:rsidRPr="00EB5388">
              <w:rPr>
                <w:rFonts w:ascii="Symbol" w:hAnsi="Symbol" w:cstheme="minorHAnsi"/>
                <w:sz w:val="20"/>
              </w:rPr>
              <w:tab/>
            </w:r>
            <w:r w:rsidR="00B91F19" w:rsidRPr="00EB5388">
              <w:rPr>
                <w:rFonts w:asciiTheme="minorHAnsi" w:hAnsiTheme="minorHAnsi" w:cstheme="minorHAnsi"/>
                <w:color w:val="000000" w:themeColor="text1"/>
                <w:sz w:val="22"/>
              </w:rPr>
              <w:t xml:space="preserve">Monitoring of Target 17.6 by collecting and disseminating data on Internet access and usage, in particular fixed broadband access, which is a key requirement for enhanced access to science, technology and innovation </w:t>
            </w:r>
            <w:proofErr w:type="gramStart"/>
            <w:r w:rsidR="00B91F19" w:rsidRPr="00EB5388">
              <w:rPr>
                <w:rFonts w:asciiTheme="minorHAnsi" w:hAnsiTheme="minorHAnsi" w:cstheme="minorHAnsi"/>
                <w:color w:val="000000" w:themeColor="text1"/>
                <w:sz w:val="22"/>
              </w:rPr>
              <w:t>networks;</w:t>
            </w:r>
            <w:proofErr w:type="gramEnd"/>
            <w:r w:rsidR="00B91F19" w:rsidRPr="00EB5388">
              <w:rPr>
                <w:rFonts w:asciiTheme="minorHAnsi" w:hAnsiTheme="minorHAnsi" w:cstheme="minorHAnsi"/>
                <w:color w:val="000000" w:themeColor="text1"/>
                <w:sz w:val="22"/>
              </w:rPr>
              <w:t xml:space="preserve"> </w:t>
            </w:r>
          </w:p>
          <w:p w14:paraId="6F6CCA06" w14:textId="3816CC53"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sz w:val="22"/>
              </w:rPr>
            </w:pPr>
            <w:r w:rsidRPr="00EB5388">
              <w:rPr>
                <w:rFonts w:ascii="Symbol" w:hAnsi="Symbol" w:cstheme="minorHAnsi"/>
                <w:sz w:val="20"/>
              </w:rPr>
              <w:t></w:t>
            </w:r>
            <w:r w:rsidRPr="00EB5388">
              <w:rPr>
                <w:rFonts w:ascii="Symbol" w:hAnsi="Symbol" w:cstheme="minorHAnsi"/>
                <w:sz w:val="20"/>
              </w:rPr>
              <w:tab/>
            </w:r>
            <w:r w:rsidR="00B91F19" w:rsidRPr="00EB5388">
              <w:rPr>
                <w:rFonts w:asciiTheme="minorHAnsi" w:hAnsiTheme="minorHAnsi" w:cstheme="minorHAnsi"/>
                <w:color w:val="000000" w:themeColor="text1"/>
                <w:sz w:val="22"/>
              </w:rPr>
              <w:t xml:space="preserve">The establishment of Mutual Recognition Agreements for a common and harmonized Conformance and Interoperability (C&amp;I) programme at international and regional levels. Through the share and efficient use of C&amp;I infrastructures – as laboratories, accreditation bodies and regulatory practices – technical requirements can be harmonized and the transit of ICT goods and services can be facilitated, increasing trade and regional </w:t>
            </w:r>
            <w:proofErr w:type="gramStart"/>
            <w:r w:rsidR="00B91F19" w:rsidRPr="00EB5388">
              <w:rPr>
                <w:rFonts w:asciiTheme="minorHAnsi" w:hAnsiTheme="minorHAnsi" w:cstheme="minorHAnsi"/>
                <w:color w:val="000000" w:themeColor="text1"/>
                <w:sz w:val="22"/>
              </w:rPr>
              <w:t>development;</w:t>
            </w:r>
            <w:proofErr w:type="gramEnd"/>
            <w:r w:rsidR="00B91F19" w:rsidRPr="00EB5388">
              <w:rPr>
                <w:rFonts w:asciiTheme="minorHAnsi" w:hAnsiTheme="minorHAnsi" w:cstheme="minorHAnsi"/>
                <w:color w:val="000000" w:themeColor="text1"/>
                <w:sz w:val="22"/>
              </w:rPr>
              <w:t xml:space="preserve"> </w:t>
            </w:r>
          </w:p>
          <w:p w14:paraId="3B8F4277" w14:textId="63907649"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sz w:val="22"/>
              </w:rPr>
            </w:pPr>
            <w:r w:rsidRPr="00EB5388">
              <w:rPr>
                <w:rFonts w:ascii="Symbol" w:hAnsi="Symbol" w:cstheme="minorHAnsi"/>
                <w:sz w:val="20"/>
              </w:rPr>
              <w:t></w:t>
            </w:r>
            <w:r w:rsidRPr="00EB5388">
              <w:rPr>
                <w:rFonts w:ascii="Symbol" w:hAnsi="Symbol" w:cstheme="minorHAnsi"/>
                <w:sz w:val="20"/>
              </w:rPr>
              <w:tab/>
            </w:r>
            <w:r w:rsidR="00B91F19" w:rsidRPr="00EB5388">
              <w:rPr>
                <w:rFonts w:asciiTheme="minorHAnsi" w:hAnsiTheme="minorHAnsi" w:cstheme="minorHAnsi"/>
                <w:color w:val="000000" w:themeColor="text1"/>
                <w:sz w:val="22"/>
              </w:rPr>
              <w:t xml:space="preserve">The monitoring of Target 17.8 by collecting and disseminating </w:t>
            </w:r>
            <w:proofErr w:type="gramStart"/>
            <w:r w:rsidR="00B91F19" w:rsidRPr="00EB5388">
              <w:rPr>
                <w:rFonts w:asciiTheme="minorHAnsi" w:hAnsiTheme="minorHAnsi" w:cstheme="minorHAnsi"/>
                <w:color w:val="000000" w:themeColor="text1"/>
                <w:sz w:val="22"/>
              </w:rPr>
              <w:t>a number of</w:t>
            </w:r>
            <w:proofErr w:type="gramEnd"/>
            <w:r w:rsidR="00B91F19" w:rsidRPr="00EB5388">
              <w:rPr>
                <w:rFonts w:asciiTheme="minorHAnsi" w:hAnsiTheme="minorHAnsi" w:cstheme="minorHAnsi"/>
                <w:color w:val="000000" w:themeColor="text1"/>
                <w:sz w:val="22"/>
              </w:rPr>
              <w:t xml:space="preserve"> relevant ICT indicators that enable assessment of progress made by countries, including on Internet access and usage by households and individuals, international bandwidth and ICT prices. Activities are carried out in close collaboration with the Partnership on Measuring ICT for </w:t>
            </w:r>
            <w:proofErr w:type="gramStart"/>
            <w:r w:rsidR="00B91F19" w:rsidRPr="00EB5388">
              <w:rPr>
                <w:rFonts w:asciiTheme="minorHAnsi" w:hAnsiTheme="minorHAnsi" w:cstheme="minorHAnsi"/>
                <w:color w:val="000000" w:themeColor="text1"/>
                <w:sz w:val="22"/>
              </w:rPr>
              <w:t>Development;</w:t>
            </w:r>
            <w:proofErr w:type="gramEnd"/>
            <w:r w:rsidR="00B91F19" w:rsidRPr="00EB5388">
              <w:rPr>
                <w:rFonts w:asciiTheme="minorHAnsi" w:hAnsiTheme="minorHAnsi" w:cstheme="minorHAnsi"/>
                <w:color w:val="000000" w:themeColor="text1"/>
                <w:sz w:val="22"/>
              </w:rPr>
              <w:t xml:space="preserve"> </w:t>
            </w:r>
          </w:p>
          <w:p w14:paraId="01F5937F" w14:textId="61B478F0"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sz w:val="22"/>
              </w:rPr>
            </w:pPr>
            <w:r w:rsidRPr="00EB5388">
              <w:rPr>
                <w:rFonts w:ascii="Symbol" w:hAnsi="Symbol" w:cstheme="minorHAnsi"/>
                <w:sz w:val="20"/>
              </w:rPr>
              <w:t></w:t>
            </w:r>
            <w:r w:rsidRPr="00EB5388">
              <w:rPr>
                <w:rFonts w:ascii="Symbol" w:hAnsi="Symbol" w:cstheme="minorHAnsi"/>
                <w:sz w:val="20"/>
              </w:rPr>
              <w:tab/>
            </w:r>
            <w:r w:rsidR="00B91F19" w:rsidRPr="00EB5388">
              <w:rPr>
                <w:rFonts w:asciiTheme="minorHAnsi" w:hAnsiTheme="minorHAnsi" w:cstheme="minorHAnsi"/>
                <w:color w:val="000000" w:themeColor="text1"/>
                <w:sz w:val="22"/>
              </w:rPr>
              <w:t xml:space="preserve">Promoting ICT regulatory policies enhancing policy coherence, notably by making knowledge exchange tools and platforms available, raising awareness about the importance of an enabling </w:t>
            </w:r>
            <w:proofErr w:type="gramStart"/>
            <w:r w:rsidR="00B91F19" w:rsidRPr="00EB5388">
              <w:rPr>
                <w:rFonts w:asciiTheme="minorHAnsi" w:hAnsiTheme="minorHAnsi" w:cstheme="minorHAnsi"/>
                <w:color w:val="000000" w:themeColor="text1"/>
                <w:sz w:val="22"/>
              </w:rPr>
              <w:t>environment;</w:t>
            </w:r>
            <w:proofErr w:type="gramEnd"/>
            <w:r w:rsidR="00B91F19" w:rsidRPr="00EB5388">
              <w:rPr>
                <w:rFonts w:asciiTheme="minorHAnsi" w:hAnsiTheme="minorHAnsi" w:cstheme="minorHAnsi"/>
                <w:color w:val="000000" w:themeColor="text1"/>
                <w:sz w:val="22"/>
              </w:rPr>
              <w:t xml:space="preserve"> </w:t>
            </w:r>
          </w:p>
          <w:p w14:paraId="45280E75" w14:textId="0B9802EA"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sz w:val="22"/>
              </w:rPr>
            </w:pPr>
            <w:r w:rsidRPr="00EB5388">
              <w:rPr>
                <w:rFonts w:ascii="Symbol" w:hAnsi="Symbol" w:cstheme="minorHAnsi"/>
                <w:sz w:val="20"/>
              </w:rPr>
              <w:t></w:t>
            </w:r>
            <w:r w:rsidRPr="00EB5388">
              <w:rPr>
                <w:rFonts w:ascii="Symbol" w:hAnsi="Symbol" w:cstheme="minorHAnsi"/>
                <w:sz w:val="20"/>
              </w:rPr>
              <w:tab/>
            </w:r>
            <w:r w:rsidR="00B91F19" w:rsidRPr="00EB5388">
              <w:rPr>
                <w:rFonts w:asciiTheme="minorHAnsi" w:hAnsiTheme="minorHAnsi" w:cstheme="minorHAnsi"/>
                <w:color w:val="000000" w:themeColor="text1"/>
                <w:sz w:val="22"/>
              </w:rPr>
              <w:t xml:space="preserve">Building harmonized regulatory frameworks within and across regions, and establishing a broader and inclusive dialogue and enhanced cooperation among all </w:t>
            </w:r>
            <w:proofErr w:type="gramStart"/>
            <w:r w:rsidR="00B91F19" w:rsidRPr="00EB5388">
              <w:rPr>
                <w:rFonts w:asciiTheme="minorHAnsi" w:hAnsiTheme="minorHAnsi" w:cstheme="minorHAnsi"/>
                <w:color w:val="000000" w:themeColor="text1"/>
                <w:sz w:val="22"/>
              </w:rPr>
              <w:t>stakeholders;</w:t>
            </w:r>
            <w:proofErr w:type="gramEnd"/>
            <w:r w:rsidR="00B91F19" w:rsidRPr="00EB5388">
              <w:rPr>
                <w:rFonts w:asciiTheme="minorHAnsi" w:hAnsiTheme="minorHAnsi" w:cstheme="minorHAnsi"/>
                <w:color w:val="000000" w:themeColor="text1"/>
                <w:sz w:val="22"/>
              </w:rPr>
              <w:t xml:space="preserve"> </w:t>
            </w:r>
          </w:p>
          <w:p w14:paraId="2CBF7580" w14:textId="1530C8E7"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sz w:val="22"/>
              </w:rPr>
            </w:pPr>
            <w:r w:rsidRPr="00EB5388">
              <w:rPr>
                <w:rFonts w:ascii="Symbol" w:hAnsi="Symbol" w:cstheme="minorHAnsi"/>
                <w:sz w:val="20"/>
              </w:rPr>
              <w:t></w:t>
            </w:r>
            <w:r w:rsidRPr="00EB5388">
              <w:rPr>
                <w:rFonts w:ascii="Symbol" w:hAnsi="Symbol" w:cstheme="minorHAnsi"/>
                <w:sz w:val="20"/>
              </w:rPr>
              <w:tab/>
            </w:r>
            <w:r w:rsidR="00B91F19" w:rsidRPr="00EB5388">
              <w:rPr>
                <w:rFonts w:asciiTheme="minorHAnsi" w:hAnsiTheme="minorHAnsi" w:cstheme="minorHAnsi"/>
                <w:color w:val="000000" w:themeColor="text1"/>
                <w:sz w:val="22"/>
              </w:rPr>
              <w:t xml:space="preserve">Enhancing the global partnership for sustainable development by working with governments, through their policy making and development of institutional frameworks for the ICT sector as well as with the private sector, to lay the foundation of modern digital </w:t>
            </w:r>
            <w:proofErr w:type="gramStart"/>
            <w:r w:rsidR="00B91F19" w:rsidRPr="00EB5388">
              <w:rPr>
                <w:rFonts w:asciiTheme="minorHAnsi" w:hAnsiTheme="minorHAnsi" w:cstheme="minorHAnsi"/>
                <w:color w:val="000000" w:themeColor="text1"/>
                <w:sz w:val="22"/>
              </w:rPr>
              <w:t>economies;</w:t>
            </w:r>
            <w:proofErr w:type="gramEnd"/>
            <w:r w:rsidR="00B91F19" w:rsidRPr="00EB5388">
              <w:rPr>
                <w:rFonts w:asciiTheme="minorHAnsi" w:hAnsiTheme="minorHAnsi" w:cstheme="minorHAnsi"/>
                <w:color w:val="000000" w:themeColor="text1"/>
                <w:sz w:val="22"/>
              </w:rPr>
              <w:t xml:space="preserve"> </w:t>
            </w:r>
          </w:p>
          <w:p w14:paraId="480B758F" w14:textId="4D9CD8AA"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sz w:val="22"/>
              </w:rPr>
            </w:pPr>
            <w:r w:rsidRPr="00EB5388">
              <w:rPr>
                <w:rFonts w:ascii="Symbol" w:hAnsi="Symbol" w:cstheme="minorHAnsi"/>
                <w:sz w:val="20"/>
              </w:rPr>
              <w:t></w:t>
            </w:r>
            <w:r w:rsidRPr="00EB5388">
              <w:rPr>
                <w:rFonts w:ascii="Symbol" w:hAnsi="Symbol" w:cstheme="minorHAnsi"/>
                <w:sz w:val="20"/>
              </w:rPr>
              <w:tab/>
            </w:r>
            <w:r w:rsidR="00B91F19" w:rsidRPr="00EB5388">
              <w:rPr>
                <w:rFonts w:asciiTheme="minorHAnsi" w:hAnsiTheme="minorHAnsi" w:cstheme="minorHAnsi"/>
                <w:color w:val="000000" w:themeColor="text1"/>
                <w:sz w:val="22"/>
              </w:rPr>
              <w:t xml:space="preserve">ITU with the support of the governments of Japan and Saudi Arabia launched the Connect2Recover initiative at the time of the COVID-19 pandemic to assist beneficiary countries, in particular LDCs, LLDCs, and SIDS, to build back better during the recovery period, and to remain resilient in times of hazards.  In addition to Japan and Saudi Arabia, the initiative has since received support from the governments of Australia, Lithuania and Czech Republic. In addition, there is also support provided by Vodafone (to support the work of the Broadband Commission Working Group on Smartphone Access) and Huawei (to support the research competition). With the support of the partners, Connect2Recover has an impact on 43 countries around the </w:t>
            </w:r>
            <w:proofErr w:type="gramStart"/>
            <w:r w:rsidR="00B91F19" w:rsidRPr="00EB5388">
              <w:rPr>
                <w:rFonts w:asciiTheme="minorHAnsi" w:hAnsiTheme="minorHAnsi" w:cstheme="minorHAnsi"/>
                <w:color w:val="000000" w:themeColor="text1"/>
                <w:sz w:val="22"/>
              </w:rPr>
              <w:t>world;</w:t>
            </w:r>
            <w:proofErr w:type="gramEnd"/>
          </w:p>
          <w:p w14:paraId="7AA9C26B" w14:textId="7709CA25"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sz w:val="22"/>
              </w:rPr>
            </w:pPr>
            <w:r w:rsidRPr="00EB5388">
              <w:rPr>
                <w:rFonts w:ascii="Symbol" w:hAnsi="Symbol" w:cstheme="minorHAnsi"/>
                <w:sz w:val="20"/>
              </w:rPr>
              <w:t></w:t>
            </w:r>
            <w:r w:rsidRPr="00EB5388">
              <w:rPr>
                <w:rFonts w:ascii="Symbol" w:hAnsi="Symbol" w:cstheme="minorHAnsi"/>
                <w:sz w:val="20"/>
              </w:rPr>
              <w:tab/>
            </w:r>
            <w:r w:rsidR="00B91F19" w:rsidRPr="00EB5388">
              <w:rPr>
                <w:rFonts w:asciiTheme="minorHAnsi" w:hAnsiTheme="minorHAnsi" w:cstheme="minorHAnsi"/>
                <w:color w:val="000000" w:themeColor="text1"/>
                <w:sz w:val="22"/>
              </w:rPr>
              <w:t>Further scaling up a series of strategic initiatives aiming at acceleration of achievement of diverse SDGs thanks to ICTs, such as Connecting Every School to the Internet (Giga), Child Online Protection (COP), International Center of Digital Innovation (I-</w:t>
            </w:r>
            <w:proofErr w:type="spellStart"/>
            <w:r w:rsidR="00B91F19" w:rsidRPr="00EB5388">
              <w:rPr>
                <w:rFonts w:asciiTheme="minorHAnsi" w:hAnsiTheme="minorHAnsi" w:cstheme="minorHAnsi"/>
                <w:color w:val="000000" w:themeColor="text1"/>
                <w:sz w:val="22"/>
              </w:rPr>
              <w:t>CoDI</w:t>
            </w:r>
            <w:proofErr w:type="spellEnd"/>
            <w:r w:rsidR="00B91F19" w:rsidRPr="00EB5388">
              <w:rPr>
                <w:rFonts w:asciiTheme="minorHAnsi" w:hAnsiTheme="minorHAnsi" w:cstheme="minorHAnsi"/>
                <w:color w:val="000000" w:themeColor="text1"/>
                <w:sz w:val="22"/>
              </w:rPr>
              <w:t xml:space="preserve">), Connect2Recover, Digital Transformation Centres, EQUALS, Africa and American Girls can Code, Be </w:t>
            </w:r>
            <w:proofErr w:type="spellStart"/>
            <w:r w:rsidR="00B91F19" w:rsidRPr="00EB5388">
              <w:rPr>
                <w:rFonts w:asciiTheme="minorHAnsi" w:hAnsiTheme="minorHAnsi" w:cstheme="minorHAnsi"/>
                <w:color w:val="000000" w:themeColor="text1"/>
                <w:sz w:val="22"/>
              </w:rPr>
              <w:t>He@lthy</w:t>
            </w:r>
            <w:proofErr w:type="spellEnd"/>
            <w:r w:rsidR="00B91F19" w:rsidRPr="00EB5388">
              <w:rPr>
                <w:rFonts w:asciiTheme="minorHAnsi" w:hAnsiTheme="minorHAnsi" w:cstheme="minorHAnsi"/>
                <w:color w:val="000000" w:themeColor="text1"/>
                <w:sz w:val="22"/>
              </w:rPr>
              <w:t xml:space="preserve"> Be Mobile, Big Data for Measuring the Information Society, Financial Inclusion Global Initiative (FIGI);</w:t>
            </w:r>
          </w:p>
          <w:p w14:paraId="5D946A0C" w14:textId="02156BAE"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sz w:val="22"/>
              </w:rPr>
            </w:pPr>
            <w:r w:rsidRPr="00EB5388">
              <w:rPr>
                <w:rFonts w:ascii="Symbol" w:hAnsi="Symbol" w:cstheme="minorHAnsi"/>
                <w:sz w:val="20"/>
              </w:rPr>
              <w:t></w:t>
            </w:r>
            <w:r w:rsidRPr="00EB5388">
              <w:rPr>
                <w:rFonts w:ascii="Symbol" w:hAnsi="Symbol" w:cstheme="minorHAnsi"/>
                <w:sz w:val="20"/>
              </w:rPr>
              <w:tab/>
            </w:r>
            <w:r w:rsidR="00B91F19" w:rsidRPr="00EB5388">
              <w:rPr>
                <w:rFonts w:asciiTheme="minorHAnsi" w:hAnsiTheme="minorHAnsi" w:cstheme="minorHAnsi"/>
                <w:color w:val="000000" w:themeColor="text1"/>
                <w:sz w:val="22"/>
              </w:rPr>
              <w:t>ITU and the United Kingdom</w:t>
            </w:r>
            <w:r w:rsidR="00774D26">
              <w:rPr>
                <w:rFonts w:asciiTheme="minorHAnsi" w:hAnsiTheme="minorHAnsi" w:cstheme="minorHAnsi"/>
                <w:color w:val="000000" w:themeColor="text1"/>
                <w:sz w:val="22"/>
              </w:rPr>
              <w:t>’</w:t>
            </w:r>
            <w:r w:rsidR="00B91F19" w:rsidRPr="00EB5388">
              <w:rPr>
                <w:rFonts w:asciiTheme="minorHAnsi" w:hAnsiTheme="minorHAnsi" w:cstheme="minorHAnsi"/>
                <w:color w:val="000000" w:themeColor="text1"/>
                <w:sz w:val="22"/>
              </w:rPr>
              <w:t>s Foreign, Commonwealth and Development Office (FCDO) are working in partnership to support digital inclusion in Kenya, Nigeria, South Africa, Indonesia and Brazil. Four work streams in these Digital Access Partnership countries aim to strengthen the enabling policy and regulatory environment, sustainable connectivity models, partnerships, and digital skills. The platform provided for stakeholders in the national ecosystem to engage, share, and tap into each other</w:t>
            </w:r>
            <w:r w:rsidR="00774D26">
              <w:rPr>
                <w:rFonts w:asciiTheme="minorHAnsi" w:hAnsiTheme="minorHAnsi" w:cstheme="minorHAnsi"/>
                <w:color w:val="000000" w:themeColor="text1"/>
                <w:sz w:val="22"/>
              </w:rPr>
              <w:t>’</w:t>
            </w:r>
            <w:r w:rsidR="00B91F19" w:rsidRPr="00EB5388">
              <w:rPr>
                <w:rFonts w:asciiTheme="minorHAnsi" w:hAnsiTheme="minorHAnsi" w:cstheme="minorHAnsi"/>
                <w:color w:val="000000" w:themeColor="text1"/>
                <w:sz w:val="22"/>
              </w:rPr>
              <w:t xml:space="preserve">s expertise and insights for future joint work. The coordination and bringing together of initiatives also saw the </w:t>
            </w:r>
            <w:r w:rsidR="00B91F19" w:rsidRPr="00EB5388">
              <w:rPr>
                <w:rFonts w:asciiTheme="minorHAnsi" w:hAnsiTheme="minorHAnsi" w:cstheme="minorHAnsi"/>
                <w:color w:val="000000" w:themeColor="text1"/>
                <w:sz w:val="22"/>
              </w:rPr>
              <w:lastRenderedPageBreak/>
              <w:t xml:space="preserve">crystallization of gaps, opportunities, and co-creation of guidance that could inform further </w:t>
            </w:r>
            <w:proofErr w:type="gramStart"/>
            <w:r w:rsidR="00B91F19" w:rsidRPr="00EB5388">
              <w:rPr>
                <w:rFonts w:asciiTheme="minorHAnsi" w:hAnsiTheme="minorHAnsi" w:cstheme="minorHAnsi"/>
                <w:color w:val="000000" w:themeColor="text1"/>
                <w:sz w:val="22"/>
              </w:rPr>
              <w:t>interventions;</w:t>
            </w:r>
            <w:proofErr w:type="gramEnd"/>
          </w:p>
          <w:p w14:paraId="21B52CD9" w14:textId="505F506E"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color w:val="000000"/>
                <w:sz w:val="22"/>
              </w:rPr>
            </w:pPr>
            <w:r w:rsidRPr="00EB5388">
              <w:rPr>
                <w:rFonts w:ascii="Symbol" w:hAnsi="Symbol" w:cstheme="minorHAnsi"/>
                <w:color w:val="000000"/>
                <w:sz w:val="20"/>
              </w:rPr>
              <w:t></w:t>
            </w:r>
            <w:r w:rsidRPr="00EB5388">
              <w:rPr>
                <w:rFonts w:ascii="Symbol" w:hAnsi="Symbol" w:cstheme="minorHAnsi"/>
                <w:color w:val="000000"/>
                <w:sz w:val="20"/>
              </w:rPr>
              <w:tab/>
            </w:r>
            <w:r w:rsidR="00B91F19" w:rsidRPr="00EB5388">
              <w:rPr>
                <w:rFonts w:asciiTheme="minorHAnsi" w:hAnsiTheme="minorHAnsi" w:cstheme="minorHAnsi"/>
                <w:color w:val="000000" w:themeColor="text1"/>
                <w:sz w:val="22"/>
              </w:rPr>
              <w:t xml:space="preserve">Fostering the use of Artificial Intelligence and other digital technologies in the health sector: During the Seventy-second session of the WHO Regional Committee meeting for Africa, ITU and WHO with support from USAID organized a Ministerial meeting on the use of Artificial Intelligence for Health as a side event on 25 August 2022. The event brought together Ministers of Health and Ministers of ICT who shared country experiences and emphasized the critical role of integrating digital technologies such as Artificial Intelligence to advance digital transformation in the health sector. Different strategies to strengthen institutional capacity and enable cross-sectoral collaboration for enhanced health care in Africa were </w:t>
            </w:r>
            <w:proofErr w:type="gramStart"/>
            <w:r w:rsidR="00B91F19" w:rsidRPr="00EB5388">
              <w:rPr>
                <w:rFonts w:asciiTheme="minorHAnsi" w:hAnsiTheme="minorHAnsi" w:cstheme="minorHAnsi"/>
                <w:color w:val="000000" w:themeColor="text1"/>
                <w:sz w:val="22"/>
              </w:rPr>
              <w:t>highlighted;</w:t>
            </w:r>
            <w:proofErr w:type="gramEnd"/>
            <w:r w:rsidR="00B91F19" w:rsidRPr="00EB5388">
              <w:rPr>
                <w:rFonts w:asciiTheme="minorHAnsi" w:hAnsiTheme="minorHAnsi" w:cstheme="minorHAnsi"/>
                <w:color w:val="000000" w:themeColor="text1"/>
                <w:sz w:val="22"/>
              </w:rPr>
              <w:t xml:space="preserve"> </w:t>
            </w:r>
          </w:p>
          <w:p w14:paraId="3E86362E" w14:textId="71DD42F9"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color w:val="000000"/>
                <w:sz w:val="22"/>
              </w:rPr>
            </w:pPr>
            <w:r w:rsidRPr="00EB5388">
              <w:rPr>
                <w:rFonts w:ascii="Symbol" w:hAnsi="Symbol" w:cstheme="minorHAnsi"/>
                <w:color w:val="000000"/>
                <w:sz w:val="20"/>
              </w:rPr>
              <w:t></w:t>
            </w:r>
            <w:r w:rsidRPr="00EB5388">
              <w:rPr>
                <w:rFonts w:ascii="Symbol" w:hAnsi="Symbol" w:cstheme="minorHAnsi"/>
                <w:color w:val="000000"/>
                <w:sz w:val="20"/>
              </w:rPr>
              <w:tab/>
            </w:r>
            <w:r w:rsidR="00B91F19" w:rsidRPr="00EB5388">
              <w:rPr>
                <w:rFonts w:asciiTheme="minorHAnsi" w:hAnsiTheme="minorHAnsi" w:cstheme="minorHAnsi"/>
                <w:color w:val="000000" w:themeColor="text1"/>
                <w:sz w:val="22"/>
              </w:rPr>
              <w:t xml:space="preserve">Launch of the second phase of the African Girls Can Code Initiative (AGCCI) in collaboration with the African Union Commission, UN Women, UNECA, UNICEF, UNESCO and other partners with financial support from the Government of Belgium. The second phase will aim to equip young girls with digital skills through national programmes in eleven selected countries delivered through ITU Academy </w:t>
            </w:r>
            <w:proofErr w:type="gramStart"/>
            <w:r w:rsidR="00B91F19" w:rsidRPr="00EB5388">
              <w:rPr>
                <w:rFonts w:asciiTheme="minorHAnsi" w:hAnsiTheme="minorHAnsi" w:cstheme="minorHAnsi"/>
                <w:color w:val="000000" w:themeColor="text1"/>
                <w:sz w:val="22"/>
              </w:rPr>
              <w:t>platform;</w:t>
            </w:r>
            <w:proofErr w:type="gramEnd"/>
          </w:p>
          <w:p w14:paraId="3DD96923" w14:textId="4D73E321"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color w:val="000000"/>
                <w:sz w:val="22"/>
              </w:rPr>
            </w:pPr>
            <w:r w:rsidRPr="00EB5388">
              <w:rPr>
                <w:rFonts w:ascii="Symbol" w:hAnsi="Symbol" w:cstheme="minorHAnsi"/>
                <w:color w:val="000000"/>
                <w:sz w:val="20"/>
              </w:rPr>
              <w:t></w:t>
            </w:r>
            <w:r w:rsidRPr="00EB5388">
              <w:rPr>
                <w:rFonts w:ascii="Symbol" w:hAnsi="Symbol" w:cstheme="minorHAnsi"/>
                <w:color w:val="000000"/>
                <w:sz w:val="20"/>
              </w:rPr>
              <w:tab/>
            </w:r>
            <w:r w:rsidR="00B91F19" w:rsidRPr="00EB5388">
              <w:rPr>
                <w:rFonts w:asciiTheme="minorHAnsi" w:hAnsiTheme="minorHAnsi" w:cstheme="minorHAnsi"/>
                <w:color w:val="000000" w:themeColor="text1"/>
                <w:sz w:val="22"/>
              </w:rPr>
              <w:t xml:space="preserve">Enhancing the digital ecosystem and digital skills for the economic empowerment of women through the ITU-EIF project activities have been undertaken that include the Hub of Africa Addis Fashion Week, product development workshops, digital market webinar series and workshops which have enabled women entrepreneurs to show-case their products, receive training and mentoring, gain in-depth understanding of the information and digital tools needed to improve their readiness and competitiveness in the international market. During the webinar series and workshops, the women entrepreneurs have been equipped with knowledge on; how to understand customers using digital tools, how to build an online brand identity, introduction to pricing, wholesale marketing, design and digital </w:t>
            </w:r>
            <w:proofErr w:type="gramStart"/>
            <w:r w:rsidR="00B91F19" w:rsidRPr="00EB5388">
              <w:rPr>
                <w:rFonts w:asciiTheme="minorHAnsi" w:hAnsiTheme="minorHAnsi" w:cstheme="minorHAnsi"/>
                <w:color w:val="000000" w:themeColor="text1"/>
                <w:sz w:val="22"/>
              </w:rPr>
              <w:t>photography;</w:t>
            </w:r>
            <w:proofErr w:type="gramEnd"/>
          </w:p>
          <w:p w14:paraId="58A3492B" w14:textId="628B472A"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color w:val="000000"/>
                <w:sz w:val="22"/>
              </w:rPr>
            </w:pPr>
            <w:r w:rsidRPr="00EB5388">
              <w:rPr>
                <w:rFonts w:ascii="Symbol" w:hAnsi="Symbol" w:cstheme="minorHAnsi"/>
                <w:color w:val="000000"/>
                <w:sz w:val="20"/>
              </w:rPr>
              <w:t></w:t>
            </w:r>
            <w:r w:rsidRPr="00EB5388">
              <w:rPr>
                <w:rFonts w:ascii="Symbol" w:hAnsi="Symbol" w:cstheme="minorHAnsi"/>
                <w:color w:val="000000"/>
                <w:sz w:val="20"/>
              </w:rPr>
              <w:tab/>
            </w:r>
            <w:r w:rsidR="00B91F19" w:rsidRPr="00EB5388">
              <w:rPr>
                <w:rFonts w:asciiTheme="minorHAnsi" w:hAnsiTheme="minorHAnsi" w:cstheme="minorHAnsi"/>
                <w:color w:val="000000" w:themeColor="text1"/>
                <w:sz w:val="22"/>
              </w:rPr>
              <w:t xml:space="preserve">ITU and the International Labour Organization (ILO) are in partnership with a programme in Africa to boost decent jobs and enhance skills for youth in the digital economy. This has involved organizing online and face-to-face events, activities and challenges, engaging youth, Government agencies, private sector and civil society. From the </w:t>
            </w:r>
            <w:r w:rsidR="00774D26">
              <w:rPr>
                <w:rFonts w:asciiTheme="minorHAnsi" w:hAnsiTheme="minorHAnsi" w:cstheme="minorHAnsi"/>
                <w:color w:val="000000" w:themeColor="text1"/>
                <w:sz w:val="22"/>
              </w:rPr>
              <w:t>‘</w:t>
            </w:r>
            <w:r w:rsidR="00B91F19" w:rsidRPr="00EB5388">
              <w:rPr>
                <w:rFonts w:asciiTheme="minorHAnsi" w:hAnsiTheme="minorHAnsi" w:cstheme="minorHAnsi"/>
                <w:color w:val="000000" w:themeColor="text1"/>
                <w:sz w:val="22"/>
              </w:rPr>
              <w:t>Creating decent jobs for youth through digital transformation</w:t>
            </w:r>
            <w:r w:rsidR="00774D26">
              <w:rPr>
                <w:rFonts w:asciiTheme="minorHAnsi" w:hAnsiTheme="minorHAnsi" w:cstheme="minorHAnsi"/>
                <w:color w:val="000000" w:themeColor="text1"/>
                <w:sz w:val="22"/>
              </w:rPr>
              <w:t>’</w:t>
            </w:r>
            <w:r w:rsidR="00B91F19" w:rsidRPr="00EB5388">
              <w:rPr>
                <w:rFonts w:asciiTheme="minorHAnsi" w:hAnsiTheme="minorHAnsi" w:cstheme="minorHAnsi"/>
                <w:color w:val="000000" w:themeColor="text1"/>
                <w:sz w:val="22"/>
              </w:rPr>
              <w:t xml:space="preserve"> webinar during the Africa-Europe Week of Partnerships 2022, to a youth led session on </w:t>
            </w:r>
            <w:r w:rsidR="00774D26">
              <w:rPr>
                <w:rFonts w:asciiTheme="minorHAnsi" w:hAnsiTheme="minorHAnsi" w:cstheme="minorHAnsi"/>
                <w:color w:val="000000" w:themeColor="text1"/>
                <w:sz w:val="22"/>
              </w:rPr>
              <w:t>‘</w:t>
            </w:r>
            <w:r w:rsidR="00B91F19" w:rsidRPr="00EB5388">
              <w:rPr>
                <w:rFonts w:asciiTheme="minorHAnsi" w:hAnsiTheme="minorHAnsi" w:cstheme="minorHAnsi"/>
                <w:color w:val="000000" w:themeColor="text1"/>
                <w:sz w:val="22"/>
              </w:rPr>
              <w:t>Decent jobs in Africa</w:t>
            </w:r>
            <w:r w:rsidR="00774D26">
              <w:rPr>
                <w:rFonts w:asciiTheme="minorHAnsi" w:hAnsiTheme="minorHAnsi" w:cstheme="minorHAnsi"/>
                <w:color w:val="000000" w:themeColor="text1"/>
                <w:sz w:val="22"/>
              </w:rPr>
              <w:t>’</w:t>
            </w:r>
            <w:r w:rsidR="00B91F19" w:rsidRPr="00EB5388">
              <w:rPr>
                <w:rFonts w:asciiTheme="minorHAnsi" w:hAnsiTheme="minorHAnsi" w:cstheme="minorHAnsi"/>
                <w:color w:val="000000" w:themeColor="text1"/>
                <w:sz w:val="22"/>
              </w:rPr>
              <w:t>s digital economy</w:t>
            </w:r>
            <w:r w:rsidR="00774D26">
              <w:rPr>
                <w:rFonts w:asciiTheme="minorHAnsi" w:hAnsiTheme="minorHAnsi" w:cstheme="minorHAnsi"/>
                <w:color w:val="000000" w:themeColor="text1"/>
                <w:sz w:val="22"/>
              </w:rPr>
              <w:t>’</w:t>
            </w:r>
            <w:r w:rsidR="00B91F19" w:rsidRPr="00EB5388">
              <w:rPr>
                <w:rFonts w:asciiTheme="minorHAnsi" w:hAnsiTheme="minorHAnsi" w:cstheme="minorHAnsi"/>
                <w:color w:val="000000" w:themeColor="text1"/>
                <w:sz w:val="22"/>
              </w:rPr>
              <w:t xml:space="preserve"> at the Generation Connect Youth Summit in Kigali, Rwanda and to progress made on country projects (South Africa, Kenya, Rwanda, Côte d</w:t>
            </w:r>
            <w:r w:rsidR="00774D26">
              <w:rPr>
                <w:rFonts w:asciiTheme="minorHAnsi" w:hAnsiTheme="minorHAnsi" w:cstheme="minorHAnsi"/>
                <w:color w:val="000000" w:themeColor="text1"/>
                <w:sz w:val="22"/>
              </w:rPr>
              <w:t>’</w:t>
            </w:r>
            <w:r w:rsidR="00B91F19" w:rsidRPr="00EB5388">
              <w:rPr>
                <w:rFonts w:asciiTheme="minorHAnsi" w:hAnsiTheme="minorHAnsi" w:cstheme="minorHAnsi"/>
                <w:color w:val="000000" w:themeColor="text1"/>
                <w:sz w:val="22"/>
              </w:rPr>
              <w:t xml:space="preserve">Ivoire, Senegal, Nigeria, Ethiopia) that align with national priorities under the ITU-ILO joint programme in Africa, as a result of the work youth are getting more empowered and able to benefit from opportunities in the digital economy. Such efforts further allow strides to be made towards the goal of 25 million youth digitally skilled through the global ILO-ITU Digital Skills for Jobs </w:t>
            </w:r>
            <w:proofErr w:type="gramStart"/>
            <w:r w:rsidR="00B91F19" w:rsidRPr="00EB5388">
              <w:rPr>
                <w:rFonts w:asciiTheme="minorHAnsi" w:hAnsiTheme="minorHAnsi" w:cstheme="minorHAnsi"/>
                <w:color w:val="000000" w:themeColor="text1"/>
                <w:sz w:val="22"/>
              </w:rPr>
              <w:t>Campaign;</w:t>
            </w:r>
            <w:proofErr w:type="gramEnd"/>
            <w:r w:rsidR="00B91F19" w:rsidRPr="00EB5388">
              <w:rPr>
                <w:rFonts w:asciiTheme="minorHAnsi" w:hAnsiTheme="minorHAnsi" w:cstheme="minorHAnsi"/>
                <w:color w:val="000000" w:themeColor="text1"/>
                <w:sz w:val="22"/>
              </w:rPr>
              <w:t xml:space="preserve"> </w:t>
            </w:r>
          </w:p>
          <w:p w14:paraId="0B3ACE37" w14:textId="0098591D"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color w:val="000000"/>
                <w:sz w:val="22"/>
              </w:rPr>
            </w:pPr>
            <w:r w:rsidRPr="00EB5388">
              <w:rPr>
                <w:rFonts w:ascii="Symbol" w:hAnsi="Symbol" w:cstheme="minorHAnsi"/>
                <w:color w:val="000000"/>
                <w:sz w:val="20"/>
              </w:rPr>
              <w:t></w:t>
            </w:r>
            <w:r w:rsidRPr="00EB5388">
              <w:rPr>
                <w:rFonts w:ascii="Symbol" w:hAnsi="Symbol" w:cstheme="minorHAnsi"/>
                <w:color w:val="000000"/>
                <w:sz w:val="20"/>
              </w:rPr>
              <w:tab/>
            </w:r>
            <w:r w:rsidR="00B91F19" w:rsidRPr="00EB5388">
              <w:rPr>
                <w:rFonts w:asciiTheme="minorHAnsi" w:hAnsiTheme="minorHAnsi" w:cstheme="minorHAnsi"/>
                <w:color w:val="000000" w:themeColor="text1"/>
                <w:sz w:val="22"/>
              </w:rPr>
              <w:t xml:space="preserve">Creating a circular economy for electronic waste in Africa, ITU in partnership with UNEP is supporting Governments to develop policies, regulations and strategies including the implementing the Extended Producer Responsibility (EPR) concept to set the basis for a future implementation of the sound management and measurement of electronic waste with support extended 8 countries in sub- Saharan Africa in </w:t>
            </w:r>
            <w:proofErr w:type="gramStart"/>
            <w:r w:rsidR="00B91F19" w:rsidRPr="00EB5388">
              <w:rPr>
                <w:rFonts w:asciiTheme="minorHAnsi" w:hAnsiTheme="minorHAnsi" w:cstheme="minorHAnsi"/>
                <w:color w:val="000000" w:themeColor="text1"/>
                <w:sz w:val="22"/>
              </w:rPr>
              <w:t>2022;</w:t>
            </w:r>
            <w:proofErr w:type="gramEnd"/>
          </w:p>
          <w:p w14:paraId="6A05D46B" w14:textId="5E9B22F1" w:rsidR="00B91F19" w:rsidRPr="00EB5388" w:rsidRDefault="00A201CA" w:rsidP="00A201CA">
            <w:pPr>
              <w:tabs>
                <w:tab w:val="clear" w:pos="567"/>
                <w:tab w:val="clear" w:pos="1134"/>
                <w:tab w:val="clear" w:pos="1701"/>
                <w:tab w:val="clear" w:pos="2268"/>
                <w:tab w:val="clear" w:pos="2835"/>
                <w:tab w:val="left" w:pos="720"/>
              </w:tabs>
              <w:overflowPunct/>
              <w:autoSpaceDE/>
              <w:autoSpaceDN/>
              <w:adjustRightInd/>
              <w:spacing w:after="120"/>
              <w:ind w:left="720" w:hanging="360"/>
              <w:textAlignment w:val="auto"/>
              <w:rPr>
                <w:rFonts w:asciiTheme="minorHAnsi" w:hAnsiTheme="minorHAnsi" w:cstheme="minorHAnsi"/>
                <w:sz w:val="22"/>
              </w:rPr>
            </w:pPr>
            <w:r w:rsidRPr="00EB5388">
              <w:rPr>
                <w:rFonts w:ascii="Symbol" w:hAnsi="Symbol" w:cstheme="minorHAnsi"/>
                <w:sz w:val="20"/>
              </w:rPr>
              <w:t></w:t>
            </w:r>
            <w:r w:rsidRPr="00EB5388">
              <w:rPr>
                <w:rFonts w:ascii="Symbol" w:hAnsi="Symbol" w:cstheme="minorHAnsi"/>
                <w:sz w:val="20"/>
              </w:rPr>
              <w:tab/>
            </w:r>
            <w:r w:rsidR="00B91F19" w:rsidRPr="00EB5388">
              <w:rPr>
                <w:rFonts w:asciiTheme="minorHAnsi" w:hAnsiTheme="minorHAnsi" w:cstheme="minorHAnsi"/>
                <w:sz w:val="22"/>
              </w:rPr>
              <w:t xml:space="preserve">To scale up the impact and sustainability of the #Tech4Youth initiative and Task force Innov COVID-19 for local youth resilience and digital innovation in Benin established by UNFPA and to create lasting impact for beneficiary populations, there is a need strengthen the specialized technical assistance to develop and nurture digital innovation ecosystems through an open innovation approach. In 2022 ITU and UNFPA teamed up to assist, nurture and support the local digital innovation ecosystem in Benin and develop </w:t>
            </w:r>
            <w:r w:rsidR="00B91F19" w:rsidRPr="00EB5388">
              <w:rPr>
                <w:rFonts w:asciiTheme="minorHAnsi" w:hAnsiTheme="minorHAnsi" w:cstheme="minorHAnsi"/>
                <w:sz w:val="22"/>
              </w:rPr>
              <w:lastRenderedPageBreak/>
              <w:t xml:space="preserve">uses cases that can be applied for other countries in the region for the development of a sustainable and inclusive initiatives to accelerate inclusive digital </w:t>
            </w:r>
            <w:proofErr w:type="gramStart"/>
            <w:r w:rsidR="00B91F19" w:rsidRPr="00EB5388">
              <w:rPr>
                <w:rFonts w:asciiTheme="minorHAnsi" w:hAnsiTheme="minorHAnsi" w:cstheme="minorHAnsi"/>
                <w:sz w:val="22"/>
              </w:rPr>
              <w:t>transformation;</w:t>
            </w:r>
            <w:proofErr w:type="gramEnd"/>
          </w:p>
          <w:p w14:paraId="7CB2EECD" w14:textId="48DCEDC9"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color w:val="000000"/>
                <w:sz w:val="22"/>
              </w:rPr>
            </w:pPr>
            <w:r w:rsidRPr="00EB5388">
              <w:rPr>
                <w:rFonts w:ascii="Symbol" w:hAnsi="Symbol" w:cstheme="minorHAnsi"/>
                <w:color w:val="000000"/>
                <w:sz w:val="20"/>
              </w:rPr>
              <w:t></w:t>
            </w:r>
            <w:r w:rsidRPr="00EB5388">
              <w:rPr>
                <w:rFonts w:ascii="Symbol" w:hAnsi="Symbol" w:cstheme="minorHAnsi"/>
                <w:color w:val="000000"/>
                <w:sz w:val="20"/>
              </w:rPr>
              <w:tab/>
            </w:r>
            <w:r w:rsidR="00B91F19" w:rsidRPr="00EB5388">
              <w:rPr>
                <w:rFonts w:asciiTheme="minorHAnsi" w:hAnsiTheme="minorHAnsi" w:cstheme="minorHAnsi"/>
                <w:color w:val="000000" w:themeColor="text1"/>
                <w:sz w:val="22"/>
              </w:rPr>
              <w:t xml:space="preserve">Encouraging and promoting effective public, public-private and civil society partnerships by partnering with a range of stakeholders to empower women, girls, youth, children, indigenous peoples and persons with disabilities(e.g. for example by leading the Thematic Area on Digital Skills of the Global Initiative for Decent Jobs for Youth, and through the ITU-ILO Digital Skills Campaign for Decent Jobs for Youth; by leading the global Child Online Protection (COP) Initiative, by leading the International Girls in ICT Campaign; by hosting EQUALS: the global partnership to bridge the gender digital divide or by contributing to the regional initiatives and events in ICT accessibility – ICT for all); </w:t>
            </w:r>
          </w:p>
          <w:p w14:paraId="778017D2" w14:textId="7579730B"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color w:val="000000"/>
                <w:sz w:val="22"/>
              </w:rPr>
            </w:pPr>
            <w:r w:rsidRPr="00EB5388">
              <w:rPr>
                <w:rFonts w:ascii="Symbol" w:hAnsi="Symbol" w:cstheme="minorHAnsi"/>
                <w:color w:val="000000"/>
                <w:sz w:val="20"/>
              </w:rPr>
              <w:t></w:t>
            </w:r>
            <w:r w:rsidRPr="00EB5388">
              <w:rPr>
                <w:rFonts w:ascii="Symbol" w:hAnsi="Symbol" w:cstheme="minorHAnsi"/>
                <w:color w:val="000000"/>
                <w:sz w:val="20"/>
              </w:rPr>
              <w:tab/>
            </w:r>
            <w:r w:rsidR="00B91F19" w:rsidRPr="00EB5388">
              <w:rPr>
                <w:rFonts w:asciiTheme="minorHAnsi" w:hAnsiTheme="minorHAnsi" w:cstheme="minorHAnsi"/>
                <w:color w:val="000000" w:themeColor="text1"/>
                <w:sz w:val="22"/>
              </w:rPr>
              <w:t>ITU</w:t>
            </w:r>
            <w:r w:rsidR="00774D26">
              <w:rPr>
                <w:rFonts w:asciiTheme="minorHAnsi" w:hAnsiTheme="minorHAnsi" w:cstheme="minorHAnsi"/>
                <w:color w:val="000000" w:themeColor="text1"/>
                <w:sz w:val="22"/>
              </w:rPr>
              <w:t>’</w:t>
            </w:r>
            <w:r w:rsidR="00B91F19" w:rsidRPr="00EB5388">
              <w:rPr>
                <w:rFonts w:asciiTheme="minorHAnsi" w:hAnsiTheme="minorHAnsi" w:cstheme="minorHAnsi"/>
                <w:color w:val="000000" w:themeColor="text1"/>
                <w:sz w:val="22"/>
              </w:rPr>
              <w:t xml:space="preserve">s Child Online Protection Initiative joining forces with its network of partners, released in 2020 a brief on </w:t>
            </w:r>
            <w:hyperlink r:id="rId46">
              <w:r w:rsidR="00B91F19" w:rsidRPr="00EB5388">
                <w:rPr>
                  <w:rFonts w:asciiTheme="minorHAnsi" w:hAnsiTheme="minorHAnsi" w:cstheme="minorHAnsi"/>
                  <w:color w:val="0563C1"/>
                  <w:sz w:val="22"/>
                  <w:u w:val="single"/>
                </w:rPr>
                <w:t>COVID-19 and its Implications for Protecting Children Online</w:t>
              </w:r>
            </w:hyperlink>
            <w:r w:rsidR="00B91F19" w:rsidRPr="00EB5388">
              <w:rPr>
                <w:rFonts w:asciiTheme="minorHAnsi" w:hAnsiTheme="minorHAnsi" w:cstheme="minorHAnsi"/>
                <w:color w:val="000000" w:themeColor="text1"/>
                <w:sz w:val="22"/>
              </w:rPr>
              <w:t xml:space="preserve"> main product a revised version of the ITU Guidelines for Child Online Protection;</w:t>
            </w:r>
          </w:p>
          <w:p w14:paraId="081EBC1E" w14:textId="0BE73E06"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color w:val="000000"/>
                <w:sz w:val="22"/>
              </w:rPr>
            </w:pPr>
            <w:r w:rsidRPr="00EB5388">
              <w:rPr>
                <w:rFonts w:ascii="Symbol" w:hAnsi="Symbol" w:cstheme="minorHAnsi"/>
                <w:color w:val="000000"/>
                <w:sz w:val="20"/>
              </w:rPr>
              <w:t></w:t>
            </w:r>
            <w:r w:rsidRPr="00EB5388">
              <w:rPr>
                <w:rFonts w:ascii="Symbol" w:hAnsi="Symbol" w:cstheme="minorHAnsi"/>
                <w:color w:val="000000"/>
                <w:sz w:val="20"/>
              </w:rPr>
              <w:tab/>
            </w:r>
            <w:r w:rsidR="00B91F19" w:rsidRPr="004E228B">
              <w:rPr>
                <w:rFonts w:asciiTheme="minorHAnsi" w:hAnsiTheme="minorHAnsi" w:cstheme="minorHAnsi"/>
                <w:sz w:val="22"/>
              </w:rPr>
              <w:t xml:space="preserve">ITU and the Office of the UN Special Representative of the Secretary General on Violence Against Children have initiated a collaboration named </w:t>
            </w:r>
            <w:hyperlink r:id="rId47" w:anchor=":~:text=The%20Protection%20through%20Online%20Participation%20%28POP%29%20working%20group,multi-sectoral%20effort%20to%20gather%20evidence%20on%20support%20systems" w:history="1">
              <w:r w:rsidR="00B91F19" w:rsidRPr="00EB5388">
                <w:rPr>
                  <w:rFonts w:asciiTheme="minorHAnsi" w:hAnsiTheme="minorHAnsi" w:cstheme="minorHAnsi"/>
                  <w:color w:val="0563C1"/>
                  <w:sz w:val="22"/>
                  <w:u w:val="single"/>
                </w:rPr>
                <w:t>POP: Protection through online Participation</w:t>
              </w:r>
            </w:hyperlink>
            <w:r w:rsidR="00B91F19" w:rsidRPr="004E228B">
              <w:rPr>
                <w:rFonts w:asciiTheme="minorHAnsi" w:hAnsiTheme="minorHAnsi" w:cstheme="minorHAnsi"/>
                <w:sz w:val="22"/>
              </w:rPr>
              <w:t>, with international governmental and non-governmental organisations, academia and the private sector;</w:t>
            </w:r>
          </w:p>
          <w:p w14:paraId="1E2382DF" w14:textId="7CD82A9A"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sz w:val="22"/>
              </w:rPr>
            </w:pPr>
            <w:r w:rsidRPr="00EB5388">
              <w:rPr>
                <w:rFonts w:ascii="Symbol" w:hAnsi="Symbol" w:cstheme="minorHAnsi"/>
                <w:sz w:val="20"/>
              </w:rPr>
              <w:t></w:t>
            </w:r>
            <w:r w:rsidRPr="00EB5388">
              <w:rPr>
                <w:rFonts w:ascii="Symbol" w:hAnsi="Symbol" w:cstheme="minorHAnsi"/>
                <w:sz w:val="20"/>
              </w:rPr>
              <w:tab/>
            </w:r>
            <w:r w:rsidR="00B91F19" w:rsidRPr="00EB5388">
              <w:rPr>
                <w:rFonts w:asciiTheme="minorHAnsi" w:hAnsiTheme="minorHAnsi" w:cstheme="minorHAnsi"/>
                <w:color w:val="000000" w:themeColor="text1"/>
                <w:sz w:val="22"/>
              </w:rPr>
              <w:t xml:space="preserve">An ongoing track record of inviting experts from developing countries to ITU meetings, workshops etc. Also, the Focus Group on Innovation studied cases of ICT innovations for developing countries and developed proposals for new standardization activities for ITU study groups and the ICT Innovation </w:t>
            </w:r>
            <w:proofErr w:type="gramStart"/>
            <w:r w:rsidR="00B91F19" w:rsidRPr="00EB5388">
              <w:rPr>
                <w:rFonts w:asciiTheme="minorHAnsi" w:hAnsiTheme="minorHAnsi" w:cstheme="minorHAnsi"/>
                <w:color w:val="000000" w:themeColor="text1"/>
                <w:sz w:val="22"/>
              </w:rPr>
              <w:t>Panel;</w:t>
            </w:r>
            <w:proofErr w:type="gramEnd"/>
          </w:p>
          <w:p w14:paraId="536072C9" w14:textId="62AC08BD"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color w:val="000000"/>
                <w:sz w:val="22"/>
              </w:rPr>
            </w:pPr>
            <w:r w:rsidRPr="00EB5388">
              <w:rPr>
                <w:rFonts w:ascii="Symbol" w:hAnsi="Symbol" w:cstheme="minorHAnsi"/>
                <w:color w:val="000000"/>
                <w:sz w:val="20"/>
              </w:rPr>
              <w:t></w:t>
            </w:r>
            <w:r w:rsidRPr="00EB5388">
              <w:rPr>
                <w:rFonts w:ascii="Symbol" w:hAnsi="Symbol" w:cstheme="minorHAnsi"/>
                <w:color w:val="000000"/>
                <w:sz w:val="20"/>
              </w:rPr>
              <w:tab/>
            </w:r>
            <w:r w:rsidR="00B91F19" w:rsidRPr="00EB5388">
              <w:rPr>
                <w:rFonts w:asciiTheme="minorHAnsi" w:hAnsiTheme="minorHAnsi" w:cstheme="minorHAnsi"/>
                <w:color w:val="000000" w:themeColor="text1"/>
                <w:sz w:val="22"/>
              </w:rPr>
              <w:t xml:space="preserve">Developing and disseminating best practices on the use of radiocommunications and organizing seminars and workshops, ITU contributes to enhance the use of enabling technologies, in particular information and communications </w:t>
            </w:r>
            <w:proofErr w:type="gramStart"/>
            <w:r w:rsidR="00B91F19" w:rsidRPr="00EB5388">
              <w:rPr>
                <w:rFonts w:asciiTheme="minorHAnsi" w:hAnsiTheme="minorHAnsi" w:cstheme="minorHAnsi"/>
                <w:color w:val="000000" w:themeColor="text1"/>
                <w:sz w:val="22"/>
              </w:rPr>
              <w:t>technologies;</w:t>
            </w:r>
            <w:proofErr w:type="gramEnd"/>
            <w:r w:rsidR="00B91F19" w:rsidRPr="00EB5388">
              <w:rPr>
                <w:rFonts w:asciiTheme="minorHAnsi" w:hAnsiTheme="minorHAnsi" w:cstheme="minorHAnsi"/>
                <w:color w:val="000000" w:themeColor="text1"/>
                <w:sz w:val="22"/>
              </w:rPr>
              <w:t xml:space="preserve"> </w:t>
            </w:r>
          </w:p>
          <w:p w14:paraId="362077B1" w14:textId="3F2AA941"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color w:val="000000"/>
                <w:sz w:val="22"/>
              </w:rPr>
            </w:pPr>
            <w:r w:rsidRPr="00EB5388">
              <w:rPr>
                <w:rFonts w:ascii="Symbol" w:hAnsi="Symbol" w:cstheme="minorHAnsi"/>
                <w:color w:val="000000"/>
                <w:sz w:val="20"/>
              </w:rPr>
              <w:t></w:t>
            </w:r>
            <w:r w:rsidRPr="00EB5388">
              <w:rPr>
                <w:rFonts w:ascii="Symbol" w:hAnsi="Symbol" w:cstheme="minorHAnsi"/>
                <w:color w:val="000000"/>
                <w:sz w:val="20"/>
              </w:rPr>
              <w:tab/>
            </w:r>
            <w:r w:rsidR="00B91F19" w:rsidRPr="00EB5388">
              <w:rPr>
                <w:rFonts w:asciiTheme="minorHAnsi" w:hAnsiTheme="minorHAnsi" w:cstheme="minorHAnsi"/>
                <w:color w:val="000000" w:themeColor="text1"/>
                <w:sz w:val="22"/>
              </w:rPr>
              <w:t xml:space="preserve">Cooperation and coordination with other standards developing organizations, such as through ITU Focus Groups, workshops and seminars, liaison activities </w:t>
            </w:r>
            <w:proofErr w:type="gramStart"/>
            <w:r w:rsidR="00B91F19" w:rsidRPr="00EB5388">
              <w:rPr>
                <w:rFonts w:asciiTheme="minorHAnsi" w:hAnsiTheme="minorHAnsi" w:cstheme="minorHAnsi"/>
                <w:color w:val="000000" w:themeColor="text1"/>
                <w:sz w:val="22"/>
              </w:rPr>
              <w:t>etc.;</w:t>
            </w:r>
            <w:proofErr w:type="gramEnd"/>
            <w:r w:rsidR="00B91F19" w:rsidRPr="00EB5388">
              <w:rPr>
                <w:rFonts w:asciiTheme="minorHAnsi" w:hAnsiTheme="minorHAnsi" w:cstheme="minorHAnsi"/>
                <w:color w:val="000000" w:themeColor="text1"/>
                <w:sz w:val="22"/>
              </w:rPr>
              <w:t xml:space="preserve"> </w:t>
            </w:r>
          </w:p>
          <w:p w14:paraId="169C7FA5" w14:textId="7679F14A"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color w:val="000000"/>
                <w:sz w:val="22"/>
              </w:rPr>
            </w:pPr>
            <w:r w:rsidRPr="00EB5388">
              <w:rPr>
                <w:rFonts w:ascii="Symbol" w:hAnsi="Symbol" w:cstheme="minorHAnsi"/>
                <w:color w:val="000000"/>
                <w:sz w:val="20"/>
              </w:rPr>
              <w:t></w:t>
            </w:r>
            <w:r w:rsidRPr="00EB5388">
              <w:rPr>
                <w:rFonts w:ascii="Symbol" w:hAnsi="Symbol" w:cstheme="minorHAnsi"/>
                <w:color w:val="000000"/>
                <w:sz w:val="20"/>
              </w:rPr>
              <w:tab/>
            </w:r>
            <w:r w:rsidR="00B91F19" w:rsidRPr="00EB5388">
              <w:rPr>
                <w:rFonts w:asciiTheme="minorHAnsi" w:hAnsiTheme="minorHAnsi" w:cstheme="minorHAnsi"/>
                <w:color w:val="000000" w:themeColor="text1"/>
                <w:sz w:val="22"/>
              </w:rPr>
              <w:t xml:space="preserve">ITU has contributed to the development of capacities in regulatory and economic matters, and in the generation of digital skills for digital transformation, both to governments, regulators, and civil society, with an inclusion approach, through strategic alliances with subregional organizations such as COMTELCA, in the case of Central America, and in coordination with other United Nations agencies such as UN Women, UNDP, WFP, among others. In the framework of the ITU Policy and Economic Colloquium for the Americas, Regional Economic Dialogues have been organized together with different specialized training to seek partnership with UN agencies, government and private sector, academia and civil society. The objective of these dialogues is to discuss on modernization of regulation and economic approaches in the telecommunications/ICT </w:t>
            </w:r>
            <w:proofErr w:type="gramStart"/>
            <w:r w:rsidR="00B91F19" w:rsidRPr="00EB5388">
              <w:rPr>
                <w:rFonts w:asciiTheme="minorHAnsi" w:hAnsiTheme="minorHAnsi" w:cstheme="minorHAnsi"/>
                <w:color w:val="000000" w:themeColor="text1"/>
                <w:sz w:val="22"/>
              </w:rPr>
              <w:t>market;</w:t>
            </w:r>
            <w:proofErr w:type="gramEnd"/>
          </w:p>
          <w:p w14:paraId="0CD99537" w14:textId="4D02A9A8"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color w:val="000000"/>
                <w:sz w:val="22"/>
              </w:rPr>
            </w:pPr>
            <w:r w:rsidRPr="00EB5388">
              <w:rPr>
                <w:rFonts w:ascii="Symbol" w:hAnsi="Symbol" w:cstheme="minorHAnsi"/>
                <w:color w:val="000000"/>
                <w:sz w:val="20"/>
              </w:rPr>
              <w:t></w:t>
            </w:r>
            <w:r w:rsidRPr="00EB5388">
              <w:rPr>
                <w:rFonts w:ascii="Symbol" w:hAnsi="Symbol" w:cstheme="minorHAnsi"/>
                <w:color w:val="000000"/>
                <w:sz w:val="20"/>
              </w:rPr>
              <w:tab/>
            </w:r>
            <w:r w:rsidR="00B91F19" w:rsidRPr="00EB5388">
              <w:rPr>
                <w:rFonts w:asciiTheme="minorHAnsi" w:hAnsiTheme="minorHAnsi" w:cstheme="minorHAnsi"/>
                <w:color w:val="000000" w:themeColor="text1"/>
                <w:sz w:val="22"/>
              </w:rPr>
              <w:t>In November 2020, and in preparation for the World Radiocommunication Conference in 2023 (WRC-23), the Network of Women for WRC-23 (NOW4WRC23) was launched with the objective to implement the concrete actions in the WRC-19 Gender Declaration. The NOW4WRC23 worked at both global and regional levels towards increasing the number of women participating in and taking on leading roles, such as committee chairs and conference chairs, in the technical conferences of ITU</w:t>
            </w:r>
            <w:r w:rsidR="00774D26">
              <w:rPr>
                <w:rFonts w:asciiTheme="minorHAnsi" w:hAnsiTheme="minorHAnsi" w:cstheme="minorHAnsi"/>
                <w:color w:val="000000" w:themeColor="text1"/>
                <w:sz w:val="22"/>
              </w:rPr>
              <w:t>’</w:t>
            </w:r>
            <w:r w:rsidR="00B91F19" w:rsidRPr="00EB5388">
              <w:rPr>
                <w:rFonts w:asciiTheme="minorHAnsi" w:hAnsiTheme="minorHAnsi" w:cstheme="minorHAnsi"/>
                <w:color w:val="000000" w:themeColor="text1"/>
                <w:sz w:val="22"/>
              </w:rPr>
              <w:t xml:space="preserve">s Radiocommunication Sector. A key component of the initiative was aimed at increasing the participation of women in the WRC-23 preparatory activities of the Regional Telecommunication Organizations (RTOs) that produce regional proposals to WRCs (APT, ASMG, ATU, CEPT, CITEL and RCC). This was supported by providing mentorship opportunities for women participating in ITU-R Study </w:t>
            </w:r>
            <w:proofErr w:type="gramStart"/>
            <w:r w:rsidR="00B91F19" w:rsidRPr="00EB5388">
              <w:rPr>
                <w:rFonts w:asciiTheme="minorHAnsi" w:hAnsiTheme="minorHAnsi" w:cstheme="minorHAnsi"/>
                <w:color w:val="000000" w:themeColor="text1"/>
                <w:sz w:val="22"/>
              </w:rPr>
              <w:t>Groups;</w:t>
            </w:r>
            <w:proofErr w:type="gramEnd"/>
          </w:p>
          <w:p w14:paraId="123E2245" w14:textId="318EEF57"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color w:val="000000"/>
                <w:sz w:val="22"/>
              </w:rPr>
            </w:pPr>
            <w:r w:rsidRPr="00EB5388">
              <w:rPr>
                <w:rFonts w:ascii="Symbol" w:hAnsi="Symbol" w:cstheme="minorHAnsi"/>
                <w:color w:val="000000"/>
                <w:sz w:val="20"/>
              </w:rPr>
              <w:lastRenderedPageBreak/>
              <w:t></w:t>
            </w:r>
            <w:r w:rsidRPr="00EB5388">
              <w:rPr>
                <w:rFonts w:ascii="Symbol" w:hAnsi="Symbol" w:cstheme="minorHAnsi"/>
                <w:color w:val="000000"/>
                <w:sz w:val="20"/>
              </w:rPr>
              <w:tab/>
            </w:r>
            <w:r w:rsidR="00B91F19" w:rsidRPr="00EB5388">
              <w:rPr>
                <w:rFonts w:asciiTheme="minorHAnsi" w:hAnsiTheme="minorHAnsi" w:cstheme="minorHAnsi"/>
                <w:color w:val="000000"/>
                <w:sz w:val="22"/>
              </w:rPr>
              <w:t xml:space="preserve">Similarly, the 2023 Radiocommunication Assembly adopted Resolution ITU-R 72 (Dubai, 2023), </w:t>
            </w:r>
            <w:r w:rsidR="00774D26">
              <w:rPr>
                <w:rFonts w:asciiTheme="minorHAnsi" w:hAnsiTheme="minorHAnsi" w:cstheme="minorHAnsi"/>
                <w:color w:val="000000"/>
                <w:sz w:val="22"/>
              </w:rPr>
              <w:t>“</w:t>
            </w:r>
            <w:r w:rsidR="00B91F19" w:rsidRPr="00EB5388">
              <w:rPr>
                <w:rFonts w:asciiTheme="minorHAnsi" w:hAnsiTheme="minorHAnsi" w:cstheme="minorHAnsi"/>
                <w:color w:val="000000"/>
                <w:sz w:val="22"/>
              </w:rPr>
              <w:t>Promoting gender equality and equity and bridging the contribution and participation gap between women and men in ITU-R activities</w:t>
            </w:r>
            <w:r w:rsidR="00774D26">
              <w:rPr>
                <w:rFonts w:asciiTheme="minorHAnsi" w:hAnsiTheme="minorHAnsi" w:cstheme="minorHAnsi"/>
                <w:color w:val="000000"/>
                <w:sz w:val="22"/>
              </w:rPr>
              <w:t>”</w:t>
            </w:r>
            <w:r w:rsidR="00B91F19" w:rsidRPr="00EB5388">
              <w:rPr>
                <w:rFonts w:asciiTheme="minorHAnsi" w:hAnsiTheme="minorHAnsi" w:cstheme="minorHAnsi"/>
                <w:color w:val="000000"/>
                <w:sz w:val="22"/>
              </w:rPr>
              <w:t xml:space="preserve">.  Res 72 addresses several of the objectives and targets of SDG </w:t>
            </w:r>
            <w:proofErr w:type="gramStart"/>
            <w:r w:rsidR="00B91F19" w:rsidRPr="00EB5388">
              <w:rPr>
                <w:rFonts w:asciiTheme="minorHAnsi" w:hAnsiTheme="minorHAnsi" w:cstheme="minorHAnsi"/>
                <w:color w:val="000000"/>
                <w:sz w:val="22"/>
              </w:rPr>
              <w:t>5;</w:t>
            </w:r>
            <w:proofErr w:type="gramEnd"/>
          </w:p>
          <w:p w14:paraId="74B568E3" w14:textId="2A257890"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color w:val="000000"/>
                <w:sz w:val="22"/>
              </w:rPr>
            </w:pPr>
            <w:r w:rsidRPr="00EB5388">
              <w:rPr>
                <w:rFonts w:ascii="Symbol" w:hAnsi="Symbol" w:cstheme="minorHAnsi"/>
                <w:color w:val="000000"/>
                <w:sz w:val="20"/>
              </w:rPr>
              <w:t></w:t>
            </w:r>
            <w:r w:rsidRPr="00EB5388">
              <w:rPr>
                <w:rFonts w:ascii="Symbol" w:hAnsi="Symbol" w:cstheme="minorHAnsi"/>
                <w:color w:val="000000"/>
                <w:sz w:val="20"/>
              </w:rPr>
              <w:tab/>
            </w:r>
            <w:r w:rsidR="00B91F19" w:rsidRPr="00EB5388">
              <w:rPr>
                <w:rFonts w:asciiTheme="minorHAnsi" w:hAnsiTheme="minorHAnsi" w:cstheme="minorHAnsi"/>
                <w:color w:val="000000" w:themeColor="text1"/>
                <w:sz w:val="22"/>
              </w:rPr>
              <w:t xml:space="preserve">Through the Radiocommunication Assembly, ITU approves recommendations, setting international technical standards for various wireless services and spectrum management, that play a crucial role in accelerating the attainment of the SDGs. These globally implemented standards, freely accessible online, promote inclusivity and accessibility in the global ICT landscape, driving progress towards the </w:t>
            </w:r>
            <w:proofErr w:type="gramStart"/>
            <w:r w:rsidR="00B91F19" w:rsidRPr="00EB5388">
              <w:rPr>
                <w:rFonts w:asciiTheme="minorHAnsi" w:hAnsiTheme="minorHAnsi" w:cstheme="minorHAnsi"/>
                <w:color w:val="000000" w:themeColor="text1"/>
                <w:sz w:val="22"/>
              </w:rPr>
              <w:t>SDGs;</w:t>
            </w:r>
            <w:proofErr w:type="gramEnd"/>
          </w:p>
          <w:p w14:paraId="6E85B2AA" w14:textId="0F00BB7E"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color w:val="000000"/>
                <w:sz w:val="22"/>
              </w:rPr>
            </w:pPr>
            <w:r w:rsidRPr="00EB5388">
              <w:rPr>
                <w:rFonts w:ascii="Symbol" w:hAnsi="Symbol" w:cstheme="minorHAnsi"/>
                <w:color w:val="000000"/>
                <w:sz w:val="20"/>
              </w:rPr>
              <w:t></w:t>
            </w:r>
            <w:r w:rsidRPr="00EB5388">
              <w:rPr>
                <w:rFonts w:ascii="Symbol" w:hAnsi="Symbol" w:cstheme="minorHAnsi"/>
                <w:color w:val="000000"/>
                <w:sz w:val="20"/>
              </w:rPr>
              <w:tab/>
            </w:r>
            <w:r w:rsidR="00B91F19" w:rsidRPr="00EB5388">
              <w:rPr>
                <w:rFonts w:asciiTheme="minorHAnsi" w:hAnsiTheme="minorHAnsi" w:cstheme="minorHAnsi"/>
                <w:color w:val="000000" w:themeColor="text1"/>
                <w:sz w:val="22"/>
              </w:rPr>
              <w:t>The annual WSIS Forum remains a key platform for multi-stakeholder networking and collaboration aiming to develop inclusive and development-oriented information and knowledge societies. The Forum brings together a diverse array of stakeholders, including representatives from governments, international organizations, technical community, academia, civil society, private sector, and youth to engage in addressing issues on ICTs for development. The WSIS+20 Forum High-Level Event will take place from 27 to 31 May 2024 in Geneva, Switzerland. It will be co-hosted by ITU and the Swiss Confederation, and co-organized with UNESCO, UNDP, and UNCTAD. The agenda and outcome of the Forum are strategically aligned to the WSIS Action Lines and the SDGs (</w:t>
            </w:r>
            <w:r w:rsidR="00B91F19" w:rsidRPr="00EB5388">
              <w:rPr>
                <w:rFonts w:asciiTheme="minorHAnsi" w:hAnsiTheme="minorHAnsi" w:cstheme="minorHAnsi"/>
                <w:color w:val="0000FF"/>
                <w:sz w:val="22"/>
              </w:rPr>
              <w:t>www.wsis.org/forum</w:t>
            </w:r>
            <w:proofErr w:type="gramStart"/>
            <w:r w:rsidR="00B91F19" w:rsidRPr="00EB5388">
              <w:rPr>
                <w:rFonts w:asciiTheme="minorHAnsi" w:hAnsiTheme="minorHAnsi" w:cstheme="minorHAnsi"/>
                <w:color w:val="000000" w:themeColor="text1"/>
                <w:sz w:val="22"/>
              </w:rPr>
              <w:t>);</w:t>
            </w:r>
            <w:proofErr w:type="gramEnd"/>
            <w:r w:rsidR="00B91F19" w:rsidRPr="00EB5388">
              <w:rPr>
                <w:rFonts w:asciiTheme="minorHAnsi" w:hAnsiTheme="minorHAnsi" w:cstheme="minorHAnsi"/>
                <w:color w:val="000000" w:themeColor="text1"/>
                <w:sz w:val="22"/>
              </w:rPr>
              <w:t xml:space="preserve"> </w:t>
            </w:r>
          </w:p>
          <w:p w14:paraId="1A241AAC" w14:textId="6C12241F"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sz w:val="22"/>
              </w:rPr>
            </w:pPr>
            <w:r w:rsidRPr="00EB5388">
              <w:rPr>
                <w:rFonts w:ascii="Symbol" w:hAnsi="Symbol" w:cstheme="minorHAnsi"/>
                <w:sz w:val="20"/>
              </w:rPr>
              <w:t></w:t>
            </w:r>
            <w:r w:rsidRPr="00EB5388">
              <w:rPr>
                <w:rFonts w:ascii="Symbol" w:hAnsi="Symbol" w:cstheme="minorHAnsi"/>
                <w:sz w:val="20"/>
              </w:rPr>
              <w:tab/>
            </w:r>
            <w:r w:rsidR="00B91F19" w:rsidRPr="00EB5388">
              <w:rPr>
                <w:rFonts w:asciiTheme="minorHAnsi" w:hAnsiTheme="minorHAnsi" w:cstheme="minorHAnsi"/>
                <w:color w:val="000000" w:themeColor="text1"/>
                <w:sz w:val="22"/>
              </w:rPr>
              <w:t xml:space="preserve">The WSIS Action Lines and SDG matrix, initiated at the WSIS Forum 2015 and coordinated by ITU with the collaboration of </w:t>
            </w:r>
            <w:proofErr w:type="gramStart"/>
            <w:r w:rsidR="00B91F19" w:rsidRPr="00EB5388">
              <w:rPr>
                <w:rFonts w:asciiTheme="minorHAnsi" w:hAnsiTheme="minorHAnsi" w:cstheme="minorHAnsi"/>
                <w:color w:val="000000" w:themeColor="text1"/>
                <w:sz w:val="22"/>
              </w:rPr>
              <w:t>a number of</w:t>
            </w:r>
            <w:proofErr w:type="gramEnd"/>
            <w:r w:rsidR="00B91F19" w:rsidRPr="00EB5388">
              <w:rPr>
                <w:rFonts w:asciiTheme="minorHAnsi" w:hAnsiTheme="minorHAnsi" w:cstheme="minorHAnsi"/>
                <w:color w:val="000000" w:themeColor="text1"/>
                <w:sz w:val="22"/>
              </w:rPr>
              <w:t xml:space="preserve"> United Nations agencies, has been continually utilized as a valuable tool to map how ICTs may contribute to the implementation of SDGs. The Matrix serves as an easy reference for stakeholders engaged in shaping the future of both the SDGs and the WSIS processes (</w:t>
            </w:r>
            <w:r w:rsidR="00B91F19" w:rsidRPr="00EB5388">
              <w:rPr>
                <w:rFonts w:asciiTheme="minorHAnsi" w:hAnsiTheme="minorHAnsi" w:cstheme="minorHAnsi"/>
                <w:color w:val="0000FF"/>
                <w:sz w:val="22"/>
              </w:rPr>
              <w:t>www.wsis.org/sdg</w:t>
            </w:r>
            <w:proofErr w:type="gramStart"/>
            <w:r w:rsidR="00B91F19" w:rsidRPr="00EB5388">
              <w:rPr>
                <w:rFonts w:asciiTheme="minorHAnsi" w:hAnsiTheme="minorHAnsi" w:cstheme="minorHAnsi"/>
                <w:color w:val="000000" w:themeColor="text1"/>
                <w:sz w:val="22"/>
              </w:rPr>
              <w:t>);</w:t>
            </w:r>
            <w:proofErr w:type="gramEnd"/>
            <w:r w:rsidR="00B91F19" w:rsidRPr="00EB5388">
              <w:rPr>
                <w:rFonts w:asciiTheme="minorHAnsi" w:hAnsiTheme="minorHAnsi" w:cstheme="minorHAnsi"/>
                <w:color w:val="000000" w:themeColor="text1"/>
                <w:sz w:val="22"/>
              </w:rPr>
              <w:t xml:space="preserve"> </w:t>
            </w:r>
          </w:p>
          <w:p w14:paraId="761FF626" w14:textId="3EA21BD2"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color w:val="000000"/>
                <w:sz w:val="22"/>
              </w:rPr>
            </w:pPr>
            <w:r w:rsidRPr="00EB5388">
              <w:rPr>
                <w:rFonts w:ascii="Symbol" w:hAnsi="Symbol" w:cstheme="minorHAnsi"/>
                <w:color w:val="000000"/>
                <w:sz w:val="20"/>
              </w:rPr>
              <w:t></w:t>
            </w:r>
            <w:r w:rsidRPr="00EB5388">
              <w:rPr>
                <w:rFonts w:ascii="Symbol" w:hAnsi="Symbol" w:cstheme="minorHAnsi"/>
                <w:color w:val="000000"/>
                <w:sz w:val="20"/>
              </w:rPr>
              <w:tab/>
            </w:r>
            <w:r w:rsidR="00B91F19" w:rsidRPr="00EB5388">
              <w:rPr>
                <w:rFonts w:asciiTheme="minorHAnsi" w:hAnsiTheme="minorHAnsi" w:cstheme="minorHAnsi"/>
                <w:color w:val="000000" w:themeColor="text1"/>
                <w:sz w:val="22"/>
              </w:rPr>
              <w:t>Cooperate with the relevant international and regional organizations dealing with the use of spectrum, including the RTOs recognized by ITU for regional coordination (see the list above); broadcasting organizations (ABU, ASBU, EBU and HFCC); and those focused on the use of specific radiocommunication systems and services (e.g., ITSO, ESOA, GVF, GSMA) by organizing, promoting and participating in events to build capacity on the use of the Radio Regulations, including World Radiocommunication Seminars and Regional Radiocommunication Seminars;</w:t>
            </w:r>
          </w:p>
          <w:p w14:paraId="4332FC73" w14:textId="3DD20F4F"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color w:val="000000"/>
                <w:sz w:val="22"/>
              </w:rPr>
            </w:pPr>
            <w:r w:rsidRPr="00EB5388">
              <w:rPr>
                <w:rFonts w:ascii="Symbol" w:hAnsi="Symbol" w:cstheme="minorHAnsi"/>
                <w:color w:val="000000"/>
                <w:sz w:val="20"/>
              </w:rPr>
              <w:t></w:t>
            </w:r>
            <w:r w:rsidRPr="00EB5388">
              <w:rPr>
                <w:rFonts w:ascii="Symbol" w:hAnsi="Symbol" w:cstheme="minorHAnsi"/>
                <w:color w:val="000000"/>
                <w:sz w:val="20"/>
              </w:rPr>
              <w:tab/>
            </w:r>
            <w:r w:rsidR="00B91F19" w:rsidRPr="00EB5388">
              <w:rPr>
                <w:rFonts w:asciiTheme="minorHAnsi" w:hAnsiTheme="minorHAnsi" w:cstheme="minorHAnsi"/>
                <w:color w:val="000000" w:themeColor="text1"/>
                <w:sz w:val="22"/>
              </w:rPr>
              <w:t xml:space="preserve">Continue to participate in the activities of other international and regional standardization organizations, such as Global Standards Collaboration (GSC), 3GPP and IEEE. Other organizations we liaise with include the World Health Organization (WHO), ISO and IEC (including CISPR), Space Frequency Coordination </w:t>
            </w:r>
            <w:proofErr w:type="gramStart"/>
            <w:r w:rsidR="00B91F19" w:rsidRPr="00EB5388">
              <w:rPr>
                <w:rFonts w:asciiTheme="minorHAnsi" w:hAnsiTheme="minorHAnsi" w:cstheme="minorHAnsi"/>
                <w:color w:val="000000" w:themeColor="text1"/>
                <w:sz w:val="22"/>
              </w:rPr>
              <w:t>Group;</w:t>
            </w:r>
            <w:proofErr w:type="gramEnd"/>
          </w:p>
          <w:p w14:paraId="160BB04E" w14:textId="3F586972"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color w:val="000000"/>
                <w:sz w:val="22"/>
              </w:rPr>
            </w:pPr>
            <w:r w:rsidRPr="00EB5388">
              <w:rPr>
                <w:rFonts w:ascii="Symbol" w:hAnsi="Symbol" w:cstheme="minorHAnsi"/>
                <w:color w:val="000000"/>
                <w:sz w:val="20"/>
              </w:rPr>
              <w:t></w:t>
            </w:r>
            <w:r w:rsidRPr="00EB5388">
              <w:rPr>
                <w:rFonts w:ascii="Symbol" w:hAnsi="Symbol" w:cstheme="minorHAnsi"/>
                <w:color w:val="000000"/>
                <w:sz w:val="20"/>
              </w:rPr>
              <w:tab/>
            </w:r>
            <w:r w:rsidR="00B91F19" w:rsidRPr="00EB5388">
              <w:rPr>
                <w:rFonts w:asciiTheme="minorHAnsi" w:hAnsiTheme="minorHAnsi" w:cstheme="minorHAnsi"/>
                <w:color w:val="000000" w:themeColor="text1"/>
                <w:sz w:val="22"/>
              </w:rPr>
              <w:t xml:space="preserve">Cooperate with the UN Committee on the Peaceful Uses of Outer Space (UN-COPUOS), the International Maritime Organization (IMO), , the International Civil Aviation Organization (ICAO), the International Mobile Satellite Organization (IMSO), the Bureau International des </w:t>
            </w:r>
            <w:proofErr w:type="spellStart"/>
            <w:r w:rsidR="00B91F19" w:rsidRPr="00EB5388">
              <w:rPr>
                <w:rFonts w:asciiTheme="minorHAnsi" w:hAnsiTheme="minorHAnsi" w:cstheme="minorHAnsi"/>
                <w:color w:val="000000" w:themeColor="text1"/>
                <w:sz w:val="22"/>
              </w:rPr>
              <w:t>Poids</w:t>
            </w:r>
            <w:proofErr w:type="spellEnd"/>
            <w:r w:rsidR="00B91F19" w:rsidRPr="00EB5388">
              <w:rPr>
                <w:rFonts w:asciiTheme="minorHAnsi" w:hAnsiTheme="minorHAnsi" w:cstheme="minorHAnsi"/>
                <w:color w:val="000000" w:themeColor="text1"/>
                <w:sz w:val="22"/>
              </w:rPr>
              <w:t xml:space="preserve"> et </w:t>
            </w:r>
            <w:proofErr w:type="spellStart"/>
            <w:r w:rsidR="00B91F19" w:rsidRPr="00EB5388">
              <w:rPr>
                <w:rFonts w:asciiTheme="minorHAnsi" w:hAnsiTheme="minorHAnsi" w:cstheme="minorHAnsi"/>
                <w:color w:val="000000" w:themeColor="text1"/>
                <w:sz w:val="22"/>
              </w:rPr>
              <w:t>Mesures</w:t>
            </w:r>
            <w:proofErr w:type="spellEnd"/>
            <w:r w:rsidR="00B91F19" w:rsidRPr="00EB5388">
              <w:rPr>
                <w:rFonts w:asciiTheme="minorHAnsi" w:hAnsiTheme="minorHAnsi" w:cstheme="minorHAnsi"/>
                <w:color w:val="000000" w:themeColor="text1"/>
                <w:sz w:val="22"/>
              </w:rPr>
              <w:t xml:space="preserve"> (BIPM), the International Telecommunications Satellite Organization (ITSO), COSPAS-SARSAT, the World Meteorological Organization (WMO) and the International Committee of the Red Cross (CICR) with regards to the development and application of ITU treaty texts and in some cases to deliver capacity-building/training;</w:t>
            </w:r>
          </w:p>
          <w:p w14:paraId="597762B9" w14:textId="578FB67B" w:rsidR="00B91F19" w:rsidRPr="00EB5388" w:rsidRDefault="00A201CA" w:rsidP="00A201CA">
            <w:pPr>
              <w:tabs>
                <w:tab w:val="clear" w:pos="567"/>
                <w:tab w:val="clear" w:pos="1134"/>
                <w:tab w:val="clear" w:pos="1701"/>
                <w:tab w:val="clear" w:pos="2268"/>
                <w:tab w:val="clear" w:pos="2835"/>
                <w:tab w:val="left" w:pos="720"/>
              </w:tabs>
              <w:overflowPunct/>
              <w:spacing w:after="120"/>
              <w:ind w:left="720" w:hanging="360"/>
              <w:textAlignment w:val="auto"/>
              <w:rPr>
                <w:rFonts w:asciiTheme="minorHAnsi" w:hAnsiTheme="minorHAnsi" w:cstheme="minorHAnsi"/>
                <w:sz w:val="22"/>
              </w:rPr>
            </w:pPr>
            <w:r w:rsidRPr="00EB5388">
              <w:rPr>
                <w:rFonts w:ascii="Symbol" w:hAnsi="Symbol" w:cstheme="minorHAnsi"/>
                <w:sz w:val="20"/>
              </w:rPr>
              <w:t></w:t>
            </w:r>
            <w:r w:rsidRPr="00EB5388">
              <w:rPr>
                <w:rFonts w:ascii="Symbol" w:hAnsi="Symbol" w:cstheme="minorHAnsi"/>
                <w:sz w:val="20"/>
              </w:rPr>
              <w:tab/>
            </w:r>
            <w:r w:rsidR="00B91F19" w:rsidRPr="00EB5388">
              <w:rPr>
                <w:rFonts w:asciiTheme="minorHAnsi" w:hAnsiTheme="minorHAnsi" w:cstheme="minorHAnsi"/>
                <w:color w:val="000000" w:themeColor="text1"/>
                <w:sz w:val="22"/>
              </w:rPr>
              <w:t xml:space="preserve">In the Americas region more than seven National CIRT Readiness Assessments were deployed and more than 10 specialized cybersecurity capacity building workshops and raising awareness were deployed in coordination with the main regional organizations and cybersecurity </w:t>
            </w:r>
            <w:proofErr w:type="gramStart"/>
            <w:r w:rsidR="00B91F19" w:rsidRPr="00EB5388">
              <w:rPr>
                <w:rFonts w:asciiTheme="minorHAnsi" w:hAnsiTheme="minorHAnsi" w:cstheme="minorHAnsi"/>
                <w:color w:val="000000" w:themeColor="text1"/>
                <w:sz w:val="22"/>
              </w:rPr>
              <w:t>stakeholders;</w:t>
            </w:r>
            <w:proofErr w:type="gramEnd"/>
          </w:p>
          <w:p w14:paraId="54132A7F" w14:textId="4E1A071D" w:rsidR="00B91F19" w:rsidRPr="00EB5388" w:rsidRDefault="00A201CA" w:rsidP="00A201CA">
            <w:pPr>
              <w:tabs>
                <w:tab w:val="clear" w:pos="567"/>
                <w:tab w:val="clear" w:pos="1134"/>
                <w:tab w:val="clear" w:pos="1701"/>
                <w:tab w:val="clear" w:pos="2268"/>
                <w:tab w:val="clear" w:pos="2835"/>
                <w:tab w:val="left" w:pos="720"/>
              </w:tabs>
              <w:overflowPunct/>
              <w:autoSpaceDE/>
              <w:autoSpaceDN/>
              <w:adjustRightInd/>
              <w:spacing w:after="120"/>
              <w:ind w:left="720" w:hanging="360"/>
              <w:textAlignment w:val="auto"/>
              <w:rPr>
                <w:rFonts w:asciiTheme="minorHAnsi" w:hAnsiTheme="minorHAnsi" w:cstheme="minorHAnsi"/>
                <w:sz w:val="22"/>
              </w:rPr>
            </w:pPr>
            <w:r w:rsidRPr="00EB5388">
              <w:rPr>
                <w:rFonts w:ascii="Symbol" w:hAnsi="Symbol" w:cstheme="minorHAnsi"/>
                <w:sz w:val="20"/>
              </w:rPr>
              <w:t></w:t>
            </w:r>
            <w:r w:rsidRPr="00EB5388">
              <w:rPr>
                <w:rFonts w:ascii="Symbol" w:hAnsi="Symbol" w:cstheme="minorHAnsi"/>
                <w:sz w:val="20"/>
              </w:rPr>
              <w:tab/>
            </w:r>
            <w:r w:rsidR="00B91F19" w:rsidRPr="00EB5388">
              <w:rPr>
                <w:rFonts w:asciiTheme="minorHAnsi" w:hAnsiTheme="minorHAnsi" w:cstheme="minorHAnsi"/>
                <w:sz w:val="22"/>
              </w:rPr>
              <w:t xml:space="preserve">ITU contributes to the development of the ICT Campaign to Combat COVID-19 Misinformation in Antigua and Barbuda, Grenada, St. Lucia, Dominica, and St. Vincent &amp; the </w:t>
            </w:r>
            <w:proofErr w:type="gramStart"/>
            <w:r w:rsidR="00B91F19" w:rsidRPr="00EB5388">
              <w:rPr>
                <w:rFonts w:asciiTheme="minorHAnsi" w:hAnsiTheme="minorHAnsi" w:cstheme="minorHAnsi"/>
                <w:sz w:val="22"/>
              </w:rPr>
              <w:t>Grenadines;</w:t>
            </w:r>
            <w:proofErr w:type="gramEnd"/>
          </w:p>
          <w:p w14:paraId="7E523B6D" w14:textId="0E00C1DE" w:rsidR="00B91F19" w:rsidRPr="00EB5388" w:rsidRDefault="00A201CA" w:rsidP="00A201CA">
            <w:pPr>
              <w:tabs>
                <w:tab w:val="clear" w:pos="567"/>
                <w:tab w:val="clear" w:pos="1134"/>
                <w:tab w:val="clear" w:pos="1701"/>
                <w:tab w:val="clear" w:pos="2268"/>
                <w:tab w:val="clear" w:pos="2835"/>
                <w:tab w:val="left" w:pos="720"/>
              </w:tabs>
              <w:kinsoku w:val="0"/>
              <w:spacing w:after="120"/>
              <w:ind w:left="720" w:right="271" w:hanging="360"/>
              <w:textAlignment w:val="auto"/>
              <w:rPr>
                <w:rFonts w:asciiTheme="minorHAnsi" w:hAnsiTheme="minorHAnsi" w:cstheme="minorHAnsi"/>
                <w:sz w:val="22"/>
              </w:rPr>
            </w:pPr>
            <w:r w:rsidRPr="00EB5388">
              <w:rPr>
                <w:rFonts w:ascii="Symbol" w:hAnsi="Symbol" w:cstheme="minorHAnsi"/>
                <w:sz w:val="20"/>
              </w:rPr>
              <w:lastRenderedPageBreak/>
              <w:t></w:t>
            </w:r>
            <w:r w:rsidRPr="00EB5388">
              <w:rPr>
                <w:rFonts w:ascii="Symbol" w:hAnsi="Symbol" w:cstheme="minorHAnsi"/>
                <w:sz w:val="20"/>
              </w:rPr>
              <w:tab/>
            </w:r>
            <w:r w:rsidR="00B91F19" w:rsidRPr="00EB5388">
              <w:rPr>
                <w:rFonts w:asciiTheme="minorHAnsi" w:hAnsiTheme="minorHAnsi" w:cstheme="minorHAnsi"/>
                <w:sz w:val="22"/>
              </w:rPr>
              <w:t xml:space="preserve">In the framework of Infrastructure and Network development, identifying connectivity gaps to ICT infrastructure is key. ITU Broadband Mapping activities (www.itu.int/go/maps) make use of geospatial tools related to telecom infrastructure, together with relevant data for identifying missing links on regional/subregional basis. This allows the development of projects and case studies for planning broadband infrastructure deployment. Examples of ITU activities and partnerships on this includes: the digital mapping of all </w:t>
            </w:r>
            <w:proofErr w:type="gramStart"/>
            <w:r w:rsidR="00B91F19" w:rsidRPr="00EB5388">
              <w:rPr>
                <w:rFonts w:asciiTheme="minorHAnsi" w:hAnsiTheme="minorHAnsi" w:cstheme="minorHAnsi"/>
                <w:sz w:val="22"/>
              </w:rPr>
              <w:t>schools</w:t>
            </w:r>
            <w:proofErr w:type="gramEnd"/>
            <w:r w:rsidR="00B91F19" w:rsidRPr="00EB5388">
              <w:rPr>
                <w:rFonts w:asciiTheme="minorHAnsi" w:hAnsiTheme="minorHAnsi" w:cstheme="minorHAnsi"/>
                <w:sz w:val="22"/>
              </w:rPr>
              <w:t xml:space="preserve"> connectivity in different countries in collaboration with UNICEF under the Giga project; Financial Inclusion; and development of ICT Business Planning for sustainable network development toolkit and </w:t>
            </w:r>
            <w:proofErr w:type="gramStart"/>
            <w:r w:rsidR="00B91F19" w:rsidRPr="00EB5388">
              <w:rPr>
                <w:rFonts w:asciiTheme="minorHAnsi" w:hAnsiTheme="minorHAnsi" w:cstheme="minorHAnsi"/>
                <w:sz w:val="22"/>
              </w:rPr>
              <w:t>training;</w:t>
            </w:r>
            <w:proofErr w:type="gramEnd"/>
          </w:p>
          <w:p w14:paraId="33BEB704" w14:textId="3B38D2EE" w:rsidR="00B91F19" w:rsidRPr="00EB5388" w:rsidRDefault="00A201CA" w:rsidP="00A201CA">
            <w:pPr>
              <w:tabs>
                <w:tab w:val="clear" w:pos="567"/>
                <w:tab w:val="clear" w:pos="1134"/>
                <w:tab w:val="clear" w:pos="1701"/>
                <w:tab w:val="clear" w:pos="2268"/>
                <w:tab w:val="clear" w:pos="2835"/>
                <w:tab w:val="left" w:pos="720"/>
              </w:tabs>
              <w:kinsoku w:val="0"/>
              <w:spacing w:after="120"/>
              <w:ind w:left="720" w:right="271" w:hanging="360"/>
              <w:textAlignment w:val="auto"/>
              <w:rPr>
                <w:rFonts w:asciiTheme="minorHAnsi" w:hAnsiTheme="minorHAnsi" w:cstheme="minorHAnsi"/>
                <w:sz w:val="22"/>
              </w:rPr>
            </w:pPr>
            <w:r w:rsidRPr="00EB5388">
              <w:rPr>
                <w:rFonts w:ascii="Symbol" w:hAnsi="Symbol" w:cstheme="minorHAnsi"/>
                <w:sz w:val="20"/>
              </w:rPr>
              <w:t></w:t>
            </w:r>
            <w:r w:rsidRPr="00EB5388">
              <w:rPr>
                <w:rFonts w:ascii="Symbol" w:hAnsi="Symbol" w:cstheme="minorHAnsi"/>
                <w:sz w:val="20"/>
              </w:rPr>
              <w:tab/>
            </w:r>
            <w:r w:rsidR="00B91F19" w:rsidRPr="00EB5388">
              <w:rPr>
                <w:rFonts w:asciiTheme="minorHAnsi" w:hAnsiTheme="minorHAnsi" w:cstheme="minorHAnsi"/>
                <w:sz w:val="22"/>
              </w:rPr>
              <w:t xml:space="preserve">The SDG Digital initiative, led by the International Telecommunication Union (ITU) and the United Nations Development Programme (UNDP), has garnered substantial support from global entities to accelerate the achievement of the Sustainable Development Goals (SDGs). The initiative, launched during the high-level SDG Digital event, highlights how digital technologies can impact approximately 70% of the SDG targets. Commitments were made by various partners to increase digital connectivity and skills, invest in digital infrastructure, and foster digital transformation. Additionally, the initiative includes innovative financial solutions, a roadmap for digital transformation, and recognition of outstanding digital solutions through the SDG Digital </w:t>
            </w:r>
            <w:proofErr w:type="spellStart"/>
            <w:r w:rsidR="00B91F19" w:rsidRPr="00EB5388">
              <w:rPr>
                <w:rFonts w:asciiTheme="minorHAnsi" w:hAnsiTheme="minorHAnsi" w:cstheme="minorHAnsi"/>
                <w:sz w:val="22"/>
              </w:rPr>
              <w:t>GameChanger</w:t>
            </w:r>
            <w:proofErr w:type="spellEnd"/>
            <w:r w:rsidR="00B91F19" w:rsidRPr="00EB5388">
              <w:rPr>
                <w:rFonts w:asciiTheme="minorHAnsi" w:hAnsiTheme="minorHAnsi" w:cstheme="minorHAnsi"/>
                <w:sz w:val="22"/>
              </w:rPr>
              <w:t xml:space="preserve"> </w:t>
            </w:r>
            <w:proofErr w:type="gramStart"/>
            <w:r w:rsidR="00B91F19" w:rsidRPr="00EB5388">
              <w:rPr>
                <w:rFonts w:asciiTheme="minorHAnsi" w:hAnsiTheme="minorHAnsi" w:cstheme="minorHAnsi"/>
                <w:sz w:val="22"/>
              </w:rPr>
              <w:t>Award;</w:t>
            </w:r>
            <w:proofErr w:type="gramEnd"/>
          </w:p>
          <w:p w14:paraId="367FD604" w14:textId="4DFE98CD" w:rsidR="00B91F19" w:rsidRPr="00EB5388" w:rsidRDefault="00A201CA" w:rsidP="00A201CA">
            <w:pPr>
              <w:tabs>
                <w:tab w:val="clear" w:pos="567"/>
                <w:tab w:val="clear" w:pos="1134"/>
                <w:tab w:val="clear" w:pos="1701"/>
                <w:tab w:val="clear" w:pos="2268"/>
                <w:tab w:val="clear" w:pos="2835"/>
                <w:tab w:val="left" w:pos="720"/>
              </w:tabs>
              <w:kinsoku w:val="0"/>
              <w:spacing w:after="120"/>
              <w:ind w:left="720" w:right="271" w:hanging="360"/>
              <w:textAlignment w:val="auto"/>
              <w:rPr>
                <w:rFonts w:asciiTheme="minorHAnsi" w:hAnsiTheme="minorHAnsi" w:cstheme="minorHAnsi"/>
                <w:sz w:val="22"/>
              </w:rPr>
            </w:pPr>
            <w:r w:rsidRPr="00EB5388">
              <w:rPr>
                <w:rFonts w:ascii="Symbol" w:hAnsi="Symbol" w:cstheme="minorHAnsi"/>
                <w:sz w:val="20"/>
              </w:rPr>
              <w:t></w:t>
            </w:r>
            <w:r w:rsidRPr="00EB5388">
              <w:rPr>
                <w:rFonts w:ascii="Symbol" w:hAnsi="Symbol" w:cstheme="minorHAnsi"/>
                <w:sz w:val="20"/>
              </w:rPr>
              <w:tab/>
            </w:r>
            <w:r w:rsidR="00B91F19" w:rsidRPr="00EB5388">
              <w:rPr>
                <w:rFonts w:asciiTheme="minorHAnsi" w:hAnsiTheme="minorHAnsi" w:cstheme="minorHAnsi"/>
                <w:sz w:val="22"/>
              </w:rPr>
              <w:t xml:space="preserve">ITU developed a Toolkit on Digital Transformation for People-Oriented Cities and Communities, together with other partners including FAO, UNDESA, UNU-EGOV, UNECE, UNIDO, UN-HABITAT, UNDP, WMO, International Water Resources Association, UNEP-DTU, U4E, and Copenhagen Centre on Energy Efficiency. This toolkit provides guidance on driving digital transformation in the urban </w:t>
            </w:r>
            <w:proofErr w:type="gramStart"/>
            <w:r w:rsidR="00B91F19" w:rsidRPr="00EB5388">
              <w:rPr>
                <w:rFonts w:asciiTheme="minorHAnsi" w:hAnsiTheme="minorHAnsi" w:cstheme="minorHAnsi"/>
                <w:sz w:val="22"/>
              </w:rPr>
              <w:t>context;</w:t>
            </w:r>
            <w:proofErr w:type="gramEnd"/>
          </w:p>
          <w:p w14:paraId="61422ED1" w14:textId="501EF089" w:rsidR="00B91F19" w:rsidRPr="00EB5388" w:rsidRDefault="00A201CA" w:rsidP="00A201CA">
            <w:pPr>
              <w:tabs>
                <w:tab w:val="clear" w:pos="567"/>
                <w:tab w:val="clear" w:pos="1134"/>
                <w:tab w:val="clear" w:pos="1701"/>
                <w:tab w:val="clear" w:pos="2268"/>
                <w:tab w:val="clear" w:pos="2835"/>
                <w:tab w:val="left" w:pos="720"/>
              </w:tabs>
              <w:kinsoku w:val="0"/>
              <w:spacing w:after="120"/>
              <w:ind w:left="720" w:right="271" w:hanging="360"/>
              <w:textAlignment w:val="auto"/>
              <w:rPr>
                <w:rFonts w:asciiTheme="minorHAnsi" w:hAnsiTheme="minorHAnsi" w:cstheme="minorHAnsi"/>
                <w:sz w:val="22"/>
              </w:rPr>
            </w:pPr>
            <w:r w:rsidRPr="00EB5388">
              <w:rPr>
                <w:rFonts w:ascii="Symbol" w:hAnsi="Symbol" w:cstheme="minorHAnsi"/>
                <w:sz w:val="20"/>
              </w:rPr>
              <w:t></w:t>
            </w:r>
            <w:r w:rsidRPr="00EB5388">
              <w:rPr>
                <w:rFonts w:ascii="Symbol" w:hAnsi="Symbol" w:cstheme="minorHAnsi"/>
                <w:sz w:val="20"/>
              </w:rPr>
              <w:tab/>
            </w:r>
            <w:r w:rsidR="00B91F19" w:rsidRPr="00EB5388">
              <w:rPr>
                <w:rFonts w:asciiTheme="minorHAnsi" w:hAnsiTheme="minorHAnsi" w:cstheme="minorHAnsi"/>
                <w:sz w:val="22"/>
              </w:rPr>
              <w:t xml:space="preserve">ITU is organizing the Digital Transformation Dialogues (DTD), along with other UN agencies. It offers a dynamic platform to facilitate a deeper understanding of emerging technologies to reshape traditional processes, improve operational efficiency and unlock new possibilities for innovation and standardization. The Digital Transformation Dialogues seeks to address evolving themes associated with digital transformation, foster cooperation among city stakeholders, and examine the role of standardization within this domain. </w:t>
            </w:r>
            <w:r w:rsidR="00B91F19" w:rsidRPr="00EB5388">
              <w:rPr>
                <w:rFonts w:asciiTheme="minorHAnsi" w:hAnsiTheme="minorHAnsi" w:cstheme="minorHAnsi"/>
                <w:color w:val="000000" w:themeColor="text1"/>
                <w:sz w:val="22"/>
              </w:rPr>
              <w:t>The Digital Transformation Dialogues will encompass:</w:t>
            </w:r>
          </w:p>
          <w:p w14:paraId="430B0030" w14:textId="729B6FDA" w:rsidR="00B91F19" w:rsidRPr="00EB5388" w:rsidRDefault="00A201CA" w:rsidP="00A201CA">
            <w:p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60"/>
              <w:ind w:left="1434" w:hanging="357"/>
              <w:textAlignment w:val="auto"/>
              <w:rPr>
                <w:rFonts w:asciiTheme="minorHAnsi" w:eastAsia="MS Mincho" w:hAnsiTheme="minorHAnsi" w:cstheme="minorHAnsi"/>
                <w:color w:val="000000"/>
                <w:sz w:val="22"/>
              </w:rPr>
            </w:pPr>
            <w:r w:rsidRPr="00EB5388">
              <w:rPr>
                <w:rFonts w:ascii="Courier New" w:eastAsia="MS Mincho" w:hAnsi="Courier New" w:cs="Courier New"/>
                <w:color w:val="000000"/>
                <w:sz w:val="22"/>
              </w:rPr>
              <w:t>o</w:t>
            </w:r>
            <w:r w:rsidRPr="00EB5388">
              <w:rPr>
                <w:rFonts w:ascii="Courier New" w:eastAsia="MS Mincho" w:hAnsi="Courier New" w:cs="Courier New"/>
                <w:color w:val="000000"/>
                <w:sz w:val="22"/>
              </w:rPr>
              <w:tab/>
            </w:r>
            <w:r w:rsidR="00B91F19" w:rsidRPr="00EB5388">
              <w:rPr>
                <w:rFonts w:asciiTheme="minorHAnsi" w:eastAsia="MS Mincho" w:hAnsiTheme="minorHAnsi" w:cstheme="minorHAnsi"/>
                <w:color w:val="000000" w:themeColor="text1"/>
                <w:sz w:val="22"/>
              </w:rPr>
              <w:t>Digital Transformation Webinars</w:t>
            </w:r>
          </w:p>
          <w:p w14:paraId="1812F95F" w14:textId="18077EE2" w:rsidR="00B91F19" w:rsidRPr="00EB5388" w:rsidRDefault="00A201CA" w:rsidP="00A201CA">
            <w:p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60" w:after="60"/>
              <w:ind w:left="1434" w:hanging="357"/>
              <w:textAlignment w:val="auto"/>
              <w:rPr>
                <w:rFonts w:asciiTheme="minorHAnsi" w:eastAsia="MS Mincho" w:hAnsiTheme="minorHAnsi" w:cstheme="minorHAnsi"/>
                <w:color w:val="000000"/>
                <w:sz w:val="22"/>
              </w:rPr>
            </w:pPr>
            <w:r w:rsidRPr="00EB5388">
              <w:rPr>
                <w:rFonts w:ascii="Courier New" w:eastAsia="MS Mincho" w:hAnsi="Courier New" w:cs="Courier New"/>
                <w:color w:val="000000"/>
                <w:sz w:val="22"/>
              </w:rPr>
              <w:t>o</w:t>
            </w:r>
            <w:r w:rsidRPr="00EB5388">
              <w:rPr>
                <w:rFonts w:ascii="Courier New" w:eastAsia="MS Mincho" w:hAnsi="Courier New" w:cs="Courier New"/>
                <w:color w:val="000000"/>
                <w:sz w:val="22"/>
              </w:rPr>
              <w:tab/>
            </w:r>
            <w:r w:rsidR="00B91F19" w:rsidRPr="00EB5388">
              <w:rPr>
                <w:rFonts w:asciiTheme="minorHAnsi" w:eastAsia="MS Mincho" w:hAnsiTheme="minorHAnsi" w:cstheme="minorHAnsi"/>
                <w:color w:val="000000" w:themeColor="text1"/>
                <w:sz w:val="22"/>
              </w:rPr>
              <w:t>Fireside Chats</w:t>
            </w:r>
          </w:p>
          <w:p w14:paraId="2AF57360" w14:textId="421418C8" w:rsidR="00B91F19" w:rsidRPr="00EB5388" w:rsidRDefault="00A201CA" w:rsidP="00A201CA">
            <w:p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60" w:after="240"/>
              <w:ind w:left="1434" w:hanging="357"/>
              <w:textAlignment w:val="auto"/>
              <w:rPr>
                <w:rFonts w:asciiTheme="minorHAnsi" w:hAnsiTheme="minorHAnsi" w:cstheme="minorHAnsi"/>
                <w:sz w:val="22"/>
              </w:rPr>
            </w:pPr>
            <w:r w:rsidRPr="00EB5388">
              <w:rPr>
                <w:rFonts w:ascii="Courier New" w:hAnsi="Courier New" w:cs="Courier New"/>
                <w:sz w:val="22"/>
              </w:rPr>
              <w:t>o</w:t>
            </w:r>
            <w:r w:rsidRPr="00EB5388">
              <w:rPr>
                <w:rFonts w:ascii="Courier New" w:hAnsi="Courier New" w:cs="Courier New"/>
                <w:sz w:val="22"/>
              </w:rPr>
              <w:tab/>
            </w:r>
            <w:r w:rsidR="00B91F19" w:rsidRPr="00EB5388">
              <w:rPr>
                <w:rFonts w:asciiTheme="minorHAnsi" w:eastAsia="MS Mincho" w:hAnsiTheme="minorHAnsi" w:cstheme="minorHAnsi"/>
                <w:color w:val="000000" w:themeColor="text1"/>
                <w:sz w:val="22"/>
              </w:rPr>
              <w:t>Ask the expert: ITU-T Standard in Focus Sessions</w:t>
            </w:r>
          </w:p>
        </w:tc>
      </w:tr>
    </w:tbl>
    <w:p w14:paraId="54BFAC53" w14:textId="77777777" w:rsidR="006869E6" w:rsidRPr="006869E6" w:rsidRDefault="006869E6" w:rsidP="008611C0">
      <w:pPr>
        <w:pStyle w:val="Reasons"/>
        <w:rPr>
          <w:rFonts w:asciiTheme="minorHAnsi" w:hAnsiTheme="minorHAnsi" w:cstheme="minorHAnsi"/>
        </w:rPr>
      </w:pPr>
    </w:p>
    <w:p w14:paraId="35C6D0A5" w14:textId="0491686F" w:rsidR="007A3FCD" w:rsidRPr="00C0458D" w:rsidRDefault="006869E6" w:rsidP="006869E6">
      <w:pPr>
        <w:jc w:val="center"/>
      </w:pPr>
      <w:r>
        <w:t>______________</w:t>
      </w:r>
    </w:p>
    <w:sectPr w:rsidR="007A3FCD" w:rsidRPr="00C0458D" w:rsidSect="00AD3606">
      <w:footerReference w:type="default" r:id="rId48"/>
      <w:headerReference w:type="first" r:id="rId49"/>
      <w:footerReference w:type="first" r:id="rId5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DC3E5" w14:textId="77777777" w:rsidR="00233C59" w:rsidRDefault="00233C59">
      <w:r>
        <w:separator/>
      </w:r>
    </w:p>
  </w:endnote>
  <w:endnote w:type="continuationSeparator" w:id="0">
    <w:p w14:paraId="333B4657" w14:textId="77777777" w:rsidR="00233C59" w:rsidRDefault="00233C59">
      <w:r>
        <w:continuationSeparator/>
      </w:r>
    </w:p>
  </w:endnote>
  <w:endnote w:type="continuationNotice" w:id="1">
    <w:p w14:paraId="7E2DB996" w14:textId="77777777" w:rsidR="00233C59" w:rsidRDefault="00233C5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8611C0">
      <w:trPr>
        <w:jc w:val="center"/>
      </w:trPr>
      <w:tc>
        <w:tcPr>
          <w:tcW w:w="1803" w:type="dxa"/>
          <w:vAlign w:val="center"/>
        </w:tcPr>
        <w:p w14:paraId="5B3DDD9A" w14:textId="2E95FE3C" w:rsidR="00EE49E8" w:rsidRDefault="00EE49E8" w:rsidP="00EE49E8">
          <w:pPr>
            <w:pStyle w:val="Header"/>
            <w:jc w:val="left"/>
            <w:rPr>
              <w:noProof/>
            </w:rPr>
          </w:pPr>
        </w:p>
      </w:tc>
      <w:tc>
        <w:tcPr>
          <w:tcW w:w="8261" w:type="dxa"/>
        </w:tcPr>
        <w:p w14:paraId="6F6B3A01" w14:textId="40931E4B" w:rsidR="00EE49E8" w:rsidRPr="00E06FD5" w:rsidRDefault="00EE49E8" w:rsidP="000745AB">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6E5DF4">
            <w:rPr>
              <w:bCs/>
            </w:rPr>
            <w:t>INF/</w:t>
          </w:r>
          <w:r w:rsidR="00C60C17">
            <w:rPr>
              <w:bCs/>
            </w:rPr>
            <w:t>5</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7DC82DD5"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6E5DF4">
            <w:rPr>
              <w:bCs/>
            </w:rPr>
            <w:t>INF/</w:t>
          </w:r>
          <w:r w:rsidR="00C60C17">
            <w:rPr>
              <w:bCs/>
            </w:rPr>
            <w:t>5</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C1A0D" w14:textId="77777777" w:rsidR="00233C59" w:rsidRDefault="00233C59">
      <w:r>
        <w:t>____________________</w:t>
      </w:r>
    </w:p>
  </w:footnote>
  <w:footnote w:type="continuationSeparator" w:id="0">
    <w:p w14:paraId="29F88C93" w14:textId="77777777" w:rsidR="00233C59" w:rsidRDefault="00233C59">
      <w:r>
        <w:continuationSeparator/>
      </w:r>
    </w:p>
  </w:footnote>
  <w:footnote w:type="continuationNotice" w:id="1">
    <w:p w14:paraId="0C000152" w14:textId="77777777" w:rsidR="00233C59" w:rsidRDefault="00233C5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8611C0">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9D15E" id="Rectangle 5" o:spid="_x0000_s1026" style="position:absolute;margin-left:.3pt;margin-top:47.35pt;width:8.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6F37E9C"/>
    <w:multiLevelType w:val="multilevel"/>
    <w:tmpl w:val="5700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5254D7"/>
    <w:multiLevelType w:val="multilevel"/>
    <w:tmpl w:val="2702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C62B24"/>
    <w:multiLevelType w:val="hybridMultilevel"/>
    <w:tmpl w:val="756C54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41571C"/>
    <w:multiLevelType w:val="hybridMultilevel"/>
    <w:tmpl w:val="0C1E3A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EF40148"/>
    <w:multiLevelType w:val="multilevel"/>
    <w:tmpl w:val="57000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513678"/>
    <w:multiLevelType w:val="multilevel"/>
    <w:tmpl w:val="64B29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545D9F"/>
    <w:multiLevelType w:val="multilevel"/>
    <w:tmpl w:val="D9787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4816267">
    <w:abstractNumId w:val="0"/>
  </w:num>
  <w:num w:numId="2" w16cid:durableId="1344815527">
    <w:abstractNumId w:val="2"/>
  </w:num>
  <w:num w:numId="3" w16cid:durableId="1924290001">
    <w:abstractNumId w:val="3"/>
  </w:num>
  <w:num w:numId="4" w16cid:durableId="1803619754">
    <w:abstractNumId w:val="4"/>
  </w:num>
  <w:num w:numId="5" w16cid:durableId="1621379137">
    <w:abstractNumId w:val="1"/>
  </w:num>
  <w:num w:numId="6" w16cid:durableId="652638451">
    <w:abstractNumId w:val="5"/>
  </w:num>
  <w:num w:numId="7" w16cid:durableId="1752239864">
    <w:abstractNumId w:val="7"/>
  </w:num>
  <w:num w:numId="8" w16cid:durableId="13407666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210D4"/>
    <w:rsid w:val="0006007D"/>
    <w:rsid w:val="00063016"/>
    <w:rsid w:val="00066795"/>
    <w:rsid w:val="000672E2"/>
    <w:rsid w:val="00067ECA"/>
    <w:rsid w:val="000745AB"/>
    <w:rsid w:val="00076AF6"/>
    <w:rsid w:val="00085CF2"/>
    <w:rsid w:val="000A6E9C"/>
    <w:rsid w:val="000B1705"/>
    <w:rsid w:val="000D75B2"/>
    <w:rsid w:val="000E5AD1"/>
    <w:rsid w:val="000F5DDB"/>
    <w:rsid w:val="000F7289"/>
    <w:rsid w:val="00106EE6"/>
    <w:rsid w:val="001121F5"/>
    <w:rsid w:val="001340A1"/>
    <w:rsid w:val="00137A99"/>
    <w:rsid w:val="001400DC"/>
    <w:rsid w:val="00140CE1"/>
    <w:rsid w:val="00151D9B"/>
    <w:rsid w:val="0017539C"/>
    <w:rsid w:val="00175AC2"/>
    <w:rsid w:val="0017609F"/>
    <w:rsid w:val="001A3154"/>
    <w:rsid w:val="001A7D1D"/>
    <w:rsid w:val="001B51DD"/>
    <w:rsid w:val="001C590A"/>
    <w:rsid w:val="001C628E"/>
    <w:rsid w:val="001D0065"/>
    <w:rsid w:val="001E0F7B"/>
    <w:rsid w:val="001F5569"/>
    <w:rsid w:val="002119FD"/>
    <w:rsid w:val="002130E0"/>
    <w:rsid w:val="00214599"/>
    <w:rsid w:val="00221F46"/>
    <w:rsid w:val="00225527"/>
    <w:rsid w:val="00233C59"/>
    <w:rsid w:val="00244C02"/>
    <w:rsid w:val="00264425"/>
    <w:rsid w:val="00265875"/>
    <w:rsid w:val="0027303B"/>
    <w:rsid w:val="0028109B"/>
    <w:rsid w:val="002A2188"/>
    <w:rsid w:val="002B1F58"/>
    <w:rsid w:val="002C1C7A"/>
    <w:rsid w:val="002C54E2"/>
    <w:rsid w:val="002D5AFD"/>
    <w:rsid w:val="0030160F"/>
    <w:rsid w:val="0030278D"/>
    <w:rsid w:val="00306D4C"/>
    <w:rsid w:val="00320223"/>
    <w:rsid w:val="00322D0D"/>
    <w:rsid w:val="00361465"/>
    <w:rsid w:val="00363F7E"/>
    <w:rsid w:val="003877F5"/>
    <w:rsid w:val="00387EB9"/>
    <w:rsid w:val="003936D3"/>
    <w:rsid w:val="003942D4"/>
    <w:rsid w:val="003958A8"/>
    <w:rsid w:val="003B29C2"/>
    <w:rsid w:val="003C2533"/>
    <w:rsid w:val="003C7680"/>
    <w:rsid w:val="003D1C88"/>
    <w:rsid w:val="003D5A7F"/>
    <w:rsid w:val="003D6B69"/>
    <w:rsid w:val="0040435A"/>
    <w:rsid w:val="00416A24"/>
    <w:rsid w:val="00427BFF"/>
    <w:rsid w:val="00431D9E"/>
    <w:rsid w:val="00433CE8"/>
    <w:rsid w:val="00434A5C"/>
    <w:rsid w:val="00453079"/>
    <w:rsid w:val="00453BB8"/>
    <w:rsid w:val="004544D9"/>
    <w:rsid w:val="00472BAD"/>
    <w:rsid w:val="004811F8"/>
    <w:rsid w:val="00484009"/>
    <w:rsid w:val="00490E72"/>
    <w:rsid w:val="00491157"/>
    <w:rsid w:val="00491BA9"/>
    <w:rsid w:val="004921C8"/>
    <w:rsid w:val="00495B0B"/>
    <w:rsid w:val="004A1B8B"/>
    <w:rsid w:val="004B25A1"/>
    <w:rsid w:val="004D1851"/>
    <w:rsid w:val="004D599D"/>
    <w:rsid w:val="004D6CFA"/>
    <w:rsid w:val="004E2EA5"/>
    <w:rsid w:val="004E3AEB"/>
    <w:rsid w:val="0050223C"/>
    <w:rsid w:val="00521677"/>
    <w:rsid w:val="005243FF"/>
    <w:rsid w:val="0052462F"/>
    <w:rsid w:val="00564FBC"/>
    <w:rsid w:val="005800BC"/>
    <w:rsid w:val="00582442"/>
    <w:rsid w:val="005F27D8"/>
    <w:rsid w:val="005F3269"/>
    <w:rsid w:val="00623AE3"/>
    <w:rsid w:val="00630C4D"/>
    <w:rsid w:val="00644EC6"/>
    <w:rsid w:val="0064737F"/>
    <w:rsid w:val="006535F1"/>
    <w:rsid w:val="0065557D"/>
    <w:rsid w:val="00660D50"/>
    <w:rsid w:val="00662984"/>
    <w:rsid w:val="006716BB"/>
    <w:rsid w:val="00677A11"/>
    <w:rsid w:val="00682611"/>
    <w:rsid w:val="006869E6"/>
    <w:rsid w:val="006B1859"/>
    <w:rsid w:val="006B6680"/>
    <w:rsid w:val="006B6DCC"/>
    <w:rsid w:val="006B77F1"/>
    <w:rsid w:val="006C5ECF"/>
    <w:rsid w:val="006E5DF4"/>
    <w:rsid w:val="00702DEF"/>
    <w:rsid w:val="00706861"/>
    <w:rsid w:val="00722551"/>
    <w:rsid w:val="00746F66"/>
    <w:rsid w:val="0075051B"/>
    <w:rsid w:val="007560E8"/>
    <w:rsid w:val="0077110E"/>
    <w:rsid w:val="00774083"/>
    <w:rsid w:val="00774D26"/>
    <w:rsid w:val="00793188"/>
    <w:rsid w:val="00794D34"/>
    <w:rsid w:val="007A3FCD"/>
    <w:rsid w:val="007B19CF"/>
    <w:rsid w:val="007D01AF"/>
    <w:rsid w:val="007F3D8D"/>
    <w:rsid w:val="007F4493"/>
    <w:rsid w:val="00813E5E"/>
    <w:rsid w:val="00817756"/>
    <w:rsid w:val="00831CB0"/>
    <w:rsid w:val="0083581B"/>
    <w:rsid w:val="00840A8C"/>
    <w:rsid w:val="008611C0"/>
    <w:rsid w:val="00863874"/>
    <w:rsid w:val="00864AFF"/>
    <w:rsid w:val="00865925"/>
    <w:rsid w:val="008B4A6A"/>
    <w:rsid w:val="008C7E27"/>
    <w:rsid w:val="008F7448"/>
    <w:rsid w:val="00900BCF"/>
    <w:rsid w:val="0090147A"/>
    <w:rsid w:val="009173EF"/>
    <w:rsid w:val="00932906"/>
    <w:rsid w:val="009509AC"/>
    <w:rsid w:val="00961B0B"/>
    <w:rsid w:val="00962D33"/>
    <w:rsid w:val="009B38C3"/>
    <w:rsid w:val="009B54E4"/>
    <w:rsid w:val="009E17BD"/>
    <w:rsid w:val="009E485A"/>
    <w:rsid w:val="00A04CEC"/>
    <w:rsid w:val="00A201CA"/>
    <w:rsid w:val="00A27F92"/>
    <w:rsid w:val="00A32257"/>
    <w:rsid w:val="00A36D20"/>
    <w:rsid w:val="00A514A4"/>
    <w:rsid w:val="00A55622"/>
    <w:rsid w:val="00A74868"/>
    <w:rsid w:val="00A83502"/>
    <w:rsid w:val="00A94BAB"/>
    <w:rsid w:val="00AD15B3"/>
    <w:rsid w:val="00AD3606"/>
    <w:rsid w:val="00AD4A3D"/>
    <w:rsid w:val="00AD677D"/>
    <w:rsid w:val="00AE6098"/>
    <w:rsid w:val="00AF6E49"/>
    <w:rsid w:val="00B04A67"/>
    <w:rsid w:val="00B0583C"/>
    <w:rsid w:val="00B40A81"/>
    <w:rsid w:val="00B44910"/>
    <w:rsid w:val="00B72267"/>
    <w:rsid w:val="00B76EB6"/>
    <w:rsid w:val="00B7737B"/>
    <w:rsid w:val="00B824C8"/>
    <w:rsid w:val="00B84B9D"/>
    <w:rsid w:val="00B9131F"/>
    <w:rsid w:val="00B91F19"/>
    <w:rsid w:val="00BB0646"/>
    <w:rsid w:val="00BC251A"/>
    <w:rsid w:val="00BD032B"/>
    <w:rsid w:val="00BD0702"/>
    <w:rsid w:val="00BE01C6"/>
    <w:rsid w:val="00BE2640"/>
    <w:rsid w:val="00BF1FDE"/>
    <w:rsid w:val="00C01189"/>
    <w:rsid w:val="00C02794"/>
    <w:rsid w:val="00C0458D"/>
    <w:rsid w:val="00C20A64"/>
    <w:rsid w:val="00C21206"/>
    <w:rsid w:val="00C374DE"/>
    <w:rsid w:val="00C47AD4"/>
    <w:rsid w:val="00C52D81"/>
    <w:rsid w:val="00C55198"/>
    <w:rsid w:val="00C60C17"/>
    <w:rsid w:val="00C6520B"/>
    <w:rsid w:val="00C864EA"/>
    <w:rsid w:val="00CA6393"/>
    <w:rsid w:val="00CA7995"/>
    <w:rsid w:val="00CB18FF"/>
    <w:rsid w:val="00CC4B57"/>
    <w:rsid w:val="00CD0C08"/>
    <w:rsid w:val="00CE03FB"/>
    <w:rsid w:val="00CE433C"/>
    <w:rsid w:val="00CF0161"/>
    <w:rsid w:val="00CF33F3"/>
    <w:rsid w:val="00CF4A2B"/>
    <w:rsid w:val="00D024CA"/>
    <w:rsid w:val="00D06183"/>
    <w:rsid w:val="00D14C77"/>
    <w:rsid w:val="00D22C42"/>
    <w:rsid w:val="00D47ADA"/>
    <w:rsid w:val="00D65041"/>
    <w:rsid w:val="00DB1936"/>
    <w:rsid w:val="00DB384B"/>
    <w:rsid w:val="00DD11ED"/>
    <w:rsid w:val="00DF0189"/>
    <w:rsid w:val="00DF26C9"/>
    <w:rsid w:val="00DF6909"/>
    <w:rsid w:val="00E06FD5"/>
    <w:rsid w:val="00E10E80"/>
    <w:rsid w:val="00E11AB3"/>
    <w:rsid w:val="00E124F0"/>
    <w:rsid w:val="00E227F3"/>
    <w:rsid w:val="00E5262F"/>
    <w:rsid w:val="00E545C6"/>
    <w:rsid w:val="00E60F04"/>
    <w:rsid w:val="00E64CB2"/>
    <w:rsid w:val="00E65B24"/>
    <w:rsid w:val="00E73A36"/>
    <w:rsid w:val="00E854E4"/>
    <w:rsid w:val="00E869DE"/>
    <w:rsid w:val="00E86DBF"/>
    <w:rsid w:val="00E969AF"/>
    <w:rsid w:val="00EA14D0"/>
    <w:rsid w:val="00EB0D6F"/>
    <w:rsid w:val="00EB2232"/>
    <w:rsid w:val="00EC5337"/>
    <w:rsid w:val="00ED1BB9"/>
    <w:rsid w:val="00EE219F"/>
    <w:rsid w:val="00EE49E8"/>
    <w:rsid w:val="00F16BAB"/>
    <w:rsid w:val="00F2150A"/>
    <w:rsid w:val="00F231D8"/>
    <w:rsid w:val="00F27E9D"/>
    <w:rsid w:val="00F41209"/>
    <w:rsid w:val="00F44C00"/>
    <w:rsid w:val="00F45D2C"/>
    <w:rsid w:val="00F46C5F"/>
    <w:rsid w:val="00F632C0"/>
    <w:rsid w:val="00F64145"/>
    <w:rsid w:val="00F641E1"/>
    <w:rsid w:val="00F94A63"/>
    <w:rsid w:val="00FA1C28"/>
    <w:rsid w:val="00FB1279"/>
    <w:rsid w:val="00FB6B76"/>
    <w:rsid w:val="00FB7596"/>
    <w:rsid w:val="00FD742B"/>
    <w:rsid w:val="00FE4077"/>
    <w:rsid w:val="00FE4B9B"/>
    <w:rsid w:val="00FE500D"/>
    <w:rsid w:val="00FE77D2"/>
    <w:rsid w:val="00FF39B1"/>
    <w:rsid w:val="6B7CA0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79781E5A-BBDF-4D54-924D-388D8FFE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NormalWeb">
    <w:name w:val="Normal (Web)"/>
    <w:basedOn w:val="Normal"/>
    <w:link w:val="NormalWebChar"/>
    <w:uiPriority w:val="99"/>
    <w:semiHidden/>
    <w:unhideWhenUsed/>
    <w:rsid w:val="00067EC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Style1">
    <w:name w:val="Style1"/>
    <w:basedOn w:val="NormalWeb"/>
    <w:link w:val="Style1Char"/>
    <w:qFormat/>
    <w:rsid w:val="00244C02"/>
    <w:rPr>
      <w:color w:val="000000"/>
      <w:sz w:val="27"/>
      <w:szCs w:val="27"/>
    </w:rPr>
  </w:style>
  <w:style w:type="character" w:customStyle="1" w:styleId="NormalWebChar">
    <w:name w:val="Normal (Web) Char"/>
    <w:basedOn w:val="DefaultParagraphFont"/>
    <w:link w:val="NormalWeb"/>
    <w:uiPriority w:val="99"/>
    <w:semiHidden/>
    <w:rsid w:val="00244C02"/>
    <w:rPr>
      <w:rFonts w:ascii="Times New Roman" w:hAnsi="Times New Roman"/>
      <w:sz w:val="24"/>
      <w:szCs w:val="24"/>
      <w:lang w:val="en-GB" w:eastAsia="en-GB"/>
    </w:rPr>
  </w:style>
  <w:style w:type="character" w:customStyle="1" w:styleId="Style1Char">
    <w:name w:val="Style1 Char"/>
    <w:basedOn w:val="NormalWebChar"/>
    <w:link w:val="Style1"/>
    <w:rsid w:val="00244C02"/>
    <w:rPr>
      <w:rFonts w:ascii="Times New Roman" w:hAnsi="Times New Roman"/>
      <w:color w:val="000000"/>
      <w:sz w:val="27"/>
      <w:szCs w:val="27"/>
      <w:lang w:val="en-GB" w:eastAsia="en-GB"/>
    </w:rPr>
  </w:style>
  <w:style w:type="table" w:customStyle="1" w:styleId="TableGrid1">
    <w:name w:val="Table Grid1"/>
    <w:basedOn w:val="TableNormal"/>
    <w:next w:val="TableGrid"/>
    <w:uiPriority w:val="39"/>
    <w:rsid w:val="00B91F19"/>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453BB8"/>
    <w:rPr>
      <w:b/>
      <w:bCs/>
    </w:rPr>
  </w:style>
  <w:style w:type="character" w:customStyle="1" w:styleId="CommentSubjectChar">
    <w:name w:val="Comment Subject Char"/>
    <w:basedOn w:val="CommentTextChar"/>
    <w:link w:val="CommentSubject"/>
    <w:semiHidden/>
    <w:rsid w:val="00453BB8"/>
    <w:rPr>
      <w:rFonts w:ascii="Calibri" w:hAnsi="Calibri"/>
      <w:b/>
      <w:bCs/>
      <w:lang w:val="en-GB" w:eastAsia="en-US"/>
    </w:rPr>
  </w:style>
  <w:style w:type="character" w:styleId="Mention">
    <w:name w:val="Mention"/>
    <w:basedOn w:val="DefaultParagraphFont"/>
    <w:uiPriority w:val="99"/>
    <w:unhideWhenUsed/>
    <w:rsid w:val="00453BB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663683">
      <w:bodyDiv w:val="1"/>
      <w:marLeft w:val="0"/>
      <w:marRight w:val="0"/>
      <w:marTop w:val="0"/>
      <w:marBottom w:val="0"/>
      <w:divBdr>
        <w:top w:val="none" w:sz="0" w:space="0" w:color="auto"/>
        <w:left w:val="none" w:sz="0" w:space="0" w:color="auto"/>
        <w:bottom w:val="none" w:sz="0" w:space="0" w:color="auto"/>
        <w:right w:val="none" w:sz="0" w:space="0" w:color="auto"/>
      </w:divBdr>
    </w:div>
    <w:div w:id="174078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ustainabledevelopment.un.org/content/documents/18069ITU_Council_Input_to_HLPF_2018.pdf" TargetMode="External"/><Relationship Id="rId18" Type="http://schemas.openxmlformats.org/officeDocument/2006/relationships/hyperlink" Target="https://www.itu.int/md/S23-CL-INF-0010/en" TargetMode="External"/><Relationship Id="rId26" Type="http://schemas.openxmlformats.org/officeDocument/2006/relationships/hyperlink" Target="https://www.itu.int/en/mediacentre/backgrounders/Pages/connect-2030-agenda.aspx" TargetMode="External"/><Relationship Id="rId39" Type="http://schemas.openxmlformats.org/officeDocument/2006/relationships/hyperlink" Target="https://academy.itu.int/training-courses/full-catalogue/green-and-digital-entrepreneurship" TargetMode="External"/><Relationship Id="rId21" Type="http://schemas.openxmlformats.org/officeDocument/2006/relationships/hyperlink" Target="https://www.itu.int/en/Pages/default.aspx" TargetMode="External"/><Relationship Id="rId34" Type="http://schemas.openxmlformats.org/officeDocument/2006/relationships/hyperlink" Target="https://www.itu.int/rec/R-REC-RS/en" TargetMode="External"/><Relationship Id="rId42" Type="http://schemas.openxmlformats.org/officeDocument/2006/relationships/hyperlink" Target="https://www.itu.int/itu-d/sites/priorities/digital-transformation" TargetMode="External"/><Relationship Id="rId47" Type="http://schemas.openxmlformats.org/officeDocument/2006/relationships/hyperlink" Target="https://www.itu.int/en/ITU-D/Cybersecurity/Pages/COP/POP.aspx"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1-CL-INF-0003/en" TargetMode="External"/><Relationship Id="rId29" Type="http://schemas.openxmlformats.org/officeDocument/2006/relationships/hyperlink" Target="https://www.itu.int/itu-d/sites/innovation-alliance/" TargetMode="External"/><Relationship Id="rId11" Type="http://schemas.openxmlformats.org/officeDocument/2006/relationships/hyperlink" Target="https://sustainabledevelopment.un.org/content/documents/10422International%20Telecommunication%20Union%20Council%20.pdf" TargetMode="External"/><Relationship Id="rId24" Type="http://schemas.openxmlformats.org/officeDocument/2006/relationships/hyperlink" Target="https://undocs.org/Home/Mobile?FinalSymbol=A%2Fres%2F70%2F1&amp;Language=E&amp;DeviceType=Desktop&amp;LangRequested=False" TargetMode="External"/><Relationship Id="rId32" Type="http://schemas.openxmlformats.org/officeDocument/2006/relationships/hyperlink" Target="https://www.equalsintech.org/" TargetMode="External"/><Relationship Id="rId37" Type="http://schemas.openxmlformats.org/officeDocument/2006/relationships/hyperlink" Target="https://academy.itu.int/training-courses/full-catalogue/greening-data-centers" TargetMode="External"/><Relationship Id="rId40" Type="http://schemas.openxmlformats.org/officeDocument/2006/relationships/hyperlink" Target="https://www.itu.int/en/ITU-D/Cybersecurity/Pages/global-cybersecurity-index.aspx" TargetMode="External"/><Relationship Id="rId45" Type="http://schemas.openxmlformats.org/officeDocument/2006/relationships/hyperlink" Target="https://www.itu.int/itu-d/sites/priorities/inclusive-and-secure-telecommunications-icts-for-sustainable-development" TargetMode="External"/><Relationship Id="rId5" Type="http://schemas.openxmlformats.org/officeDocument/2006/relationships/numbering" Target="numbering.xml"/><Relationship Id="rId15" Type="http://schemas.openxmlformats.org/officeDocument/2006/relationships/hyperlink" Target="https://www.itu.int/dms_ties/itu-s/md/20/cwgwsis35/c/S20-CWGWSIS35-C-0020!!PDF-E.pdf" TargetMode="External"/><Relationship Id="rId23" Type="http://schemas.openxmlformats.org/officeDocument/2006/relationships/hyperlink" Target="https://www.itu.int/en/mediacentre/backgrounders/Pages/connect-2030-agenda.aspx" TargetMode="External"/><Relationship Id="rId28" Type="http://schemas.openxmlformats.org/officeDocument/2006/relationships/hyperlink" Target="https://academy.itu.int/itu-d/projects-activities/digital-transformation-centres-initiative" TargetMode="External"/><Relationship Id="rId36" Type="http://schemas.openxmlformats.org/officeDocument/2006/relationships/hyperlink" Target="https://www.itu.int/en/ITU-D/Environment/Pages/Toolbox/Green-data-center-guide.aspx"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md/S24-CL-INF-0003/en" TargetMode="External"/><Relationship Id="rId31" Type="http://schemas.openxmlformats.org/officeDocument/2006/relationships/hyperlink" Target="https://www.itu.int/en/council/planning/Pages/default.aspx" TargetMode="External"/><Relationship Id="rId44" Type="http://schemas.openxmlformats.org/officeDocument/2006/relationships/hyperlink" Target="https://www.itu.int/itu-d/sites/priorities/resource-mobilization-and-international-cooperation"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9-CL-INF-0003/en" TargetMode="External"/><Relationship Id="rId22" Type="http://schemas.openxmlformats.org/officeDocument/2006/relationships/hyperlink" Target="https://www.itu.int/en/council/planning/Pages/default.aspx" TargetMode="External"/><Relationship Id="rId27" Type="http://schemas.openxmlformats.org/officeDocument/2006/relationships/hyperlink" Target="https://giga.global/" TargetMode="External"/><Relationship Id="rId30" Type="http://schemas.openxmlformats.org/officeDocument/2006/relationships/hyperlink" Target="https://www.itu.int/itu-d/sites/partner2connect/" TargetMode="External"/><Relationship Id="rId35" Type="http://schemas.openxmlformats.org/officeDocument/2006/relationships/hyperlink" Target="https://www.itu.int/rec/R-REC-SA/en" TargetMode="External"/><Relationship Id="rId43" Type="http://schemas.openxmlformats.org/officeDocument/2006/relationships/hyperlink" Target="https://www.itu.int/itu-d/sites/priorities/enabling-policy-and-regulatory-environment"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sustainabledevelopment.un.org/content/documents/14295ITUCouncil.pdf" TargetMode="External"/><Relationship Id="rId17" Type="http://schemas.openxmlformats.org/officeDocument/2006/relationships/hyperlink" Target="https://www.itu.int/md/S22-CL-INF-0003/en" TargetMode="External"/><Relationship Id="rId25" Type="http://schemas.openxmlformats.org/officeDocument/2006/relationships/hyperlink" Target="https://undocs.org/Home/Mobile?FinalSymbol=A%2FRES%2F70%2F125&amp;Language=E&amp;DeviceType=Desktop&amp;LangRequested=False" TargetMode="External"/><Relationship Id="rId33" Type="http://schemas.openxmlformats.org/officeDocument/2006/relationships/hyperlink" Target="https://www.itu.int/itu-d/sites/partner2connect/" TargetMode="External"/><Relationship Id="rId38" Type="http://schemas.openxmlformats.org/officeDocument/2006/relationships/hyperlink" Target="https://www.itu.int/en/ITU-D/Environment/Pages/Toolbox/Circular-and-Sustainable-Public-Procurement-for-ICTs.aspx" TargetMode="External"/><Relationship Id="rId46" Type="http://schemas.openxmlformats.org/officeDocument/2006/relationships/hyperlink" Target="https://www.itu.int/en/ITU-D/Cybersecurity/Documents/COP/COVID-19%20and%20Its%20Implications%20for%20Protecting%20Children%20Online.pdf" TargetMode="External"/><Relationship Id="rId20" Type="http://schemas.openxmlformats.org/officeDocument/2006/relationships/image" Target="media/image1.png"/><Relationship Id="rId41" Type="http://schemas.openxmlformats.org/officeDocument/2006/relationships/hyperlink" Target="https://www.itu.int/itu-d/sites/priorities/affordable-connectivity"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F8C7AA-AD7B-4A2F-B514-C9B41394E92D}">
  <ds:schemaRefs>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a1cf676c-2816-4389-ad5d-0f2e7c7e67c4"/>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89D9221B-5A86-4316-A350-057F77A43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12DD0B-BF0E-45CD-A535-3FB8A02CE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9923</Words>
  <Characters>64769</Characters>
  <Application>Microsoft Office Word</Application>
  <DocSecurity>0</DocSecurity>
  <Lines>539</Lines>
  <Paragraphs>149</Paragraphs>
  <ScaleCrop>false</ScaleCrop>
  <Manager>General Secretariat</Manager>
  <Company>International Telecommunication Union (ITU)</Company>
  <LinksUpToDate>false</LinksUpToDate>
  <CharactersWithSpaces>74543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Council contribution to the High-Level Political Forum on sustainable development (HLPF) 2025</dc:title>
  <dc:subject>Council 2025</dc:subject>
  <dc:creator>LRT</dc:creator>
  <cp:keywords>C25; C2025; Council 2025; ITU160</cp:keywords>
  <dc:description/>
  <cp:lastModifiedBy>GBS</cp:lastModifiedBy>
  <cp:revision>3</cp:revision>
  <cp:lastPrinted>2000-07-18T04:30:00Z</cp:lastPrinted>
  <dcterms:created xsi:type="dcterms:W3CDTF">2025-05-22T14:35:00Z</dcterms:created>
  <dcterms:modified xsi:type="dcterms:W3CDTF">2025-05-22T14:36:00Z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