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05373BCB" w14:textId="77777777" w:rsidTr="00AD3606">
        <w:trPr>
          <w:cantSplit/>
          <w:trHeight w:val="23"/>
        </w:trPr>
        <w:tc>
          <w:tcPr>
            <w:tcW w:w="3969" w:type="dxa"/>
            <w:vMerge w:val="restart"/>
            <w:tcMar>
              <w:left w:w="0" w:type="dxa"/>
            </w:tcMar>
          </w:tcPr>
          <w:p w14:paraId="33E112EF" w14:textId="3536D76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CA01AF6" w14:textId="08850C82"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3E12F7">
              <w:rPr>
                <w:b/>
              </w:rPr>
              <w:t>INF/</w:t>
            </w:r>
            <w:r w:rsidR="000C4057">
              <w:rPr>
                <w:b/>
              </w:rPr>
              <w:t>3</w:t>
            </w:r>
            <w:r w:rsidRPr="00C0458D">
              <w:rPr>
                <w:b/>
              </w:rPr>
              <w:t>-E</w:t>
            </w:r>
          </w:p>
        </w:tc>
      </w:tr>
      <w:tr w:rsidR="00AD3606" w:rsidRPr="00C0458D" w14:paraId="2D0F23EC" w14:textId="77777777" w:rsidTr="00AD3606">
        <w:trPr>
          <w:cantSplit/>
        </w:trPr>
        <w:tc>
          <w:tcPr>
            <w:tcW w:w="3969" w:type="dxa"/>
            <w:vMerge/>
          </w:tcPr>
          <w:p w14:paraId="32FD87DB"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43519D5F" w14:textId="34B829E9" w:rsidR="00AD3606" w:rsidRPr="00C0458D" w:rsidRDefault="00BC0262" w:rsidP="00AD3606">
            <w:pPr>
              <w:tabs>
                <w:tab w:val="left" w:pos="851"/>
              </w:tabs>
              <w:spacing w:before="0"/>
              <w:jc w:val="right"/>
              <w:rPr>
                <w:b/>
              </w:rPr>
            </w:pPr>
            <w:r>
              <w:rPr>
                <w:b/>
              </w:rPr>
              <w:t>1</w:t>
            </w:r>
            <w:r w:rsidR="00B33A35">
              <w:rPr>
                <w:b/>
              </w:rPr>
              <w:t>6</w:t>
            </w:r>
            <w:r>
              <w:rPr>
                <w:b/>
              </w:rPr>
              <w:t xml:space="preserve"> May</w:t>
            </w:r>
            <w:r w:rsidR="000C4057">
              <w:rPr>
                <w:b/>
              </w:rPr>
              <w:t xml:space="preserve"> 2025</w:t>
            </w:r>
          </w:p>
        </w:tc>
      </w:tr>
      <w:tr w:rsidR="00AD3606" w:rsidRPr="00C0458D" w14:paraId="605444BA" w14:textId="77777777" w:rsidTr="00AD3606">
        <w:trPr>
          <w:cantSplit/>
          <w:trHeight w:val="23"/>
        </w:trPr>
        <w:tc>
          <w:tcPr>
            <w:tcW w:w="3969" w:type="dxa"/>
            <w:vMerge/>
          </w:tcPr>
          <w:p w14:paraId="38E1E97B"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4DC6D7D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317A0175" w14:textId="77777777" w:rsidTr="00AD3606">
        <w:trPr>
          <w:cantSplit/>
          <w:trHeight w:val="23"/>
        </w:trPr>
        <w:tc>
          <w:tcPr>
            <w:tcW w:w="3969" w:type="dxa"/>
          </w:tcPr>
          <w:p w14:paraId="1BDD6EB0" w14:textId="77777777" w:rsidR="00472BAD" w:rsidRPr="00C0458D" w:rsidRDefault="00472BAD" w:rsidP="00AD3606">
            <w:pPr>
              <w:tabs>
                <w:tab w:val="left" w:pos="851"/>
              </w:tabs>
              <w:spacing w:line="240" w:lineRule="atLeast"/>
              <w:rPr>
                <w:b/>
              </w:rPr>
            </w:pPr>
          </w:p>
        </w:tc>
        <w:tc>
          <w:tcPr>
            <w:tcW w:w="5245" w:type="dxa"/>
          </w:tcPr>
          <w:p w14:paraId="18EC049F" w14:textId="77777777" w:rsidR="00472BAD" w:rsidRPr="00C0458D" w:rsidRDefault="00472BAD" w:rsidP="00AD3606">
            <w:pPr>
              <w:tabs>
                <w:tab w:val="left" w:pos="851"/>
              </w:tabs>
              <w:spacing w:before="0" w:line="240" w:lineRule="atLeast"/>
              <w:jc w:val="right"/>
              <w:rPr>
                <w:b/>
              </w:rPr>
            </w:pPr>
          </w:p>
        </w:tc>
      </w:tr>
      <w:tr w:rsidR="00AD3606" w:rsidRPr="00C0458D" w14:paraId="216E2DB2" w14:textId="77777777" w:rsidTr="00AD3606">
        <w:trPr>
          <w:cantSplit/>
        </w:trPr>
        <w:tc>
          <w:tcPr>
            <w:tcW w:w="9214" w:type="dxa"/>
            <w:gridSpan w:val="2"/>
            <w:tcMar>
              <w:left w:w="0" w:type="dxa"/>
            </w:tcMar>
          </w:tcPr>
          <w:p w14:paraId="3096BA19"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7D45CA1F" w14:textId="77777777" w:rsidTr="00AD3606">
        <w:trPr>
          <w:cantSplit/>
        </w:trPr>
        <w:tc>
          <w:tcPr>
            <w:tcW w:w="9214" w:type="dxa"/>
            <w:gridSpan w:val="2"/>
            <w:tcMar>
              <w:left w:w="0" w:type="dxa"/>
            </w:tcMar>
          </w:tcPr>
          <w:p w14:paraId="1ADBCCA0" w14:textId="7B131157" w:rsidR="00AD3606" w:rsidRPr="00176F47" w:rsidRDefault="00A54294" w:rsidP="00176F47">
            <w:pPr>
              <w:pStyle w:val="Subtitle"/>
              <w:framePr w:hSpace="0" w:wrap="auto" w:hAnchor="text" w:xAlign="left" w:yAlign="inline"/>
            </w:pPr>
            <w:bookmarkStart w:id="9" w:name="dtitle1" w:colFirst="0" w:colLast="0"/>
            <w:bookmarkEnd w:id="8"/>
            <w:r>
              <w:t xml:space="preserve">REPORTS CALLED BY RESOLUTION 218 </w:t>
            </w:r>
            <w:r w:rsidR="00DB62A3" w:rsidRPr="00DB62A3">
              <w:t>(BUCHAREST, 2022)</w:t>
            </w:r>
          </w:p>
        </w:tc>
      </w:tr>
      <w:tr w:rsidR="00AD3606" w:rsidRPr="00C0458D" w14:paraId="154BA120" w14:textId="77777777" w:rsidTr="00AD3606">
        <w:trPr>
          <w:cantSplit/>
        </w:trPr>
        <w:tc>
          <w:tcPr>
            <w:tcW w:w="9214" w:type="dxa"/>
            <w:gridSpan w:val="2"/>
            <w:tcBorders>
              <w:top w:val="single" w:sz="4" w:space="0" w:color="auto"/>
              <w:bottom w:val="single" w:sz="4" w:space="0" w:color="auto"/>
            </w:tcBorders>
            <w:tcMar>
              <w:left w:w="0" w:type="dxa"/>
            </w:tcMar>
          </w:tcPr>
          <w:p w14:paraId="796809B5" w14:textId="77777777" w:rsidR="00AD3606" w:rsidRPr="00C0458D" w:rsidRDefault="00F16BAB" w:rsidP="00F16BAB">
            <w:pPr>
              <w:spacing w:before="160"/>
              <w:rPr>
                <w:b/>
                <w:bCs/>
                <w:sz w:val="26"/>
                <w:szCs w:val="26"/>
              </w:rPr>
            </w:pPr>
            <w:r w:rsidRPr="00C0458D">
              <w:rPr>
                <w:b/>
                <w:bCs/>
                <w:sz w:val="26"/>
                <w:szCs w:val="26"/>
              </w:rPr>
              <w:t>Purpose</w:t>
            </w:r>
          </w:p>
          <w:p w14:paraId="27496E19" w14:textId="3679E988" w:rsidR="00AD3606" w:rsidRPr="00C0458D" w:rsidRDefault="00DB62A3" w:rsidP="00F16BAB">
            <w:r>
              <w:rPr>
                <w:sz w:val="26"/>
                <w:szCs w:val="26"/>
              </w:rPr>
              <w:t xml:space="preserve">As indicated in Document </w:t>
            </w:r>
            <w:hyperlink r:id="rId11" w:history="1">
              <w:r w:rsidR="00ED68E0" w:rsidRPr="00ED68E0">
                <w:rPr>
                  <w:rStyle w:val="Hyperlink"/>
                  <w:sz w:val="26"/>
                  <w:szCs w:val="26"/>
                </w:rPr>
                <w:t>C25/36</w:t>
              </w:r>
            </w:hyperlink>
            <w:r w:rsidR="00ED68E0">
              <w:rPr>
                <w:sz w:val="26"/>
                <w:szCs w:val="26"/>
              </w:rPr>
              <w:t>, t</w:t>
            </w:r>
            <w:r w:rsidR="000C4057" w:rsidRPr="00DB62A3">
              <w:rPr>
                <w:sz w:val="26"/>
                <w:szCs w:val="26"/>
              </w:rPr>
              <w:t xml:space="preserve">his </w:t>
            </w:r>
            <w:r w:rsidR="00146E66">
              <w:rPr>
                <w:sz w:val="26"/>
                <w:szCs w:val="26"/>
              </w:rPr>
              <w:t>document</w:t>
            </w:r>
            <w:r w:rsidRPr="00DB62A3">
              <w:rPr>
                <w:sz w:val="26"/>
                <w:szCs w:val="26"/>
              </w:rPr>
              <w:t xml:space="preserve"> contains the three detailed reports requested in </w:t>
            </w:r>
            <w:r w:rsidR="000C4057" w:rsidRPr="00DB62A3">
              <w:rPr>
                <w:sz w:val="26"/>
                <w:szCs w:val="26"/>
              </w:rPr>
              <w:t>Resolution 218 (Bucharest, 2022) of the Plenipotentiary Conference on the ITU’s implementation of the “Space2030” Agenda.</w:t>
            </w:r>
          </w:p>
          <w:p w14:paraId="47118CF9"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75A08C6" w14:textId="4940081A" w:rsidR="00722551" w:rsidRDefault="000C4057" w:rsidP="00722551">
            <w:r w:rsidRPr="00212EED">
              <w:t>Th</w:t>
            </w:r>
            <w:r w:rsidR="00212EED" w:rsidRPr="00212EED">
              <w:t>ese</w:t>
            </w:r>
            <w:r w:rsidRPr="00212EED">
              <w:t xml:space="preserve"> report</w:t>
            </w:r>
            <w:r w:rsidR="00212EED" w:rsidRPr="00212EED">
              <w:t>s</w:t>
            </w:r>
            <w:r w:rsidRPr="00212EED">
              <w:t xml:space="preserve"> </w:t>
            </w:r>
            <w:r w:rsidR="00212EED" w:rsidRPr="00212EED">
              <w:t xml:space="preserve">are </w:t>
            </w:r>
            <w:r w:rsidRPr="00212EED">
              <w:t xml:space="preserve">transmitted to the Council for </w:t>
            </w:r>
            <w:r w:rsidRPr="00212EED">
              <w:rPr>
                <w:b/>
                <w:bCs/>
              </w:rPr>
              <w:t>information</w:t>
            </w:r>
            <w:r w:rsidRPr="00212EED">
              <w:t>.</w:t>
            </w:r>
          </w:p>
          <w:p w14:paraId="240F3F04" w14:textId="77777777" w:rsidR="00722551" w:rsidRDefault="00722551" w:rsidP="00722551">
            <w:pPr>
              <w:spacing w:before="160"/>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46B6C98A" w14:textId="77777777" w:rsidR="000C4057" w:rsidRDefault="000C4057" w:rsidP="000C4057">
            <w:pPr>
              <w:jc w:val="both"/>
            </w:pPr>
            <w:r w:rsidRPr="00212EED">
              <w:t>Thematic priority – Spectrum use for space and terrestrial services.</w:t>
            </w:r>
          </w:p>
          <w:p w14:paraId="7D5511C6" w14:textId="77777777" w:rsidR="00722551" w:rsidRDefault="00722551" w:rsidP="00722551">
            <w:pPr>
              <w:spacing w:before="160"/>
              <w:rPr>
                <w:b/>
                <w:bCs/>
                <w:sz w:val="26"/>
                <w:szCs w:val="26"/>
              </w:rPr>
            </w:pPr>
            <w:r>
              <w:rPr>
                <w:b/>
                <w:bCs/>
                <w:sz w:val="26"/>
                <w:szCs w:val="26"/>
              </w:rPr>
              <w:t>Financial implications</w:t>
            </w:r>
          </w:p>
          <w:p w14:paraId="4397C9FF" w14:textId="49FBF117" w:rsidR="00453079" w:rsidRPr="000C4057" w:rsidRDefault="000C4057" w:rsidP="000C4057">
            <w:r w:rsidRPr="00212EED">
              <w:t>Within the allocated budget 2024-2025.</w:t>
            </w:r>
          </w:p>
          <w:p w14:paraId="312D1939" w14:textId="77777777" w:rsidR="00C0458D" w:rsidRDefault="00C0458D">
            <w:r>
              <w:t>_______________</w:t>
            </w:r>
          </w:p>
          <w:p w14:paraId="2A2D7487" w14:textId="77777777" w:rsidR="00AD3606" w:rsidRPr="00C0458D" w:rsidRDefault="00AD3606" w:rsidP="00F16BAB">
            <w:pPr>
              <w:spacing w:before="160"/>
              <w:rPr>
                <w:b/>
                <w:bCs/>
                <w:sz w:val="26"/>
                <w:szCs w:val="26"/>
              </w:rPr>
            </w:pPr>
            <w:r w:rsidRPr="00C0458D">
              <w:rPr>
                <w:b/>
                <w:bCs/>
                <w:sz w:val="26"/>
                <w:szCs w:val="26"/>
              </w:rPr>
              <w:t>References</w:t>
            </w:r>
          </w:p>
          <w:p w14:paraId="2CDC2A33" w14:textId="3BBAA692" w:rsidR="00AD3606" w:rsidRPr="00722551" w:rsidRDefault="000C4057" w:rsidP="00F16BAB">
            <w:pPr>
              <w:spacing w:after="160"/>
              <w:rPr>
                <w:i/>
                <w:iCs/>
                <w:sz w:val="22"/>
                <w:szCs w:val="22"/>
              </w:rPr>
            </w:pPr>
            <w:hyperlink r:id="rId12" w:history="1">
              <w:r w:rsidRPr="00B032AC">
                <w:rPr>
                  <w:rStyle w:val="Hyperlink"/>
                  <w:i/>
                  <w:iCs/>
                  <w:sz w:val="22"/>
                  <w:szCs w:val="22"/>
                </w:rPr>
                <w:t>Resolution 218</w:t>
              </w:r>
            </w:hyperlink>
            <w:r w:rsidRPr="00B032AC">
              <w:rPr>
                <w:i/>
                <w:iCs/>
                <w:sz w:val="22"/>
                <w:szCs w:val="22"/>
              </w:rPr>
              <w:t xml:space="preserve"> (Bucharest, 2022) of the Plenipotentiary Conference; Council Documents </w:t>
            </w:r>
            <w:hyperlink r:id="rId13" w:history="1">
              <w:r w:rsidRPr="00B032AC">
                <w:rPr>
                  <w:rStyle w:val="Hyperlink"/>
                  <w:i/>
                  <w:iCs/>
                  <w:sz w:val="22"/>
                  <w:szCs w:val="22"/>
                </w:rPr>
                <w:t>C23/58</w:t>
              </w:r>
            </w:hyperlink>
            <w:r w:rsidRPr="00B032AC">
              <w:rPr>
                <w:i/>
                <w:iCs/>
                <w:sz w:val="22"/>
                <w:szCs w:val="22"/>
              </w:rPr>
              <w:t xml:space="preserve"> and </w:t>
            </w:r>
            <w:hyperlink r:id="rId14" w:history="1">
              <w:r w:rsidRPr="00B032AC">
                <w:rPr>
                  <w:rStyle w:val="Hyperlink"/>
                  <w:i/>
                  <w:iCs/>
                  <w:sz w:val="22"/>
                  <w:szCs w:val="22"/>
                </w:rPr>
                <w:t>C24/36</w:t>
              </w:r>
            </w:hyperlink>
          </w:p>
        </w:tc>
      </w:tr>
    </w:tbl>
    <w:p w14:paraId="1170FDC1"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6C38046"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790ABB4F" w14:textId="5E19F5DE" w:rsidR="001259BF" w:rsidRPr="00814662" w:rsidRDefault="001259BF" w:rsidP="001259BF">
      <w:pPr>
        <w:pStyle w:val="Annextitle"/>
      </w:pPr>
      <w:r w:rsidRPr="00814662">
        <w:lastRenderedPageBreak/>
        <w:t xml:space="preserve">Status of the Plans governed by Appendices 30, 30A and 30B </w:t>
      </w:r>
      <w:r w:rsidR="00BC0262">
        <w:br/>
      </w:r>
      <w:r w:rsidRPr="00814662">
        <w:t>to the Radio Regulations</w:t>
      </w:r>
    </w:p>
    <w:p w14:paraId="2BC0AEE6" w14:textId="77777777" w:rsidR="001259BF" w:rsidRPr="00814662" w:rsidRDefault="001259BF" w:rsidP="001259BF">
      <w:pPr>
        <w:pStyle w:val="Headingb"/>
      </w:pPr>
      <w:r w:rsidRPr="00814662">
        <w:t>Introduction</w:t>
      </w:r>
    </w:p>
    <w:p w14:paraId="1A02884C" w14:textId="77777777" w:rsidR="001259BF" w:rsidRPr="00814662" w:rsidRDefault="001259BF" w:rsidP="001259BF">
      <w:pPr>
        <w:jc w:val="both"/>
      </w:pPr>
      <w:r w:rsidRPr="00814662">
        <w:t xml:space="preserve">Resolution 218 </w:t>
      </w:r>
      <w:r>
        <w:t>“</w:t>
      </w:r>
      <w:r w:rsidRPr="00814662">
        <w:t>ITU's role in the implementation of the ''Space2030'' Agenda: space as a driver of sustainable development, and its follow-up and review process</w:t>
      </w:r>
      <w:r>
        <w:t>”</w:t>
      </w:r>
      <w:r w:rsidRPr="00814662">
        <w:t xml:space="preserve"> instructs the Secretary-General and the Directors of the Bureaux </w:t>
      </w:r>
      <w:r>
        <w:t>“</w:t>
      </w:r>
      <w:r w:rsidRPr="00814662">
        <w:t xml:space="preserve">to provide annually to the ITU Council a comprehensive report on the status of the plans governed by Appendices </w:t>
      </w:r>
      <w:r w:rsidRPr="00814662">
        <w:rPr>
          <w:b/>
          <w:bCs/>
        </w:rPr>
        <w:t>30</w:t>
      </w:r>
      <w:r w:rsidRPr="00814662">
        <w:t xml:space="preserve">, </w:t>
      </w:r>
      <w:r w:rsidRPr="00814662">
        <w:rPr>
          <w:b/>
          <w:bCs/>
        </w:rPr>
        <w:t>30A</w:t>
      </w:r>
      <w:r w:rsidRPr="00814662">
        <w:t xml:space="preserve"> and </w:t>
      </w:r>
      <w:r w:rsidRPr="00814662">
        <w:rPr>
          <w:b/>
          <w:bCs/>
        </w:rPr>
        <w:t>30B</w:t>
      </w:r>
      <w:r w:rsidRPr="00814662">
        <w:t xml:space="preserve">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w:t>
      </w:r>
      <w:r>
        <w:t>”</w:t>
      </w:r>
      <w:r w:rsidRPr="00814662">
        <w:t xml:space="preserve"> (see </w:t>
      </w:r>
      <w:r w:rsidRPr="0094783C">
        <w:rPr>
          <w:i/>
          <w:iCs/>
        </w:rPr>
        <w:t>instructs</w:t>
      </w:r>
      <w:r w:rsidRPr="00814662">
        <w:t xml:space="preserve"> 2). </w:t>
      </w:r>
    </w:p>
    <w:p w14:paraId="6E337DCF" w14:textId="77777777" w:rsidR="001259BF" w:rsidRPr="00814662" w:rsidRDefault="001259BF" w:rsidP="001259BF">
      <w:pPr>
        <w:jc w:val="both"/>
      </w:pPr>
      <w:r w:rsidRPr="00814662">
        <w:t xml:space="preserve">This report summarizes the status of the Space Plans as of </w:t>
      </w:r>
      <w:r>
        <w:t xml:space="preserve">4 March 2025 </w:t>
      </w:r>
      <w:r w:rsidRPr="00814662">
        <w:t xml:space="preserve">and provides information on other related issues. It is divided into two parts: Part I reports on the broadcasting-satellite service and associated feeder-link Plans in Appendices </w:t>
      </w:r>
      <w:r w:rsidRPr="00814662">
        <w:rPr>
          <w:b/>
          <w:bCs/>
        </w:rPr>
        <w:t>30</w:t>
      </w:r>
      <w:r w:rsidRPr="00814662">
        <w:t xml:space="preserve"> and </w:t>
      </w:r>
      <w:r w:rsidRPr="00814662">
        <w:rPr>
          <w:b/>
          <w:bCs/>
        </w:rPr>
        <w:t xml:space="preserve">30A. </w:t>
      </w:r>
      <w:r w:rsidRPr="00814662">
        <w:t xml:space="preserve">Part II reports on the status of the fixed-satellite service Plan in Appendix </w:t>
      </w:r>
      <w:r w:rsidRPr="00814662">
        <w:rPr>
          <w:b/>
          <w:bCs/>
        </w:rPr>
        <w:t>30B</w:t>
      </w:r>
      <w:r w:rsidRPr="00814662">
        <w:t>.</w:t>
      </w:r>
    </w:p>
    <w:p w14:paraId="486E62DD" w14:textId="77777777" w:rsidR="001259BF" w:rsidRPr="00B366AE" w:rsidRDefault="001259BF" w:rsidP="001259BF">
      <w:pPr>
        <w:pStyle w:val="Parttitle"/>
      </w:pPr>
      <w:r w:rsidRPr="00B366AE">
        <w:t xml:space="preserve">Part I – Broadcasting-satellite service and associated feeder-link Plans </w:t>
      </w:r>
      <w:r w:rsidRPr="00B366AE">
        <w:br/>
        <w:t>in Appendices 30 and 30A of the Radio Regulations</w:t>
      </w:r>
    </w:p>
    <w:p w14:paraId="4DD38B15" w14:textId="77777777" w:rsidR="001259BF" w:rsidRPr="00B366AE" w:rsidRDefault="001259BF" w:rsidP="001259BF">
      <w:pPr>
        <w:pStyle w:val="Heading1"/>
      </w:pPr>
      <w:r w:rsidRPr="00B366AE">
        <w:t>1</w:t>
      </w:r>
      <w:r w:rsidRPr="00B366AE">
        <w:tab/>
        <w:t xml:space="preserve">Status of the Plans governed by Appendices 30 and 30A in </w:t>
      </w:r>
      <w:proofErr w:type="gramStart"/>
      <w:r w:rsidRPr="00B366AE">
        <w:t>Regions</w:t>
      </w:r>
      <w:proofErr w:type="gramEnd"/>
      <w:r w:rsidRPr="00B366AE">
        <w:t xml:space="preserve"> 1 and</w:t>
      </w:r>
      <w:r>
        <w:t> </w:t>
      </w:r>
      <w:r w:rsidRPr="00B366AE">
        <w:t>3</w:t>
      </w:r>
    </w:p>
    <w:p w14:paraId="478B7374" w14:textId="77777777" w:rsidR="001259BF" w:rsidRPr="00B366AE" w:rsidRDefault="001259BF" w:rsidP="001259BF">
      <w:pPr>
        <w:pStyle w:val="Heading2"/>
      </w:pPr>
      <w:r w:rsidRPr="00B366AE">
        <w:t>1.1</w:t>
      </w:r>
      <w:r w:rsidRPr="00B366AE">
        <w:tab/>
        <w:t xml:space="preserve">Overview </w:t>
      </w:r>
    </w:p>
    <w:p w14:paraId="4BD90647" w14:textId="77777777" w:rsidR="001259BF" w:rsidRPr="00B366AE" w:rsidRDefault="001259BF" w:rsidP="001259BF">
      <w:pPr>
        <w:jc w:val="both"/>
        <w:rPr>
          <w:rFonts w:asciiTheme="minorHAnsi" w:hAnsiTheme="minorHAnsi" w:cstheme="minorHAnsi"/>
          <w:szCs w:val="24"/>
        </w:rPr>
      </w:pPr>
      <w:r w:rsidRPr="001D56D6">
        <w:t>The</w:t>
      </w:r>
      <w:r w:rsidRPr="00B366AE">
        <w:rPr>
          <w:rFonts w:asciiTheme="minorHAnsi" w:hAnsiTheme="minorHAnsi" w:cstheme="minorHAnsi"/>
          <w:szCs w:val="24"/>
        </w:rPr>
        <w:t xml:space="preserve"> Plan of Appendix </w:t>
      </w:r>
      <w:r w:rsidRPr="00B366AE">
        <w:rPr>
          <w:rFonts w:asciiTheme="minorHAnsi" w:hAnsiTheme="minorHAnsi" w:cstheme="minorHAnsi"/>
          <w:b/>
          <w:bCs/>
          <w:szCs w:val="24"/>
        </w:rPr>
        <w:t>30</w:t>
      </w:r>
      <w:r w:rsidRPr="00B366AE">
        <w:rPr>
          <w:rFonts w:asciiTheme="minorHAnsi" w:hAnsiTheme="minorHAnsi" w:cstheme="minorHAnsi"/>
          <w:szCs w:val="24"/>
        </w:rPr>
        <w:t xml:space="preserve"> in </w:t>
      </w:r>
      <w:proofErr w:type="gramStart"/>
      <w:r w:rsidRPr="00B366AE">
        <w:rPr>
          <w:rFonts w:asciiTheme="minorHAnsi" w:hAnsiTheme="minorHAnsi" w:cstheme="minorHAnsi"/>
          <w:szCs w:val="24"/>
        </w:rPr>
        <w:t>Regions</w:t>
      </w:r>
      <w:proofErr w:type="gramEnd"/>
      <w:r w:rsidRPr="00B366AE">
        <w:rPr>
          <w:rFonts w:asciiTheme="minorHAnsi" w:hAnsiTheme="minorHAnsi" w:cstheme="minorHAnsi"/>
          <w:szCs w:val="24"/>
        </w:rPr>
        <w:t xml:space="preserve"> 1 and 3 is a Plan for the Broadcasting-satellite service (BSS) in the frequency bands 11.7 -12.2 GHz in Region 3 and 11.7-12.5 GHz in Region 1. The Plan of Appendix </w:t>
      </w:r>
      <w:r w:rsidRPr="00B366AE">
        <w:rPr>
          <w:rFonts w:asciiTheme="minorHAnsi" w:hAnsiTheme="minorHAnsi" w:cstheme="minorHAnsi"/>
          <w:b/>
          <w:bCs/>
          <w:szCs w:val="24"/>
        </w:rPr>
        <w:t>30A</w:t>
      </w:r>
      <w:r w:rsidRPr="00B366AE">
        <w:rPr>
          <w:rFonts w:asciiTheme="minorHAnsi" w:hAnsiTheme="minorHAnsi" w:cstheme="minorHAnsi"/>
          <w:szCs w:val="24"/>
        </w:rPr>
        <w:t xml:space="preserve"> in </w:t>
      </w:r>
      <w:proofErr w:type="gramStart"/>
      <w:r w:rsidRPr="00B366AE">
        <w:rPr>
          <w:rFonts w:asciiTheme="minorHAnsi" w:hAnsiTheme="minorHAnsi" w:cstheme="minorHAnsi"/>
          <w:szCs w:val="24"/>
        </w:rPr>
        <w:t>Regions</w:t>
      </w:r>
      <w:proofErr w:type="gramEnd"/>
      <w:r w:rsidRPr="00B366AE">
        <w:rPr>
          <w:rFonts w:asciiTheme="minorHAnsi" w:hAnsiTheme="minorHAnsi" w:cstheme="minorHAnsi"/>
          <w:szCs w:val="24"/>
        </w:rPr>
        <w:t xml:space="preserve"> 1 and 3 is a Plan for BSS feeder-links in the frequency bands 17.3</w:t>
      </w:r>
      <w:r>
        <w:rPr>
          <w:rFonts w:asciiTheme="minorHAnsi" w:hAnsiTheme="minorHAnsi" w:cstheme="minorHAnsi"/>
          <w:szCs w:val="24"/>
        </w:rPr>
        <w:noBreakHyphen/>
      </w:r>
      <w:r w:rsidRPr="00B366AE">
        <w:rPr>
          <w:rFonts w:asciiTheme="minorHAnsi" w:hAnsiTheme="minorHAnsi" w:cstheme="minorHAnsi"/>
          <w:szCs w:val="24"/>
        </w:rPr>
        <w:t>18.1</w:t>
      </w:r>
      <w:r>
        <w:rPr>
          <w:rFonts w:asciiTheme="minorHAnsi" w:hAnsiTheme="minorHAnsi" w:cstheme="minorHAnsi"/>
          <w:szCs w:val="24"/>
        </w:rPr>
        <w:t> </w:t>
      </w:r>
      <w:r w:rsidRPr="00B366AE">
        <w:rPr>
          <w:rFonts w:asciiTheme="minorHAnsi" w:hAnsiTheme="minorHAnsi" w:cstheme="minorHAnsi"/>
          <w:szCs w:val="24"/>
        </w:rPr>
        <w:t xml:space="preserve">GHz in Regions 1 and 3 and 14.5-14.8 GHz for countries outside Europe. </w:t>
      </w:r>
    </w:p>
    <w:p w14:paraId="5FD2A32A" w14:textId="77777777" w:rsidR="001259BF" w:rsidRPr="00B366AE" w:rsidRDefault="001259BF" w:rsidP="001259BF">
      <w:pPr>
        <w:jc w:val="both"/>
        <w:rPr>
          <w:rFonts w:asciiTheme="minorHAnsi" w:hAnsiTheme="minorHAnsi" w:cstheme="minorHAnsi"/>
          <w:szCs w:val="24"/>
        </w:rPr>
      </w:pPr>
      <w:r w:rsidRPr="001D56D6">
        <w:t>WRC</w:t>
      </w:r>
      <w:r w:rsidRPr="00B366AE">
        <w:rPr>
          <w:rFonts w:asciiTheme="minorHAnsi" w:hAnsiTheme="minorHAnsi" w:cstheme="minorHAnsi"/>
          <w:szCs w:val="24"/>
        </w:rPr>
        <w:t xml:space="preserve">-2000 successfully completed a replanning of the Appendices </w:t>
      </w:r>
      <w:r w:rsidRPr="00B366AE">
        <w:rPr>
          <w:rFonts w:asciiTheme="minorHAnsi" w:hAnsiTheme="minorHAnsi" w:cstheme="minorHAnsi"/>
          <w:b/>
          <w:bCs/>
          <w:szCs w:val="24"/>
        </w:rPr>
        <w:t>30</w:t>
      </w:r>
      <w:r w:rsidRPr="00B366AE">
        <w:rPr>
          <w:rFonts w:asciiTheme="minorHAnsi" w:hAnsiTheme="minorHAnsi" w:cstheme="minorHAnsi"/>
          <w:szCs w:val="24"/>
        </w:rPr>
        <w:t xml:space="preserve"> and </w:t>
      </w:r>
      <w:r w:rsidRPr="00B366AE">
        <w:rPr>
          <w:rFonts w:asciiTheme="minorHAnsi" w:hAnsiTheme="minorHAnsi" w:cstheme="minorHAnsi"/>
          <w:b/>
          <w:bCs/>
          <w:szCs w:val="24"/>
        </w:rPr>
        <w:t>30A</w:t>
      </w:r>
      <w:r w:rsidRPr="00B366AE">
        <w:rPr>
          <w:rFonts w:asciiTheme="minorHAnsi" w:hAnsiTheme="minorHAnsi" w:cstheme="minorHAnsi"/>
          <w:szCs w:val="24"/>
        </w:rPr>
        <w:t xml:space="preserve"> Plans in Regions 1 and 3. Since then, more and more assignments for additional uses have entered the Lists of these Appendices by relying on increased application of </w:t>
      </w:r>
      <w:r>
        <w:rPr>
          <w:rFonts w:asciiTheme="minorHAnsi" w:hAnsiTheme="minorHAnsi" w:cstheme="minorHAnsi"/>
          <w:szCs w:val="24"/>
        </w:rPr>
        <w:t>“</w:t>
      </w:r>
      <w:r w:rsidRPr="00B366AE">
        <w:rPr>
          <w:rFonts w:asciiTheme="minorHAnsi" w:hAnsiTheme="minorHAnsi" w:cstheme="minorHAnsi"/>
          <w:szCs w:val="24"/>
        </w:rPr>
        <w:t>implicit agreement</w:t>
      </w:r>
      <w:r>
        <w:rPr>
          <w:rFonts w:asciiTheme="minorHAnsi" w:hAnsiTheme="minorHAnsi" w:cstheme="minorHAnsi"/>
          <w:szCs w:val="24"/>
        </w:rPr>
        <w:t>”</w:t>
      </w:r>
      <w:r w:rsidRPr="00B366AE">
        <w:rPr>
          <w:rFonts w:asciiTheme="minorHAnsi" w:hAnsiTheme="minorHAnsi" w:cstheme="minorHAnsi"/>
          <w:szCs w:val="24"/>
        </w:rPr>
        <w:t xml:space="preserve">. As a result, the reference situations (EPM – equivalent protection margin) of most Regions 1 </w:t>
      </w:r>
      <w:r>
        <w:rPr>
          <w:rFonts w:asciiTheme="minorHAnsi" w:hAnsiTheme="minorHAnsi" w:cstheme="minorHAnsi"/>
          <w:szCs w:val="24"/>
        </w:rPr>
        <w:t>and</w:t>
      </w:r>
      <w:r w:rsidRPr="00B366AE">
        <w:rPr>
          <w:rFonts w:asciiTheme="minorHAnsi" w:hAnsiTheme="minorHAnsi" w:cstheme="minorHAnsi"/>
          <w:szCs w:val="24"/>
        </w:rPr>
        <w:t xml:space="preserve"> 3 Plan assignments have been degrading over time. </w:t>
      </w:r>
    </w:p>
    <w:p w14:paraId="2ECA6623" w14:textId="77777777" w:rsidR="001259BF" w:rsidRPr="00B366AE" w:rsidRDefault="001259BF" w:rsidP="001259BF">
      <w:pPr>
        <w:jc w:val="both"/>
        <w:rPr>
          <w:rFonts w:asciiTheme="minorHAnsi" w:hAnsiTheme="minorHAnsi" w:cstheme="minorHAnsi"/>
          <w:szCs w:val="24"/>
        </w:rPr>
      </w:pPr>
      <w:r w:rsidRPr="001D56D6">
        <w:t>WRC</w:t>
      </w:r>
      <w:r w:rsidRPr="00B366AE">
        <w:rPr>
          <w:rFonts w:asciiTheme="minorHAnsi" w:hAnsiTheme="minorHAnsi" w:cstheme="minorHAnsi"/>
          <w:szCs w:val="24"/>
        </w:rPr>
        <w:t xml:space="preserve">-19 adopted Resolution </w:t>
      </w:r>
      <w:r w:rsidRPr="00B366AE">
        <w:rPr>
          <w:rFonts w:asciiTheme="minorHAnsi" w:hAnsiTheme="minorHAnsi" w:cstheme="minorHAnsi"/>
          <w:b/>
          <w:bCs/>
          <w:szCs w:val="24"/>
        </w:rPr>
        <w:t>559 (WRC-19)</w:t>
      </w:r>
      <w:r w:rsidRPr="00B366AE">
        <w:rPr>
          <w:rFonts w:asciiTheme="minorHAnsi" w:hAnsiTheme="minorHAnsi" w:cstheme="minorHAnsi"/>
          <w:szCs w:val="24"/>
        </w:rPr>
        <w:t xml:space="preserve"> to provide some Administrations of Regions 1 and</w:t>
      </w:r>
      <w:r>
        <w:rPr>
          <w:rFonts w:asciiTheme="minorHAnsi" w:hAnsiTheme="minorHAnsi" w:cstheme="minorHAnsi"/>
          <w:szCs w:val="24"/>
        </w:rPr>
        <w:t> </w:t>
      </w:r>
      <w:r w:rsidRPr="00B366AE">
        <w:rPr>
          <w:rFonts w:asciiTheme="minorHAnsi" w:hAnsiTheme="minorHAnsi" w:cstheme="minorHAnsi"/>
          <w:szCs w:val="24"/>
        </w:rPr>
        <w:t xml:space="preserve">3 with the possibility to submit new frequency assignments to replace their degraded national frequency assignments in the Appendices </w:t>
      </w:r>
      <w:r w:rsidRPr="00B366AE">
        <w:rPr>
          <w:rFonts w:asciiTheme="minorHAnsi" w:hAnsiTheme="minorHAnsi" w:cstheme="minorHAnsi"/>
          <w:b/>
          <w:bCs/>
          <w:szCs w:val="24"/>
        </w:rPr>
        <w:t>30</w:t>
      </w:r>
      <w:r w:rsidRPr="00B366AE">
        <w:rPr>
          <w:rFonts w:asciiTheme="minorHAnsi" w:hAnsiTheme="minorHAnsi" w:cstheme="minorHAnsi"/>
          <w:szCs w:val="24"/>
        </w:rPr>
        <w:t xml:space="preserve"> and </w:t>
      </w:r>
      <w:r w:rsidRPr="00B366AE">
        <w:rPr>
          <w:rFonts w:asciiTheme="minorHAnsi" w:hAnsiTheme="minorHAnsi" w:cstheme="minorHAnsi"/>
          <w:b/>
          <w:bCs/>
          <w:szCs w:val="24"/>
        </w:rPr>
        <w:t>30A</w:t>
      </w:r>
      <w:r w:rsidRPr="00B366AE">
        <w:rPr>
          <w:rFonts w:asciiTheme="minorHAnsi" w:hAnsiTheme="minorHAnsi" w:cstheme="minorHAnsi"/>
          <w:szCs w:val="24"/>
        </w:rPr>
        <w:t xml:space="preserve"> Plans. A total of 45 eligible Administrations sent their requests under Resolution </w:t>
      </w:r>
      <w:r w:rsidRPr="00B366AE">
        <w:rPr>
          <w:rFonts w:asciiTheme="minorHAnsi" w:hAnsiTheme="minorHAnsi" w:cstheme="minorHAnsi"/>
          <w:b/>
          <w:bCs/>
          <w:szCs w:val="24"/>
        </w:rPr>
        <w:t>559 (WRC-19)</w:t>
      </w:r>
      <w:r w:rsidRPr="00B366AE">
        <w:rPr>
          <w:rFonts w:asciiTheme="minorHAnsi" w:hAnsiTheme="minorHAnsi" w:cstheme="minorHAnsi"/>
          <w:szCs w:val="24"/>
        </w:rPr>
        <w:t xml:space="preserve"> and 41 Administrations have successfully entered their new assignments in the Lists of Appendices </w:t>
      </w:r>
      <w:r w:rsidRPr="00B366AE">
        <w:rPr>
          <w:rFonts w:asciiTheme="minorHAnsi" w:hAnsiTheme="minorHAnsi" w:cstheme="minorHAnsi"/>
          <w:b/>
          <w:bCs/>
          <w:szCs w:val="24"/>
        </w:rPr>
        <w:t>30</w:t>
      </w:r>
      <w:r w:rsidRPr="00B366AE">
        <w:rPr>
          <w:rFonts w:asciiTheme="minorHAnsi" w:hAnsiTheme="minorHAnsi" w:cstheme="minorHAnsi"/>
          <w:szCs w:val="24"/>
        </w:rPr>
        <w:t xml:space="preserve"> and </w:t>
      </w:r>
      <w:r w:rsidRPr="00B366AE">
        <w:rPr>
          <w:rFonts w:asciiTheme="minorHAnsi" w:hAnsiTheme="minorHAnsi" w:cstheme="minorHAnsi"/>
          <w:b/>
          <w:bCs/>
          <w:szCs w:val="24"/>
        </w:rPr>
        <w:t xml:space="preserve">30A </w:t>
      </w:r>
      <w:r w:rsidRPr="00B366AE">
        <w:rPr>
          <w:rFonts w:asciiTheme="minorHAnsi" w:hAnsiTheme="minorHAnsi" w:cstheme="minorHAnsi"/>
          <w:szCs w:val="24"/>
        </w:rPr>
        <w:t>and</w:t>
      </w:r>
      <w:r w:rsidRPr="00B366AE">
        <w:rPr>
          <w:rFonts w:asciiTheme="minorHAnsi" w:hAnsiTheme="minorHAnsi" w:cstheme="minorHAnsi"/>
          <w:b/>
          <w:bCs/>
          <w:szCs w:val="24"/>
        </w:rPr>
        <w:t xml:space="preserve"> </w:t>
      </w:r>
      <w:r w:rsidRPr="00B366AE">
        <w:rPr>
          <w:rFonts w:asciiTheme="minorHAnsi" w:hAnsiTheme="minorHAnsi" w:cstheme="minorHAnsi"/>
          <w:szCs w:val="24"/>
        </w:rPr>
        <w:t>subsequently submitted their requests for inclusion in the Plans to WRC-23.</w:t>
      </w:r>
    </w:p>
    <w:p w14:paraId="25BD2B6D" w14:textId="77777777" w:rsidR="001259BF" w:rsidRPr="00B366AE" w:rsidRDefault="001259BF" w:rsidP="001259BF">
      <w:pPr>
        <w:jc w:val="both"/>
        <w:rPr>
          <w:rFonts w:asciiTheme="minorHAnsi" w:hAnsiTheme="minorHAnsi" w:cstheme="minorBidi"/>
        </w:rPr>
      </w:pPr>
      <w:r w:rsidRPr="001D56D6">
        <w:t>WRC</w:t>
      </w:r>
      <w:r w:rsidRPr="00B366AE">
        <w:rPr>
          <w:rFonts w:asciiTheme="minorHAnsi" w:hAnsiTheme="minorHAnsi" w:cstheme="minorBidi"/>
        </w:rPr>
        <w:t xml:space="preserve">-23 acceded to the requests of the above-mentioned 41 Administrations. As a result, the corresponding 40 degraded national frequency assignments in the Plans of Appendices </w:t>
      </w:r>
      <w:r w:rsidRPr="00B366AE">
        <w:rPr>
          <w:rFonts w:asciiTheme="minorHAnsi" w:hAnsiTheme="minorHAnsi" w:cstheme="minorBidi"/>
          <w:b/>
          <w:bCs/>
        </w:rPr>
        <w:t>30</w:t>
      </w:r>
      <w:r w:rsidRPr="00B366AE">
        <w:rPr>
          <w:rFonts w:asciiTheme="minorHAnsi" w:hAnsiTheme="minorHAnsi" w:cstheme="minorBidi"/>
        </w:rPr>
        <w:t xml:space="preserve"> and </w:t>
      </w:r>
      <w:r w:rsidRPr="00B366AE">
        <w:rPr>
          <w:rFonts w:asciiTheme="minorHAnsi" w:hAnsiTheme="minorHAnsi" w:cstheme="minorBidi"/>
          <w:b/>
          <w:bCs/>
        </w:rPr>
        <w:t>30A</w:t>
      </w:r>
      <w:r w:rsidRPr="00B366AE">
        <w:rPr>
          <w:rFonts w:asciiTheme="minorHAnsi" w:hAnsiTheme="minorHAnsi" w:cstheme="minorBidi"/>
        </w:rPr>
        <w:t xml:space="preserve"> have been replaced with frequency assignments stemming from the application of Resolution </w:t>
      </w:r>
      <w:r w:rsidRPr="00B366AE">
        <w:rPr>
          <w:rFonts w:asciiTheme="minorHAnsi" w:hAnsiTheme="minorHAnsi" w:cstheme="minorBidi"/>
          <w:b/>
          <w:bCs/>
        </w:rPr>
        <w:t>559</w:t>
      </w:r>
      <w:r w:rsidRPr="00B366AE">
        <w:rPr>
          <w:rFonts w:asciiTheme="minorHAnsi" w:hAnsiTheme="minorHAnsi" w:cstheme="minorBidi"/>
        </w:rPr>
        <w:t xml:space="preserve"> with improved reference situations. The Administration of South Sudan has also obtained its new entry in the Plans of Appendices </w:t>
      </w:r>
      <w:r w:rsidRPr="00B366AE">
        <w:rPr>
          <w:rFonts w:asciiTheme="minorHAnsi" w:hAnsiTheme="minorHAnsi" w:cstheme="minorBidi"/>
          <w:b/>
          <w:bCs/>
        </w:rPr>
        <w:t>30</w:t>
      </w:r>
      <w:r w:rsidRPr="00B366AE">
        <w:rPr>
          <w:rFonts w:asciiTheme="minorHAnsi" w:hAnsiTheme="minorHAnsi" w:cstheme="minorBidi"/>
        </w:rPr>
        <w:t xml:space="preserve"> and </w:t>
      </w:r>
      <w:r w:rsidRPr="00B366AE">
        <w:rPr>
          <w:rFonts w:asciiTheme="minorHAnsi" w:hAnsiTheme="minorHAnsi" w:cstheme="minorBidi"/>
          <w:b/>
          <w:bCs/>
        </w:rPr>
        <w:t>30A</w:t>
      </w:r>
      <w:r w:rsidRPr="00B366AE">
        <w:rPr>
          <w:rFonts w:asciiTheme="minorHAnsi" w:hAnsiTheme="minorHAnsi" w:cstheme="minorBidi"/>
        </w:rPr>
        <w:t>.</w:t>
      </w:r>
    </w:p>
    <w:p w14:paraId="6537BEDA" w14:textId="77777777" w:rsidR="001259BF" w:rsidRPr="00B366AE" w:rsidRDefault="001259BF" w:rsidP="001259BF">
      <w:pPr>
        <w:jc w:val="both"/>
        <w:rPr>
          <w:rFonts w:asciiTheme="minorHAnsi" w:hAnsiTheme="minorHAnsi" w:cstheme="minorHAnsi"/>
          <w:szCs w:val="24"/>
        </w:rPr>
      </w:pPr>
      <w:r w:rsidRPr="001D56D6">
        <w:lastRenderedPageBreak/>
        <w:t>WRC</w:t>
      </w:r>
      <w:r w:rsidRPr="00B366AE">
        <w:rPr>
          <w:rFonts w:asciiTheme="minorHAnsi" w:hAnsiTheme="minorHAnsi" w:cstheme="minorHAnsi"/>
          <w:szCs w:val="24"/>
        </w:rPr>
        <w:t xml:space="preserve">-23 also modified Appendices </w:t>
      </w:r>
      <w:r w:rsidRPr="00B366AE">
        <w:rPr>
          <w:rFonts w:asciiTheme="minorHAnsi" w:hAnsiTheme="minorHAnsi" w:cstheme="minorHAnsi"/>
          <w:b/>
          <w:bCs/>
          <w:szCs w:val="24"/>
        </w:rPr>
        <w:t>30</w:t>
      </w:r>
      <w:r w:rsidRPr="00B366AE">
        <w:rPr>
          <w:rFonts w:asciiTheme="minorHAnsi" w:hAnsiTheme="minorHAnsi" w:cstheme="minorHAnsi"/>
          <w:szCs w:val="24"/>
        </w:rPr>
        <w:t xml:space="preserve"> and </w:t>
      </w:r>
      <w:r w:rsidRPr="00B366AE">
        <w:rPr>
          <w:rFonts w:asciiTheme="minorHAnsi" w:hAnsiTheme="minorHAnsi" w:cstheme="minorHAnsi"/>
          <w:b/>
          <w:bCs/>
          <w:szCs w:val="24"/>
        </w:rPr>
        <w:t>30A</w:t>
      </w:r>
      <w:r w:rsidRPr="00B366AE">
        <w:rPr>
          <w:rFonts w:asciiTheme="minorHAnsi" w:hAnsiTheme="minorHAnsi" w:cstheme="minorHAnsi"/>
          <w:szCs w:val="24"/>
        </w:rPr>
        <w:t xml:space="preserve"> provisions in </w:t>
      </w:r>
      <w:proofErr w:type="gramStart"/>
      <w:r w:rsidRPr="00B366AE">
        <w:rPr>
          <w:rFonts w:asciiTheme="minorHAnsi" w:hAnsiTheme="minorHAnsi" w:cstheme="minorHAnsi"/>
          <w:szCs w:val="24"/>
        </w:rPr>
        <w:t>Regions</w:t>
      </w:r>
      <w:proofErr w:type="gramEnd"/>
      <w:r w:rsidRPr="00B366AE">
        <w:rPr>
          <w:rFonts w:asciiTheme="minorHAnsi" w:hAnsiTheme="minorHAnsi" w:cstheme="minorHAnsi"/>
          <w:szCs w:val="24"/>
        </w:rPr>
        <w:t xml:space="preserve"> 1 and 3 so that any degradation to the reference situation of </w:t>
      </w:r>
      <w:proofErr w:type="gramStart"/>
      <w:r w:rsidRPr="00B366AE">
        <w:rPr>
          <w:rFonts w:asciiTheme="minorHAnsi" w:hAnsiTheme="minorHAnsi" w:cstheme="minorHAnsi"/>
          <w:szCs w:val="24"/>
        </w:rPr>
        <w:t>Regions</w:t>
      </w:r>
      <w:proofErr w:type="gramEnd"/>
      <w:r w:rsidRPr="00B366AE">
        <w:rPr>
          <w:rFonts w:asciiTheme="minorHAnsi" w:hAnsiTheme="minorHAnsi" w:cstheme="minorHAnsi"/>
          <w:szCs w:val="24"/>
        </w:rPr>
        <w:t xml:space="preserve"> 1 </w:t>
      </w:r>
      <w:r>
        <w:rPr>
          <w:rFonts w:asciiTheme="minorHAnsi" w:hAnsiTheme="minorHAnsi" w:cstheme="minorHAnsi"/>
          <w:szCs w:val="24"/>
        </w:rPr>
        <w:t>and</w:t>
      </w:r>
      <w:r w:rsidRPr="00B366AE">
        <w:rPr>
          <w:rFonts w:asciiTheme="minorHAnsi" w:hAnsiTheme="minorHAnsi" w:cstheme="minorHAnsi"/>
          <w:szCs w:val="24"/>
        </w:rPr>
        <w:t xml:space="preserve"> 3 Plan assignments beyond the allowable tolerance shall be subject to an explicit agreement from the potentially affected administrations.</w:t>
      </w:r>
    </w:p>
    <w:p w14:paraId="26A18B43" w14:textId="77777777" w:rsidR="001259BF" w:rsidRPr="00B366AE" w:rsidRDefault="001259BF" w:rsidP="001259BF">
      <w:pPr>
        <w:pStyle w:val="Heading2"/>
      </w:pPr>
      <w:r w:rsidRPr="00B366AE">
        <w:t>1.2</w:t>
      </w:r>
      <w:r w:rsidRPr="00B366AE">
        <w:tab/>
        <w:t>Reference situation of the planned national assignments</w:t>
      </w:r>
    </w:p>
    <w:p w14:paraId="1E68498E" w14:textId="77777777" w:rsidR="001259BF" w:rsidRPr="00B366AE" w:rsidRDefault="001259BF" w:rsidP="001259BF">
      <w:pPr>
        <w:jc w:val="both"/>
        <w:rPr>
          <w:rFonts w:asciiTheme="minorHAnsi" w:hAnsiTheme="minorHAnsi" w:cstheme="minorHAnsi"/>
          <w:szCs w:val="24"/>
        </w:rPr>
      </w:pPr>
      <w:r w:rsidRPr="001D56D6">
        <w:t>Tables</w:t>
      </w:r>
      <w:r w:rsidRPr="00B366AE">
        <w:rPr>
          <w:rFonts w:asciiTheme="minorHAnsi" w:hAnsiTheme="minorHAnsi" w:cstheme="minorHAnsi"/>
          <w:szCs w:val="24"/>
        </w:rPr>
        <w:t xml:space="preserve"> 1 and 2 below indicate the changes in the reference situation of the Regions 1 and 3 Plan assignments as established by WRC-2000 and at the time of BR IFIC </w:t>
      </w:r>
      <w:r>
        <w:rPr>
          <w:rFonts w:asciiTheme="minorHAnsi" w:hAnsiTheme="minorHAnsi" w:cstheme="minorHAnsi"/>
          <w:szCs w:val="24"/>
        </w:rPr>
        <w:t xml:space="preserve">3041 </w:t>
      </w:r>
      <w:r w:rsidRPr="00B366AE">
        <w:rPr>
          <w:rFonts w:asciiTheme="minorHAnsi" w:hAnsiTheme="minorHAnsi" w:cstheme="minorHAnsi"/>
          <w:szCs w:val="24"/>
        </w:rPr>
        <w:t xml:space="preserve">of </w:t>
      </w:r>
      <w:r>
        <w:rPr>
          <w:rFonts w:asciiTheme="minorHAnsi" w:hAnsiTheme="minorHAnsi" w:cstheme="minorHAnsi"/>
          <w:szCs w:val="24"/>
        </w:rPr>
        <w:t>4 March 2025</w:t>
      </w:r>
      <w:r w:rsidRPr="00B366AE">
        <w:rPr>
          <w:rFonts w:asciiTheme="minorHAnsi" w:hAnsiTheme="minorHAnsi" w:cstheme="minorHAnsi"/>
          <w:szCs w:val="24"/>
        </w:rPr>
        <w:t xml:space="preserve">. The 41 new Regions 1 </w:t>
      </w:r>
      <w:r>
        <w:rPr>
          <w:rFonts w:asciiTheme="minorHAnsi" w:hAnsiTheme="minorHAnsi" w:cstheme="minorHAnsi"/>
          <w:szCs w:val="24"/>
        </w:rPr>
        <w:t>and</w:t>
      </w:r>
      <w:r w:rsidRPr="00B366AE">
        <w:rPr>
          <w:rFonts w:asciiTheme="minorHAnsi" w:hAnsiTheme="minorHAnsi" w:cstheme="minorHAnsi"/>
          <w:szCs w:val="24"/>
        </w:rPr>
        <w:t xml:space="preserve"> 3 Plan assignments described in section 1.1 above are also included in these Tables (see Notes 1 and 2). The changes are reflected in the range of the minimum and maximum values of EPM per Administration.</w:t>
      </w:r>
    </w:p>
    <w:p w14:paraId="21DA999D" w14:textId="77777777" w:rsidR="001259BF" w:rsidRPr="00B366AE" w:rsidRDefault="001259BF" w:rsidP="001259BF">
      <w:pPr>
        <w:pStyle w:val="TableNo"/>
      </w:pPr>
      <w:r w:rsidRPr="00B366AE">
        <w:t>Table 1</w:t>
      </w:r>
    </w:p>
    <w:p w14:paraId="5A43EB62" w14:textId="77777777" w:rsidR="001259BF" w:rsidRPr="00B366AE" w:rsidRDefault="001259BF" w:rsidP="001259BF">
      <w:pPr>
        <w:pStyle w:val="Tabletitle"/>
      </w:pPr>
      <w:r w:rsidRPr="00B366AE">
        <w:t>Change in EPM values for assignments in the Regions 1 and 3 BSS Plan (downlink)</w:t>
      </w:r>
    </w:p>
    <w:p w14:paraId="7AA9F626" w14:textId="77777777" w:rsidR="001259BF" w:rsidRPr="00911F4B" w:rsidRDefault="001259BF" w:rsidP="001259BF">
      <w:pPr>
        <w:pStyle w:val="Tabletitle"/>
        <w:rPr>
          <w:i/>
          <w:iCs/>
        </w:rPr>
      </w:pPr>
      <w:hyperlink r:id="rId15" w:history="1">
        <w:r w:rsidRPr="00911F4B">
          <w:rPr>
            <w:rStyle w:val="Hyperlink"/>
            <w:rFonts w:eastAsiaTheme="minorEastAsia"/>
            <w:i/>
            <w:iCs/>
            <w:lang w:val="en-US"/>
          </w:rPr>
          <w:t>See Table 1 here</w:t>
        </w:r>
      </w:hyperlink>
    </w:p>
    <w:p w14:paraId="6555110E" w14:textId="77777777" w:rsidR="001259BF" w:rsidRDefault="001259BF" w:rsidP="001259BF">
      <w:pPr>
        <w:pStyle w:val="Tablefin"/>
      </w:pPr>
    </w:p>
    <w:p w14:paraId="0B7C2CAB" w14:textId="77777777" w:rsidR="001259BF" w:rsidRPr="00B366AE" w:rsidRDefault="001259BF" w:rsidP="001259BF">
      <w:pPr>
        <w:pStyle w:val="TableNo"/>
      </w:pPr>
      <w:r w:rsidRPr="00B366AE">
        <w:t>Table 2</w:t>
      </w:r>
    </w:p>
    <w:p w14:paraId="35CA42C9" w14:textId="77777777" w:rsidR="001259BF" w:rsidRPr="00B366AE" w:rsidRDefault="001259BF" w:rsidP="001259BF">
      <w:pPr>
        <w:pStyle w:val="Tabletitle"/>
        <w:rPr>
          <w:rFonts w:ascii="Times New Roman" w:hAnsi="Times New Roman"/>
        </w:rPr>
      </w:pPr>
      <w:r w:rsidRPr="00B366AE">
        <w:t>Change in EPM values for assignments in the Regions 1 and 3 BSS feeder-link Plan</w:t>
      </w:r>
    </w:p>
    <w:bookmarkStart w:id="11" w:name="_Hlk163661867"/>
    <w:p w14:paraId="2B70E85F" w14:textId="77777777" w:rsidR="001259BF" w:rsidRPr="00911F4B" w:rsidRDefault="001259BF" w:rsidP="001259BF">
      <w:pPr>
        <w:pStyle w:val="Tabletitle"/>
        <w:rPr>
          <w:rFonts w:eastAsiaTheme="minorEastAsia"/>
          <w:i/>
          <w:iCs/>
          <w:lang w:val="en-US"/>
        </w:rPr>
      </w:pPr>
      <w:r w:rsidRPr="00911F4B">
        <w:rPr>
          <w:rFonts w:eastAsiaTheme="minorEastAsia"/>
          <w:i/>
          <w:iCs/>
          <w:lang w:val="en-US"/>
        </w:rPr>
        <w:fldChar w:fldCharType="begin"/>
      </w:r>
      <w:r w:rsidRPr="00911F4B">
        <w:rPr>
          <w:rFonts w:eastAsiaTheme="minorEastAsia"/>
          <w:i/>
          <w:iCs/>
          <w:lang w:val="en-US"/>
        </w:rPr>
        <w:instrText>HYPERLINK "https://www.itu.int/en/council/Documents/2025/Table_2-EPM_FL_March_2025.pdf"</w:instrText>
      </w:r>
      <w:r w:rsidRPr="00911F4B">
        <w:rPr>
          <w:rFonts w:eastAsiaTheme="minorEastAsia"/>
          <w:i/>
          <w:iCs/>
          <w:lang w:val="en-US"/>
        </w:rPr>
      </w:r>
      <w:r w:rsidRPr="00911F4B">
        <w:rPr>
          <w:rFonts w:eastAsiaTheme="minorEastAsia"/>
          <w:i/>
          <w:iCs/>
          <w:lang w:val="en-US"/>
        </w:rPr>
        <w:fldChar w:fldCharType="separate"/>
      </w:r>
      <w:r w:rsidRPr="00911F4B">
        <w:rPr>
          <w:rStyle w:val="Hyperlink"/>
          <w:rFonts w:eastAsiaTheme="minorEastAsia"/>
          <w:i/>
          <w:iCs/>
          <w:lang w:val="en-US"/>
        </w:rPr>
        <w:t>See Table 2 here</w:t>
      </w:r>
      <w:r w:rsidRPr="00911F4B">
        <w:rPr>
          <w:rFonts w:eastAsiaTheme="minorEastAsia"/>
          <w:i/>
          <w:iCs/>
          <w:lang w:val="en-US"/>
        </w:rPr>
        <w:fldChar w:fldCharType="end"/>
      </w:r>
    </w:p>
    <w:bookmarkEnd w:id="11"/>
    <w:p w14:paraId="258F45B4" w14:textId="77777777" w:rsidR="001259BF" w:rsidRDefault="001259BF" w:rsidP="001259BF">
      <w:pPr>
        <w:pStyle w:val="Tablefin"/>
      </w:pPr>
    </w:p>
    <w:p w14:paraId="0471BEEB" w14:textId="77777777" w:rsidR="001259BF" w:rsidRPr="00B366AE" w:rsidRDefault="001259BF" w:rsidP="001259BF">
      <w:pPr>
        <w:pStyle w:val="Heading2"/>
      </w:pPr>
      <w:r w:rsidRPr="00B366AE">
        <w:t>1.3</w:t>
      </w:r>
      <w:r w:rsidRPr="00B366AE">
        <w:tab/>
        <w:t>Implementation of Resolution 559 (WRC-19)</w:t>
      </w:r>
    </w:p>
    <w:p w14:paraId="1AB5FD83" w14:textId="77777777" w:rsidR="001259BF" w:rsidRPr="00B366AE" w:rsidRDefault="001259BF" w:rsidP="001259BF">
      <w:pPr>
        <w:jc w:val="both"/>
        <w:rPr>
          <w:rFonts w:asciiTheme="minorHAnsi" w:hAnsiTheme="minorHAnsi" w:cstheme="minorHAnsi"/>
          <w:szCs w:val="24"/>
        </w:rPr>
      </w:pPr>
      <w:r w:rsidRPr="00B366AE">
        <w:rPr>
          <w:rFonts w:asciiTheme="minorHAnsi" w:hAnsiTheme="minorHAnsi" w:cstheme="minorHAnsi"/>
          <w:szCs w:val="24"/>
        </w:rPr>
        <w:t xml:space="preserve">As mentioned in section 1.1 above, 41 out of the 45 eligible Administrations have successfully </w:t>
      </w:r>
      <w:r w:rsidRPr="001D56D6">
        <w:t>applied</w:t>
      </w:r>
      <w:r w:rsidRPr="00B366AE">
        <w:rPr>
          <w:rFonts w:asciiTheme="minorHAnsi" w:hAnsiTheme="minorHAnsi" w:cstheme="minorHAnsi"/>
          <w:szCs w:val="24"/>
        </w:rPr>
        <w:t xml:space="preserve"> Resolution </w:t>
      </w:r>
      <w:r w:rsidRPr="00B366AE">
        <w:rPr>
          <w:rFonts w:asciiTheme="minorHAnsi" w:hAnsiTheme="minorHAnsi" w:cstheme="minorHAnsi"/>
          <w:b/>
          <w:bCs/>
          <w:szCs w:val="24"/>
        </w:rPr>
        <w:t>559 (WRC-19)</w:t>
      </w:r>
      <w:r w:rsidRPr="00B366AE">
        <w:rPr>
          <w:rFonts w:asciiTheme="minorHAnsi" w:hAnsiTheme="minorHAnsi" w:cstheme="minorHAnsi"/>
          <w:szCs w:val="24"/>
        </w:rPr>
        <w:t xml:space="preserve"> and obtained new Regions 1 </w:t>
      </w:r>
      <w:r>
        <w:rPr>
          <w:rFonts w:asciiTheme="minorHAnsi" w:hAnsiTheme="minorHAnsi" w:cstheme="minorHAnsi"/>
          <w:szCs w:val="24"/>
        </w:rPr>
        <w:t>and</w:t>
      </w:r>
      <w:r w:rsidRPr="00B366AE">
        <w:rPr>
          <w:rFonts w:asciiTheme="minorHAnsi" w:hAnsiTheme="minorHAnsi" w:cstheme="minorHAnsi"/>
          <w:szCs w:val="24"/>
        </w:rPr>
        <w:t xml:space="preserve"> 3 Plan assignments at WRC</w:t>
      </w:r>
      <w:r>
        <w:rPr>
          <w:rFonts w:asciiTheme="minorHAnsi" w:hAnsiTheme="minorHAnsi" w:cstheme="minorHAnsi"/>
          <w:szCs w:val="24"/>
        </w:rPr>
        <w:noBreakHyphen/>
      </w:r>
      <w:r w:rsidRPr="00B366AE">
        <w:rPr>
          <w:rFonts w:asciiTheme="minorHAnsi" w:hAnsiTheme="minorHAnsi" w:cstheme="minorHAnsi"/>
          <w:szCs w:val="24"/>
        </w:rPr>
        <w:t xml:space="preserve">23. Table 3 below indicates the maximum and minimum EPM values of the 4 remaining requests submitted under Resolution </w:t>
      </w:r>
      <w:r w:rsidRPr="00B366AE">
        <w:rPr>
          <w:rFonts w:asciiTheme="minorHAnsi" w:hAnsiTheme="minorHAnsi" w:cstheme="minorHAnsi"/>
          <w:b/>
          <w:bCs/>
          <w:szCs w:val="24"/>
        </w:rPr>
        <w:t>559 (WRC-19)</w:t>
      </w:r>
      <w:r w:rsidRPr="00B366AE">
        <w:rPr>
          <w:rFonts w:asciiTheme="minorHAnsi" w:hAnsiTheme="minorHAnsi" w:cstheme="minorHAnsi"/>
          <w:szCs w:val="24"/>
        </w:rPr>
        <w:t xml:space="preserve">. </w:t>
      </w:r>
      <w:r>
        <w:rPr>
          <w:rFonts w:asciiTheme="minorHAnsi" w:hAnsiTheme="minorHAnsi" w:cstheme="minorHAnsi"/>
          <w:szCs w:val="24"/>
        </w:rPr>
        <w:t xml:space="preserve">The Bureau has reviewed their coordination requirements based on WRC-23’s decisions and informed these Administrations accordingly. </w:t>
      </w:r>
      <w:r w:rsidRPr="00B366AE">
        <w:rPr>
          <w:rFonts w:asciiTheme="minorHAnsi" w:hAnsiTheme="minorHAnsi" w:cstheme="minorHAnsi"/>
          <w:szCs w:val="24"/>
        </w:rPr>
        <w:t xml:space="preserve">The Radiocommunication Bureau continues to assist these Administrations so that they can obtain new Regions 1 </w:t>
      </w:r>
      <w:r>
        <w:rPr>
          <w:rFonts w:asciiTheme="minorHAnsi" w:hAnsiTheme="minorHAnsi" w:cstheme="minorHAnsi"/>
          <w:szCs w:val="24"/>
        </w:rPr>
        <w:t>and</w:t>
      </w:r>
      <w:r w:rsidRPr="00B366AE">
        <w:rPr>
          <w:rFonts w:asciiTheme="minorHAnsi" w:hAnsiTheme="minorHAnsi" w:cstheme="minorHAnsi"/>
          <w:szCs w:val="24"/>
        </w:rPr>
        <w:t xml:space="preserve"> 3 Plan assignments at WRC-27.</w:t>
      </w:r>
    </w:p>
    <w:p w14:paraId="52CB50A6" w14:textId="77777777" w:rsidR="001259BF" w:rsidRPr="00B366AE" w:rsidRDefault="001259BF" w:rsidP="001259BF">
      <w:pPr>
        <w:pStyle w:val="TableNo"/>
      </w:pPr>
      <w:r w:rsidRPr="00B366AE">
        <w:lastRenderedPageBreak/>
        <w:t>Table 3</w:t>
      </w:r>
    </w:p>
    <w:p w14:paraId="5CE1C3C6" w14:textId="77777777" w:rsidR="001259BF" w:rsidRPr="00B366AE" w:rsidRDefault="001259BF" w:rsidP="001259BF">
      <w:pPr>
        <w:pStyle w:val="Tabletitle"/>
      </w:pPr>
      <w:r w:rsidRPr="00B366AE">
        <w:t xml:space="preserve">Range of EPM values of the 4 remaining requests submitted </w:t>
      </w:r>
      <w:r>
        <w:br/>
      </w:r>
      <w:r w:rsidRPr="00B366AE">
        <w:t xml:space="preserve">under Resolution </w:t>
      </w:r>
      <w:r w:rsidRPr="00B366AE">
        <w:rPr>
          <w:bCs/>
        </w:rPr>
        <w:t>559 (WRC-19)</w:t>
      </w:r>
      <w:r w:rsidRPr="00B366AE">
        <w:t xml:space="preserve"> </w:t>
      </w:r>
    </w:p>
    <w:tbl>
      <w:tblPr>
        <w:tblW w:w="5000" w:type="pct"/>
        <w:jc w:val="center"/>
        <w:tblLayout w:type="fixed"/>
        <w:tblCellMar>
          <w:left w:w="28" w:type="dxa"/>
          <w:right w:w="28" w:type="dxa"/>
        </w:tblCellMar>
        <w:tblLook w:val="04A0" w:firstRow="1" w:lastRow="0" w:firstColumn="1" w:lastColumn="0" w:noHBand="0" w:noVBand="1"/>
      </w:tblPr>
      <w:tblGrid>
        <w:gridCol w:w="2012"/>
        <w:gridCol w:w="1361"/>
        <w:gridCol w:w="1399"/>
        <w:gridCol w:w="1446"/>
        <w:gridCol w:w="1399"/>
        <w:gridCol w:w="1444"/>
      </w:tblGrid>
      <w:tr w:rsidR="001259BF" w:rsidRPr="00B366AE" w14:paraId="6B090E35" w14:textId="77777777" w:rsidTr="00D7785F">
        <w:trPr>
          <w:trHeight w:val="300"/>
          <w:tblHeader/>
          <w:jc w:val="center"/>
        </w:trPr>
        <w:tc>
          <w:tcPr>
            <w:tcW w:w="1110" w:type="pct"/>
            <w:vMerge w:val="restart"/>
            <w:tcBorders>
              <w:top w:val="single" w:sz="4" w:space="0" w:color="auto"/>
              <w:left w:val="single" w:sz="4" w:space="0" w:color="auto"/>
              <w:right w:val="single" w:sz="4" w:space="0" w:color="auto"/>
            </w:tcBorders>
            <w:shd w:val="clear" w:color="auto" w:fill="auto"/>
            <w:noWrap/>
            <w:vAlign w:val="bottom"/>
          </w:tcPr>
          <w:p w14:paraId="5C206A1B" w14:textId="77777777" w:rsidR="001259BF" w:rsidRPr="00B366AE" w:rsidRDefault="001259BF" w:rsidP="00D7785F">
            <w:pPr>
              <w:pStyle w:val="Tablehead"/>
              <w:rPr>
                <w:lang w:eastAsia="zh-CN"/>
              </w:rPr>
            </w:pPr>
            <w:r w:rsidRPr="00B366AE">
              <w:rPr>
                <w:lang w:eastAsia="zh-CN"/>
              </w:rPr>
              <w:t>Administration</w:t>
            </w:r>
          </w:p>
        </w:tc>
        <w:tc>
          <w:tcPr>
            <w:tcW w:w="751" w:type="pct"/>
            <w:vMerge w:val="restart"/>
            <w:tcBorders>
              <w:top w:val="single" w:sz="4" w:space="0" w:color="auto"/>
              <w:left w:val="single" w:sz="4" w:space="0" w:color="auto"/>
              <w:right w:val="single" w:sz="4" w:space="0" w:color="auto"/>
            </w:tcBorders>
            <w:shd w:val="clear" w:color="auto" w:fill="auto"/>
            <w:noWrap/>
            <w:vAlign w:val="bottom"/>
          </w:tcPr>
          <w:p w14:paraId="62936C37" w14:textId="77777777" w:rsidR="001259BF" w:rsidRPr="00B366AE" w:rsidRDefault="001259BF" w:rsidP="00D7785F">
            <w:pPr>
              <w:pStyle w:val="Tablehead"/>
              <w:rPr>
                <w:lang w:eastAsia="zh-CN"/>
              </w:rPr>
            </w:pPr>
            <w:r w:rsidRPr="00B366AE">
              <w:rPr>
                <w:lang w:eastAsia="zh-CN"/>
              </w:rPr>
              <w:t xml:space="preserve">Orbital position </w:t>
            </w:r>
            <w:r>
              <w:rPr>
                <w:lang w:eastAsia="zh-CN"/>
              </w:rPr>
              <w:br/>
            </w:r>
            <w:r w:rsidRPr="00B366AE">
              <w:rPr>
                <w:lang w:eastAsia="zh-CN"/>
              </w:rPr>
              <w:t>(</w:t>
            </w:r>
            <w:r>
              <w:rPr>
                <w:rFonts w:cs="Calibri"/>
                <w:lang w:eastAsia="zh-CN"/>
              </w:rPr>
              <w:t>°</w:t>
            </w:r>
            <w:r>
              <w:rPr>
                <w:lang w:eastAsia="zh-CN"/>
              </w:rPr>
              <w:t> </w:t>
            </w:r>
            <w:r w:rsidRPr="00B366AE">
              <w:rPr>
                <w:lang w:eastAsia="zh-CN"/>
              </w:rPr>
              <w:t>E)</w:t>
            </w:r>
          </w:p>
        </w:tc>
        <w:tc>
          <w:tcPr>
            <w:tcW w:w="15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B7516" w14:textId="77777777" w:rsidR="001259BF" w:rsidRPr="00B366AE" w:rsidRDefault="001259BF" w:rsidP="00D7785F">
            <w:pPr>
              <w:pStyle w:val="Tablehead"/>
              <w:rPr>
                <w:lang w:eastAsia="zh-CN"/>
              </w:rPr>
            </w:pPr>
            <w:r w:rsidRPr="00B366AE">
              <w:rPr>
                <w:lang w:eastAsia="zh-CN"/>
              </w:rPr>
              <w:t>Down-link</w:t>
            </w:r>
          </w:p>
        </w:tc>
        <w:tc>
          <w:tcPr>
            <w:tcW w:w="15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B7B78A" w14:textId="77777777" w:rsidR="001259BF" w:rsidRPr="00B366AE" w:rsidRDefault="001259BF" w:rsidP="00D7785F">
            <w:pPr>
              <w:pStyle w:val="Tablehead"/>
              <w:rPr>
                <w:lang w:eastAsia="zh-CN"/>
              </w:rPr>
            </w:pPr>
            <w:r w:rsidRPr="00B366AE">
              <w:rPr>
                <w:lang w:eastAsia="zh-CN"/>
              </w:rPr>
              <w:t>Feeder-link</w:t>
            </w:r>
          </w:p>
        </w:tc>
      </w:tr>
      <w:tr w:rsidR="001259BF" w:rsidRPr="00B366AE" w14:paraId="4247954C" w14:textId="77777777" w:rsidTr="00D7785F">
        <w:trPr>
          <w:trHeight w:val="300"/>
          <w:tblHeader/>
          <w:jc w:val="center"/>
        </w:trPr>
        <w:tc>
          <w:tcPr>
            <w:tcW w:w="1110" w:type="pct"/>
            <w:vMerge/>
            <w:tcBorders>
              <w:left w:val="single" w:sz="4" w:space="0" w:color="auto"/>
              <w:bottom w:val="single" w:sz="4" w:space="0" w:color="auto"/>
              <w:right w:val="single" w:sz="4" w:space="0" w:color="auto"/>
            </w:tcBorders>
            <w:shd w:val="clear" w:color="auto" w:fill="auto"/>
            <w:noWrap/>
            <w:vAlign w:val="bottom"/>
            <w:hideMark/>
          </w:tcPr>
          <w:p w14:paraId="557308BB" w14:textId="77777777" w:rsidR="001259BF" w:rsidRPr="00B366AE" w:rsidRDefault="001259BF" w:rsidP="00D7785F">
            <w:pPr>
              <w:pStyle w:val="Tablehead"/>
              <w:rPr>
                <w:lang w:eastAsia="zh-CN"/>
              </w:rPr>
            </w:pPr>
          </w:p>
        </w:tc>
        <w:tc>
          <w:tcPr>
            <w:tcW w:w="751" w:type="pct"/>
            <w:vMerge/>
            <w:tcBorders>
              <w:left w:val="single" w:sz="4" w:space="0" w:color="auto"/>
              <w:bottom w:val="single" w:sz="4" w:space="0" w:color="auto"/>
              <w:right w:val="single" w:sz="4" w:space="0" w:color="auto"/>
            </w:tcBorders>
            <w:shd w:val="clear" w:color="auto" w:fill="auto"/>
            <w:noWrap/>
            <w:vAlign w:val="bottom"/>
            <w:hideMark/>
          </w:tcPr>
          <w:p w14:paraId="3922C2FA" w14:textId="77777777" w:rsidR="001259BF" w:rsidRPr="00B366AE" w:rsidRDefault="001259BF" w:rsidP="00D7785F">
            <w:pPr>
              <w:pStyle w:val="Tablehead"/>
              <w:rPr>
                <w:lang w:eastAsia="zh-CN"/>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ED0E2" w14:textId="77777777" w:rsidR="001259BF" w:rsidRPr="00B366AE" w:rsidRDefault="001259BF" w:rsidP="00D7785F">
            <w:pPr>
              <w:pStyle w:val="Tablehead"/>
              <w:rPr>
                <w:lang w:eastAsia="zh-CN"/>
              </w:rPr>
            </w:pPr>
            <w:r w:rsidRPr="00B366AE">
              <w:rPr>
                <w:lang w:eastAsia="zh-CN"/>
              </w:rPr>
              <w:t>Minimum</w:t>
            </w:r>
            <w:r>
              <w:rPr>
                <w:lang w:eastAsia="zh-CN"/>
              </w:rPr>
              <w:t xml:space="preserve"> </w:t>
            </w:r>
            <w:r w:rsidRPr="00B366AE">
              <w:rPr>
                <w:lang w:eastAsia="zh-CN"/>
              </w:rPr>
              <w:t xml:space="preserve">EPM </w:t>
            </w:r>
            <w:r>
              <w:rPr>
                <w:lang w:eastAsia="zh-CN"/>
              </w:rPr>
              <w:br/>
            </w:r>
            <w:r w:rsidRPr="00B366AE">
              <w:rPr>
                <w:lang w:eastAsia="zh-CN"/>
              </w:rPr>
              <w:t>(dB)</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1C55" w14:textId="77777777" w:rsidR="001259BF" w:rsidRPr="00B366AE" w:rsidRDefault="001259BF" w:rsidP="00D7785F">
            <w:pPr>
              <w:pStyle w:val="Tablehead"/>
              <w:rPr>
                <w:lang w:eastAsia="zh-CN"/>
              </w:rPr>
            </w:pPr>
            <w:r w:rsidRPr="00B366AE">
              <w:rPr>
                <w:lang w:eastAsia="zh-CN"/>
              </w:rPr>
              <w:t>Maximum</w:t>
            </w:r>
            <w:r>
              <w:rPr>
                <w:lang w:eastAsia="zh-CN"/>
              </w:rPr>
              <w:t xml:space="preserve"> </w:t>
            </w:r>
            <w:r w:rsidRPr="00B366AE">
              <w:rPr>
                <w:lang w:eastAsia="zh-CN"/>
              </w:rPr>
              <w:t>EPM</w:t>
            </w:r>
            <w:r>
              <w:rPr>
                <w:lang w:eastAsia="zh-CN"/>
              </w:rPr>
              <w:t xml:space="preserve"> </w:t>
            </w:r>
            <w:r>
              <w:rPr>
                <w:lang w:eastAsia="zh-CN"/>
              </w:rPr>
              <w:br/>
            </w:r>
            <w:r w:rsidRPr="00B366AE">
              <w:rPr>
                <w:lang w:eastAsia="zh-CN"/>
              </w:rPr>
              <w:t>(dB)</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BC57E" w14:textId="77777777" w:rsidR="001259BF" w:rsidRPr="00B366AE" w:rsidRDefault="001259BF" w:rsidP="00D7785F">
            <w:pPr>
              <w:pStyle w:val="Tablehead"/>
              <w:rPr>
                <w:lang w:eastAsia="zh-CN"/>
              </w:rPr>
            </w:pPr>
            <w:r w:rsidRPr="00B366AE">
              <w:rPr>
                <w:lang w:eastAsia="zh-CN"/>
              </w:rPr>
              <w:t>Minimum</w:t>
            </w:r>
            <w:r>
              <w:rPr>
                <w:lang w:eastAsia="zh-CN"/>
              </w:rPr>
              <w:t xml:space="preserve"> </w:t>
            </w:r>
            <w:r w:rsidRPr="00B366AE">
              <w:rPr>
                <w:lang w:eastAsia="zh-CN"/>
              </w:rPr>
              <w:t xml:space="preserve">EPM </w:t>
            </w:r>
            <w:r>
              <w:rPr>
                <w:lang w:eastAsia="zh-CN"/>
              </w:rPr>
              <w:br/>
            </w:r>
            <w:r w:rsidRPr="00B366AE">
              <w:rPr>
                <w:lang w:eastAsia="zh-CN"/>
              </w:rPr>
              <w:t>(dB)</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39BC" w14:textId="77777777" w:rsidR="001259BF" w:rsidRPr="00B366AE" w:rsidRDefault="001259BF" w:rsidP="00D7785F">
            <w:pPr>
              <w:pStyle w:val="Tablehead"/>
              <w:rPr>
                <w:lang w:eastAsia="zh-CN"/>
              </w:rPr>
            </w:pPr>
            <w:r w:rsidRPr="00B366AE">
              <w:rPr>
                <w:lang w:eastAsia="zh-CN"/>
              </w:rPr>
              <w:t>Maximum</w:t>
            </w:r>
            <w:r>
              <w:rPr>
                <w:lang w:eastAsia="zh-CN"/>
              </w:rPr>
              <w:t xml:space="preserve"> </w:t>
            </w:r>
            <w:r w:rsidRPr="00B366AE">
              <w:rPr>
                <w:lang w:eastAsia="zh-CN"/>
              </w:rPr>
              <w:t>EPM</w:t>
            </w:r>
            <w:r>
              <w:rPr>
                <w:lang w:eastAsia="zh-CN"/>
              </w:rPr>
              <w:t xml:space="preserve"> </w:t>
            </w:r>
            <w:r>
              <w:rPr>
                <w:lang w:eastAsia="zh-CN"/>
              </w:rPr>
              <w:br/>
            </w:r>
            <w:r w:rsidRPr="00B366AE">
              <w:rPr>
                <w:lang w:eastAsia="zh-CN"/>
              </w:rPr>
              <w:t>(dB)</w:t>
            </w:r>
          </w:p>
        </w:tc>
      </w:tr>
      <w:tr w:rsidR="001259BF" w:rsidRPr="00B366AE" w14:paraId="0726361D" w14:textId="77777777" w:rsidTr="00D7785F">
        <w:trPr>
          <w:trHeight w:val="300"/>
          <w:jc w:val="center"/>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60B2" w14:textId="77777777" w:rsidR="001259BF" w:rsidRPr="00B366AE" w:rsidRDefault="001259BF" w:rsidP="00D7785F">
            <w:pPr>
              <w:pStyle w:val="Tabletext"/>
              <w:keepNext/>
              <w:keepLines/>
              <w:rPr>
                <w:lang w:eastAsia="zh-CN"/>
              </w:rPr>
            </w:pPr>
            <w:r w:rsidRPr="00B366AE">
              <w:rPr>
                <w:lang w:eastAsia="zh-CN"/>
              </w:rPr>
              <w:t>AFG</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6F92" w14:textId="77777777" w:rsidR="001259BF" w:rsidRPr="00B366AE" w:rsidRDefault="001259BF" w:rsidP="00D7785F">
            <w:pPr>
              <w:pStyle w:val="Tabletext"/>
              <w:keepNext/>
              <w:keepLines/>
              <w:jc w:val="center"/>
              <w:rPr>
                <w:lang w:eastAsia="zh-CN"/>
              </w:rPr>
            </w:pPr>
            <w:r w:rsidRPr="00B366AE">
              <w:rPr>
                <w:lang w:eastAsia="zh-CN"/>
              </w:rPr>
              <w:t>10</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04E4" w14:textId="77777777" w:rsidR="001259BF" w:rsidRPr="00B366AE" w:rsidRDefault="001259BF" w:rsidP="00D7785F">
            <w:pPr>
              <w:pStyle w:val="Tabletext"/>
              <w:keepNext/>
              <w:keepLines/>
              <w:jc w:val="center"/>
              <w:rPr>
                <w:lang w:eastAsia="zh-CN"/>
              </w:rPr>
            </w:pPr>
            <w:r>
              <w:rPr>
                <w:lang w:eastAsia="zh-CN"/>
              </w:rPr>
              <w:t>4.137</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51EE" w14:textId="77777777" w:rsidR="001259BF" w:rsidRPr="00B366AE" w:rsidRDefault="001259BF" w:rsidP="00D7785F">
            <w:pPr>
              <w:pStyle w:val="Tabletext"/>
              <w:keepNext/>
              <w:keepLines/>
              <w:jc w:val="center"/>
              <w:rPr>
                <w:lang w:eastAsia="zh-CN"/>
              </w:rPr>
            </w:pPr>
            <w:r>
              <w:rPr>
                <w:lang w:eastAsia="zh-CN"/>
              </w:rPr>
              <w:t>7.477</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ECA8" w14:textId="77777777" w:rsidR="001259BF" w:rsidRPr="00B366AE" w:rsidRDefault="001259BF" w:rsidP="00D7785F">
            <w:pPr>
              <w:pStyle w:val="Tabletext"/>
              <w:keepNext/>
              <w:keepLines/>
              <w:jc w:val="center"/>
              <w:rPr>
                <w:lang w:eastAsia="zh-CN"/>
              </w:rPr>
            </w:pPr>
            <w:r w:rsidRPr="00B366AE">
              <w:rPr>
                <w:lang w:eastAsia="zh-CN"/>
              </w:rPr>
              <w:t>0.09</w:t>
            </w:r>
            <w:r>
              <w:rPr>
                <w:lang w:eastAsia="zh-CN"/>
              </w:rPr>
              <w:t>5</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B0AA" w14:textId="77777777" w:rsidR="001259BF" w:rsidRPr="00B366AE" w:rsidRDefault="001259BF" w:rsidP="00D7785F">
            <w:pPr>
              <w:pStyle w:val="Tabletext"/>
              <w:keepNext/>
              <w:keepLines/>
              <w:jc w:val="center"/>
              <w:rPr>
                <w:lang w:eastAsia="zh-CN"/>
              </w:rPr>
            </w:pPr>
            <w:r w:rsidRPr="00B366AE">
              <w:rPr>
                <w:lang w:eastAsia="zh-CN"/>
              </w:rPr>
              <w:t>5.01</w:t>
            </w:r>
            <w:r>
              <w:rPr>
                <w:lang w:eastAsia="zh-CN"/>
              </w:rPr>
              <w:t>3</w:t>
            </w:r>
          </w:p>
        </w:tc>
      </w:tr>
      <w:tr w:rsidR="001259BF" w:rsidRPr="00B366AE" w14:paraId="33B0C3D7" w14:textId="77777777" w:rsidTr="00D7785F">
        <w:trPr>
          <w:trHeight w:val="300"/>
          <w:jc w:val="center"/>
        </w:trPr>
        <w:tc>
          <w:tcPr>
            <w:tcW w:w="1110"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6AD88" w14:textId="77777777" w:rsidR="001259BF" w:rsidRPr="00B366AE" w:rsidRDefault="001259BF" w:rsidP="00D7785F">
            <w:pPr>
              <w:pStyle w:val="Tabletext"/>
              <w:rPr>
                <w:lang w:eastAsia="zh-CN"/>
              </w:rPr>
            </w:pPr>
            <w:r w:rsidRPr="00B366AE">
              <w:rPr>
                <w:lang w:eastAsia="zh-CN"/>
              </w:rPr>
              <w:t>GNE</w:t>
            </w:r>
          </w:p>
        </w:tc>
        <w:tc>
          <w:tcPr>
            <w:tcW w:w="751"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6C20B0" w14:textId="77777777" w:rsidR="001259BF" w:rsidRPr="00B366AE" w:rsidRDefault="001259BF" w:rsidP="00D7785F">
            <w:pPr>
              <w:pStyle w:val="Tabletext"/>
              <w:jc w:val="center"/>
              <w:rPr>
                <w:lang w:eastAsia="zh-CN"/>
              </w:rPr>
            </w:pPr>
            <w:r>
              <w:rPr>
                <w:lang w:eastAsia="zh-CN"/>
              </w:rPr>
              <w:t>−</w:t>
            </w:r>
            <w:r w:rsidRPr="00B366AE">
              <w:rPr>
                <w:lang w:eastAsia="zh-CN"/>
              </w:rPr>
              <w:t>42</w:t>
            </w:r>
          </w:p>
        </w:tc>
        <w:tc>
          <w:tcPr>
            <w:tcW w:w="772"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EB116" w14:textId="77777777" w:rsidR="001259BF" w:rsidRPr="00B366AE" w:rsidRDefault="001259BF" w:rsidP="00D7785F">
            <w:pPr>
              <w:pStyle w:val="Tabletext"/>
              <w:jc w:val="center"/>
              <w:rPr>
                <w:lang w:eastAsia="zh-CN"/>
              </w:rPr>
            </w:pPr>
            <w:r w:rsidRPr="00B366AE">
              <w:rPr>
                <w:lang w:eastAsia="zh-CN"/>
              </w:rPr>
              <w:t>1.188</w:t>
            </w:r>
          </w:p>
        </w:tc>
        <w:tc>
          <w:tcPr>
            <w:tcW w:w="7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4C9F30" w14:textId="77777777" w:rsidR="001259BF" w:rsidRPr="00B366AE" w:rsidRDefault="001259BF" w:rsidP="00D7785F">
            <w:pPr>
              <w:pStyle w:val="Tabletext"/>
              <w:jc w:val="center"/>
              <w:rPr>
                <w:lang w:eastAsia="zh-CN"/>
              </w:rPr>
            </w:pPr>
            <w:r w:rsidRPr="00B366AE">
              <w:rPr>
                <w:lang w:eastAsia="zh-CN"/>
              </w:rPr>
              <w:t>6.783</w:t>
            </w:r>
          </w:p>
        </w:tc>
        <w:tc>
          <w:tcPr>
            <w:tcW w:w="772"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83DA90" w14:textId="77777777" w:rsidR="001259BF" w:rsidRPr="00B366AE" w:rsidRDefault="001259BF" w:rsidP="00D7785F">
            <w:pPr>
              <w:pStyle w:val="Tabletext"/>
              <w:jc w:val="center"/>
              <w:rPr>
                <w:lang w:eastAsia="zh-CN"/>
              </w:rPr>
            </w:pPr>
            <w:r w:rsidRPr="00B366AE">
              <w:rPr>
                <w:lang w:eastAsia="zh-CN"/>
              </w:rPr>
              <w:t>13.794</w:t>
            </w:r>
          </w:p>
        </w:tc>
        <w:tc>
          <w:tcPr>
            <w:tcW w:w="7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64B641" w14:textId="77777777" w:rsidR="001259BF" w:rsidRPr="00B366AE" w:rsidRDefault="001259BF" w:rsidP="00D7785F">
            <w:pPr>
              <w:pStyle w:val="Tabletext"/>
              <w:jc w:val="center"/>
              <w:rPr>
                <w:lang w:eastAsia="zh-CN"/>
              </w:rPr>
            </w:pPr>
            <w:r w:rsidRPr="00B366AE">
              <w:rPr>
                <w:lang w:eastAsia="zh-CN"/>
              </w:rPr>
              <w:t>18.476</w:t>
            </w:r>
          </w:p>
        </w:tc>
      </w:tr>
      <w:tr w:rsidR="001259BF" w:rsidRPr="00B366AE" w14:paraId="34444D50" w14:textId="77777777" w:rsidTr="00D7785F">
        <w:trPr>
          <w:trHeight w:val="300"/>
          <w:jc w:val="center"/>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DC0F" w14:textId="77777777" w:rsidR="001259BF" w:rsidRPr="00B366AE" w:rsidRDefault="001259BF" w:rsidP="00D7785F">
            <w:pPr>
              <w:pStyle w:val="Tabletext"/>
              <w:rPr>
                <w:lang w:eastAsia="zh-CN"/>
              </w:rPr>
            </w:pPr>
            <w:r w:rsidRPr="00B366AE">
              <w:rPr>
                <w:lang w:eastAsia="zh-CN"/>
              </w:rPr>
              <w:t>MLT</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F3D5" w14:textId="77777777" w:rsidR="001259BF" w:rsidRPr="00B366AE" w:rsidRDefault="001259BF" w:rsidP="00D7785F">
            <w:pPr>
              <w:pStyle w:val="Tabletext"/>
              <w:jc w:val="center"/>
              <w:rPr>
                <w:lang w:eastAsia="zh-CN"/>
              </w:rPr>
            </w:pPr>
            <w:r>
              <w:rPr>
                <w:lang w:eastAsia="zh-CN"/>
              </w:rPr>
              <w:t>−</w:t>
            </w:r>
            <w:r w:rsidRPr="00B366AE">
              <w:rPr>
                <w:lang w:eastAsia="zh-CN"/>
              </w:rPr>
              <w:t>37.5</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F7B0" w14:textId="77777777" w:rsidR="001259BF" w:rsidRPr="00B366AE" w:rsidRDefault="001259BF" w:rsidP="00D7785F">
            <w:pPr>
              <w:pStyle w:val="Tabletext"/>
              <w:jc w:val="center"/>
              <w:rPr>
                <w:lang w:eastAsia="zh-CN"/>
              </w:rPr>
            </w:pPr>
            <w:r w:rsidRPr="00B366AE">
              <w:rPr>
                <w:lang w:eastAsia="zh-CN"/>
              </w:rPr>
              <w:t>2.798</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F574" w14:textId="77777777" w:rsidR="001259BF" w:rsidRPr="00B366AE" w:rsidRDefault="001259BF" w:rsidP="00D7785F">
            <w:pPr>
              <w:pStyle w:val="Tabletext"/>
              <w:jc w:val="center"/>
              <w:rPr>
                <w:lang w:eastAsia="zh-CN"/>
              </w:rPr>
            </w:pPr>
            <w:r w:rsidRPr="00B366AE">
              <w:rPr>
                <w:lang w:eastAsia="zh-CN"/>
              </w:rPr>
              <w:t>4.39</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26CE" w14:textId="77777777" w:rsidR="001259BF" w:rsidRPr="00B366AE" w:rsidRDefault="001259BF" w:rsidP="00D7785F">
            <w:pPr>
              <w:pStyle w:val="Tabletext"/>
              <w:jc w:val="center"/>
              <w:rPr>
                <w:lang w:eastAsia="zh-CN"/>
              </w:rPr>
            </w:pPr>
            <w:r w:rsidRPr="00B366AE">
              <w:rPr>
                <w:lang w:eastAsia="zh-CN"/>
              </w:rPr>
              <w:t>5.221</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6123" w14:textId="77777777" w:rsidR="001259BF" w:rsidRPr="00B366AE" w:rsidRDefault="001259BF" w:rsidP="00D7785F">
            <w:pPr>
              <w:pStyle w:val="Tabletext"/>
              <w:jc w:val="center"/>
              <w:rPr>
                <w:lang w:eastAsia="zh-CN"/>
              </w:rPr>
            </w:pPr>
            <w:r w:rsidRPr="00B366AE">
              <w:rPr>
                <w:lang w:eastAsia="zh-CN"/>
              </w:rPr>
              <w:t>5.583</w:t>
            </w:r>
          </w:p>
        </w:tc>
      </w:tr>
      <w:tr w:rsidR="001259BF" w:rsidRPr="00B366AE" w14:paraId="6C7C2067" w14:textId="77777777" w:rsidTr="00D7785F">
        <w:trPr>
          <w:trHeight w:val="300"/>
          <w:jc w:val="center"/>
        </w:trPr>
        <w:tc>
          <w:tcPr>
            <w:tcW w:w="1110"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56C87C" w14:textId="77777777" w:rsidR="001259BF" w:rsidRPr="00B366AE" w:rsidRDefault="001259BF" w:rsidP="00D7785F">
            <w:pPr>
              <w:pStyle w:val="Tabletext"/>
              <w:rPr>
                <w:lang w:eastAsia="zh-CN"/>
              </w:rPr>
            </w:pPr>
            <w:r w:rsidRPr="00B366AE">
              <w:rPr>
                <w:lang w:eastAsia="zh-CN"/>
              </w:rPr>
              <w:t>SEY</w:t>
            </w:r>
          </w:p>
        </w:tc>
        <w:tc>
          <w:tcPr>
            <w:tcW w:w="751"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560F66" w14:textId="77777777" w:rsidR="001259BF" w:rsidRPr="00B366AE" w:rsidRDefault="001259BF" w:rsidP="00D7785F">
            <w:pPr>
              <w:pStyle w:val="Tabletext"/>
              <w:jc w:val="center"/>
              <w:rPr>
                <w:lang w:eastAsia="zh-CN"/>
              </w:rPr>
            </w:pPr>
            <w:r w:rsidRPr="00B366AE">
              <w:rPr>
                <w:lang w:eastAsia="zh-CN"/>
              </w:rPr>
              <w:t>45.2</w:t>
            </w:r>
          </w:p>
        </w:tc>
        <w:tc>
          <w:tcPr>
            <w:tcW w:w="772"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996111" w14:textId="77777777" w:rsidR="001259BF" w:rsidRPr="00B366AE" w:rsidRDefault="001259BF" w:rsidP="00D7785F">
            <w:pPr>
              <w:pStyle w:val="Tabletext"/>
              <w:jc w:val="center"/>
              <w:rPr>
                <w:lang w:eastAsia="zh-CN"/>
              </w:rPr>
            </w:pPr>
            <w:r>
              <w:rPr>
                <w:lang w:eastAsia="zh-CN"/>
              </w:rPr>
              <w:t>−</w:t>
            </w:r>
            <w:r w:rsidRPr="00B366AE">
              <w:rPr>
                <w:lang w:eastAsia="zh-CN"/>
              </w:rPr>
              <w:t>6.05</w:t>
            </w:r>
            <w:r>
              <w:rPr>
                <w:lang w:eastAsia="zh-CN"/>
              </w:rPr>
              <w:t>4</w:t>
            </w:r>
          </w:p>
        </w:tc>
        <w:tc>
          <w:tcPr>
            <w:tcW w:w="7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2DBF0A" w14:textId="77777777" w:rsidR="001259BF" w:rsidRPr="00B366AE" w:rsidRDefault="001259BF" w:rsidP="00D7785F">
            <w:pPr>
              <w:pStyle w:val="Tabletext"/>
              <w:jc w:val="center"/>
              <w:rPr>
                <w:lang w:eastAsia="zh-CN"/>
              </w:rPr>
            </w:pPr>
            <w:r>
              <w:rPr>
                <w:lang w:eastAsia="zh-CN"/>
              </w:rPr>
              <w:t>1.325</w:t>
            </w:r>
          </w:p>
        </w:tc>
        <w:tc>
          <w:tcPr>
            <w:tcW w:w="772"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06B1D6" w14:textId="77777777" w:rsidR="001259BF" w:rsidRPr="00B366AE" w:rsidRDefault="001259BF" w:rsidP="00D7785F">
            <w:pPr>
              <w:pStyle w:val="Tabletext"/>
              <w:jc w:val="center"/>
              <w:rPr>
                <w:lang w:eastAsia="zh-CN"/>
              </w:rPr>
            </w:pPr>
            <w:r w:rsidRPr="00B366AE">
              <w:rPr>
                <w:lang w:eastAsia="zh-CN"/>
              </w:rPr>
              <w:t>20.71</w:t>
            </w:r>
            <w:r>
              <w:rPr>
                <w:lang w:eastAsia="zh-CN"/>
              </w:rPr>
              <w:t>9</w:t>
            </w:r>
          </w:p>
        </w:tc>
        <w:tc>
          <w:tcPr>
            <w:tcW w:w="798"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E111FF" w14:textId="77777777" w:rsidR="001259BF" w:rsidRPr="00B366AE" w:rsidRDefault="001259BF" w:rsidP="00D7785F">
            <w:pPr>
              <w:pStyle w:val="Tabletext"/>
              <w:jc w:val="center"/>
              <w:rPr>
                <w:lang w:eastAsia="zh-CN"/>
              </w:rPr>
            </w:pPr>
            <w:r w:rsidRPr="00B366AE">
              <w:rPr>
                <w:lang w:eastAsia="zh-CN"/>
              </w:rPr>
              <w:t>22.5</w:t>
            </w:r>
            <w:r>
              <w:rPr>
                <w:lang w:eastAsia="zh-CN"/>
              </w:rPr>
              <w:t>25</w:t>
            </w:r>
          </w:p>
        </w:tc>
      </w:tr>
    </w:tbl>
    <w:p w14:paraId="70F3F52B" w14:textId="77777777" w:rsidR="001259BF" w:rsidRPr="00B366AE" w:rsidRDefault="001259BF" w:rsidP="001259BF">
      <w:pPr>
        <w:pStyle w:val="Tablefin"/>
      </w:pPr>
    </w:p>
    <w:p w14:paraId="5A11663C" w14:textId="77777777" w:rsidR="001259BF" w:rsidRPr="00B366AE" w:rsidRDefault="001259BF" w:rsidP="001259BF">
      <w:pPr>
        <w:pStyle w:val="Heading2"/>
      </w:pPr>
      <w:r w:rsidRPr="00B366AE">
        <w:t>1.4</w:t>
      </w:r>
      <w:r w:rsidRPr="00B366AE">
        <w:tab/>
        <w:t xml:space="preserve">Summary of the situation in </w:t>
      </w:r>
      <w:proofErr w:type="gramStart"/>
      <w:r w:rsidRPr="00B366AE">
        <w:t>Regions</w:t>
      </w:r>
      <w:proofErr w:type="gramEnd"/>
      <w:r w:rsidRPr="00B366AE">
        <w:t xml:space="preserve"> 1 and 3 Lists of additional uses </w:t>
      </w:r>
    </w:p>
    <w:p w14:paraId="688BF020" w14:textId="77777777" w:rsidR="001259BF" w:rsidRPr="00B366AE" w:rsidRDefault="001259BF" w:rsidP="001259BF">
      <w:pPr>
        <w:jc w:val="both"/>
      </w:pPr>
      <w:r w:rsidRPr="00B366AE">
        <w:t xml:space="preserve">Additional uses in </w:t>
      </w:r>
      <w:proofErr w:type="gramStart"/>
      <w:r w:rsidRPr="00B366AE">
        <w:t>Regions</w:t>
      </w:r>
      <w:proofErr w:type="gramEnd"/>
      <w:r w:rsidRPr="00B366AE">
        <w:t xml:space="preserve"> 1 and 3 in Appendices </w:t>
      </w:r>
      <w:r w:rsidRPr="00B366AE">
        <w:rPr>
          <w:b/>
          <w:bCs/>
        </w:rPr>
        <w:t>30</w:t>
      </w:r>
      <w:r w:rsidRPr="00B366AE">
        <w:t xml:space="preserve"> and </w:t>
      </w:r>
      <w:r w:rsidRPr="00B366AE">
        <w:rPr>
          <w:b/>
          <w:bCs/>
        </w:rPr>
        <w:t>30A</w:t>
      </w:r>
      <w:r w:rsidRPr="00B366AE">
        <w:t xml:space="preserve"> are:</w:t>
      </w:r>
    </w:p>
    <w:p w14:paraId="5B87DDC8" w14:textId="77777777" w:rsidR="001259BF" w:rsidRPr="00B032AC" w:rsidRDefault="001259BF" w:rsidP="001259BF">
      <w:pPr>
        <w:pStyle w:val="enumlev1"/>
      </w:pPr>
      <w:r>
        <w:t>–</w:t>
      </w:r>
      <w:r>
        <w:tab/>
      </w:r>
      <w:r w:rsidRPr="00B032AC">
        <w:t xml:space="preserve">use of assignments with characteristics different from those appearing in the Plans and which </w:t>
      </w:r>
      <w:proofErr w:type="gramStart"/>
      <w:r w:rsidRPr="00B032AC">
        <w:t>are capable of causing</w:t>
      </w:r>
      <w:proofErr w:type="gramEnd"/>
      <w:r w:rsidRPr="00B032AC">
        <w:t xml:space="preserve"> more interference than the corresponding entries in the </w:t>
      </w:r>
      <w:proofErr w:type="gramStart"/>
      <w:r w:rsidRPr="00B032AC">
        <w:t>Plans;</w:t>
      </w:r>
      <w:proofErr w:type="gramEnd"/>
    </w:p>
    <w:p w14:paraId="0654198D" w14:textId="77777777" w:rsidR="001259BF" w:rsidRPr="00B032AC" w:rsidRDefault="001259BF" w:rsidP="001259BF">
      <w:pPr>
        <w:pStyle w:val="enumlev1"/>
      </w:pPr>
      <w:r>
        <w:t>–</w:t>
      </w:r>
      <w:r>
        <w:tab/>
      </w:r>
      <w:r w:rsidRPr="00B032AC">
        <w:t>use of assignments in addition to those appearing in the Plans.</w:t>
      </w:r>
    </w:p>
    <w:p w14:paraId="6364EC2B" w14:textId="77777777" w:rsidR="001259BF" w:rsidRPr="00B366AE" w:rsidRDefault="001259BF" w:rsidP="001259BF">
      <w:pPr>
        <w:jc w:val="both"/>
      </w:pPr>
      <w:r w:rsidRPr="00B366AE">
        <w:t xml:space="preserve">Various Administrations have applied Article 4 procedures of Appendices </w:t>
      </w:r>
      <w:r w:rsidRPr="00B366AE">
        <w:rPr>
          <w:b/>
          <w:bCs/>
        </w:rPr>
        <w:t>30</w:t>
      </w:r>
      <w:r w:rsidRPr="00B366AE">
        <w:t xml:space="preserve"> and </w:t>
      </w:r>
      <w:r w:rsidRPr="00B366AE">
        <w:rPr>
          <w:b/>
          <w:bCs/>
        </w:rPr>
        <w:t>30A</w:t>
      </w:r>
      <w:r w:rsidRPr="00B366AE">
        <w:t xml:space="preserve"> for</w:t>
      </w:r>
      <w:r>
        <w:t> </w:t>
      </w:r>
      <w:r w:rsidRPr="00B366AE">
        <w:t xml:space="preserve">additional uses in Regions 1 and 3. Tables 4 and 5 below summarize the number of networks for additional uses that have been included in the Lists of Appendices </w:t>
      </w:r>
      <w:r w:rsidRPr="00B366AE">
        <w:rPr>
          <w:b/>
          <w:bCs/>
        </w:rPr>
        <w:t>30</w:t>
      </w:r>
      <w:r w:rsidRPr="00B366AE">
        <w:t xml:space="preserve"> and </w:t>
      </w:r>
      <w:r w:rsidRPr="00B366AE">
        <w:rPr>
          <w:b/>
          <w:bCs/>
        </w:rPr>
        <w:t>30A</w:t>
      </w:r>
      <w:r w:rsidRPr="00B366AE">
        <w:t xml:space="preserve"> as of </w:t>
      </w:r>
      <w:r>
        <w:t xml:space="preserve">4 March 2025 </w:t>
      </w:r>
      <w:r w:rsidRPr="00B366AE">
        <w:t>(BR IFIC 30</w:t>
      </w:r>
      <w:r>
        <w:t>41</w:t>
      </w:r>
      <w:r w:rsidRPr="00B366AE">
        <w:t>).</w:t>
      </w:r>
    </w:p>
    <w:p w14:paraId="31C5256F" w14:textId="77777777" w:rsidR="001259BF" w:rsidRPr="00B366AE" w:rsidRDefault="001259BF" w:rsidP="001259BF">
      <w:pPr>
        <w:pStyle w:val="TableNo"/>
      </w:pPr>
      <w:r w:rsidRPr="00B366AE">
        <w:t>Table 4</w:t>
      </w:r>
    </w:p>
    <w:p w14:paraId="7339D7CE" w14:textId="77777777" w:rsidR="001259BF" w:rsidRPr="00B366AE" w:rsidRDefault="001259BF" w:rsidP="001259BF">
      <w:pPr>
        <w:pStyle w:val="Tabletitle"/>
      </w:pPr>
      <w:r w:rsidRPr="00B366AE">
        <w:t xml:space="preserve">Number of networks of additional uses included in the List of Appendix </w:t>
      </w:r>
      <w:r w:rsidRPr="00B366AE">
        <w:rPr>
          <w:bCs/>
        </w:rPr>
        <w:t>30</w:t>
      </w:r>
    </w:p>
    <w:tbl>
      <w:tblPr>
        <w:tblW w:w="6995" w:type="dxa"/>
        <w:jc w:val="center"/>
        <w:tblLook w:val="04A0" w:firstRow="1" w:lastRow="0" w:firstColumn="1" w:lastColumn="0" w:noHBand="0" w:noVBand="1"/>
      </w:tblPr>
      <w:tblGrid>
        <w:gridCol w:w="1715"/>
        <w:gridCol w:w="1735"/>
        <w:gridCol w:w="1715"/>
        <w:gridCol w:w="1830"/>
      </w:tblGrid>
      <w:tr w:rsidR="001259BF" w:rsidRPr="00B366AE" w14:paraId="5A2730C1" w14:textId="77777777" w:rsidTr="00D7785F">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FACA" w14:textId="77777777" w:rsidR="001259BF" w:rsidRPr="00B366AE" w:rsidRDefault="001259BF" w:rsidP="00D7785F">
            <w:pPr>
              <w:pStyle w:val="Tablehead"/>
              <w:rPr>
                <w:lang w:eastAsia="zh-CN"/>
              </w:rPr>
            </w:pPr>
            <w:r w:rsidRPr="00B366AE">
              <w:rPr>
                <w:lang w:eastAsia="zh-CN"/>
              </w:rPr>
              <w:t>Administration</w:t>
            </w:r>
            <w:r>
              <w:rPr>
                <w:lang w:eastAsia="zh-CN"/>
              </w:rPr>
              <w:br/>
            </w:r>
            <w:r w:rsidRPr="00B366AE">
              <w:rPr>
                <w:lang w:eastAsia="zh-CN"/>
              </w:rPr>
              <w:t>(Organization)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259E217" w14:textId="77777777" w:rsidR="001259BF" w:rsidRPr="00B366AE" w:rsidRDefault="001259BF" w:rsidP="00D7785F">
            <w:pPr>
              <w:pStyle w:val="Tablehead"/>
              <w:rPr>
                <w:lang w:eastAsia="zh-CN"/>
              </w:rPr>
            </w:pPr>
            <w:r w:rsidRPr="00B366AE">
              <w:rPr>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D434381" w14:textId="77777777" w:rsidR="001259BF" w:rsidRPr="00B366AE" w:rsidRDefault="001259BF" w:rsidP="00D7785F">
            <w:pPr>
              <w:pStyle w:val="Tablehead"/>
              <w:rPr>
                <w:lang w:eastAsia="zh-CN"/>
              </w:rPr>
            </w:pPr>
            <w:r w:rsidRPr="00B366AE">
              <w:rPr>
                <w:lang w:eastAsia="zh-CN"/>
              </w:rPr>
              <w:t>Administration</w:t>
            </w:r>
            <w:r>
              <w:rPr>
                <w:lang w:eastAsia="zh-CN"/>
              </w:rPr>
              <w:br/>
            </w:r>
            <w:r w:rsidRPr="00B366AE">
              <w:rPr>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388179B7" w14:textId="77777777" w:rsidR="001259BF" w:rsidRPr="00B366AE" w:rsidRDefault="001259BF" w:rsidP="00D7785F">
            <w:pPr>
              <w:pStyle w:val="Tablehead"/>
              <w:rPr>
                <w:lang w:eastAsia="zh-CN"/>
              </w:rPr>
            </w:pPr>
            <w:r w:rsidRPr="00B366AE">
              <w:rPr>
                <w:lang w:eastAsia="zh-CN"/>
              </w:rPr>
              <w:t>Number of networks</w:t>
            </w:r>
          </w:p>
        </w:tc>
      </w:tr>
      <w:tr w:rsidR="001259BF" w:rsidRPr="00B366AE" w14:paraId="66A73E1C"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C863CB3" w14:textId="77777777" w:rsidR="001259BF" w:rsidRPr="00B366AE" w:rsidRDefault="001259BF" w:rsidP="00D7785F">
            <w:pPr>
              <w:pStyle w:val="Tabletext"/>
              <w:rPr>
                <w:lang w:eastAsia="zh-CN"/>
              </w:rPr>
            </w:pPr>
            <w:r w:rsidRPr="00B366AE">
              <w:rPr>
                <w:lang w:eastAsia="zh-CN"/>
              </w:rPr>
              <w:t>ALG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4D357AD"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AD7479D" w14:textId="77777777" w:rsidR="001259BF" w:rsidRPr="00B366AE" w:rsidRDefault="001259BF" w:rsidP="00D7785F">
            <w:pPr>
              <w:pStyle w:val="Tabletext"/>
              <w:rPr>
                <w:lang w:eastAsia="zh-CN"/>
              </w:rPr>
            </w:pPr>
            <w:r w:rsidRPr="00B366AE">
              <w:rPr>
                <w:lang w:eastAsia="zh-CN"/>
              </w:rPr>
              <w:t>IRN</w:t>
            </w:r>
          </w:p>
        </w:tc>
        <w:tc>
          <w:tcPr>
            <w:tcW w:w="1830" w:type="dxa"/>
            <w:tcBorders>
              <w:top w:val="nil"/>
              <w:left w:val="nil"/>
              <w:bottom w:val="single" w:sz="4" w:space="0" w:color="auto"/>
              <w:right w:val="single" w:sz="4" w:space="0" w:color="auto"/>
            </w:tcBorders>
            <w:shd w:val="clear" w:color="auto" w:fill="auto"/>
            <w:noWrap/>
            <w:vAlign w:val="bottom"/>
          </w:tcPr>
          <w:p w14:paraId="1FE31B9E" w14:textId="77777777" w:rsidR="001259BF" w:rsidRPr="00B366AE" w:rsidRDefault="001259BF" w:rsidP="00D7785F">
            <w:pPr>
              <w:pStyle w:val="Tabletext"/>
              <w:jc w:val="center"/>
              <w:rPr>
                <w:lang w:eastAsia="zh-CN"/>
              </w:rPr>
            </w:pPr>
            <w:r w:rsidRPr="00B366AE">
              <w:rPr>
                <w:lang w:eastAsia="zh-CN"/>
              </w:rPr>
              <w:t>1</w:t>
            </w:r>
          </w:p>
        </w:tc>
      </w:tr>
      <w:tr w:rsidR="001259BF" w:rsidRPr="00B366AE" w14:paraId="53716F9A"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9069D7A" w14:textId="77777777" w:rsidR="001259BF" w:rsidRPr="00B366AE" w:rsidRDefault="001259BF" w:rsidP="00D7785F">
            <w:pPr>
              <w:pStyle w:val="Tabletext"/>
              <w:rPr>
                <w:lang w:eastAsia="zh-CN"/>
              </w:rPr>
            </w:pPr>
            <w:r w:rsidRPr="00B366AE">
              <w:rPr>
                <w:lang w:eastAsia="zh-CN"/>
              </w:rPr>
              <w:t>ARS/ARB</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4DD41AF9" w14:textId="77777777" w:rsidR="001259BF" w:rsidRPr="00B366AE" w:rsidRDefault="001259BF" w:rsidP="00D7785F">
            <w:pPr>
              <w:pStyle w:val="Tabletext"/>
              <w:jc w:val="center"/>
              <w:rPr>
                <w:lang w:eastAsia="zh-CN"/>
              </w:rPr>
            </w:pPr>
            <w:r w:rsidRPr="00B366AE">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D1BB180" w14:textId="77777777" w:rsidR="001259BF" w:rsidRPr="00B366AE" w:rsidRDefault="001259BF" w:rsidP="00D7785F">
            <w:pPr>
              <w:pStyle w:val="Tabletext"/>
              <w:rPr>
                <w:lang w:eastAsia="zh-CN"/>
              </w:rPr>
            </w:pPr>
            <w:r w:rsidRPr="00B366AE">
              <w:rPr>
                <w:lang w:eastAsia="zh-CN"/>
              </w:rPr>
              <w:t>ISR</w:t>
            </w:r>
          </w:p>
        </w:tc>
        <w:tc>
          <w:tcPr>
            <w:tcW w:w="1830" w:type="dxa"/>
            <w:tcBorders>
              <w:top w:val="nil"/>
              <w:left w:val="nil"/>
              <w:bottom w:val="single" w:sz="4" w:space="0" w:color="auto"/>
              <w:right w:val="single" w:sz="4" w:space="0" w:color="auto"/>
            </w:tcBorders>
            <w:shd w:val="clear" w:color="auto" w:fill="auto"/>
            <w:noWrap/>
            <w:vAlign w:val="bottom"/>
          </w:tcPr>
          <w:p w14:paraId="0A755CB0" w14:textId="77777777" w:rsidR="001259BF" w:rsidRPr="00B366AE" w:rsidRDefault="001259BF" w:rsidP="00D7785F">
            <w:pPr>
              <w:pStyle w:val="Tabletext"/>
              <w:jc w:val="center"/>
              <w:rPr>
                <w:lang w:eastAsia="zh-CN"/>
              </w:rPr>
            </w:pPr>
            <w:r w:rsidRPr="00B366AE">
              <w:rPr>
                <w:lang w:eastAsia="zh-CN"/>
              </w:rPr>
              <w:t>1</w:t>
            </w:r>
          </w:p>
        </w:tc>
      </w:tr>
      <w:tr w:rsidR="001259BF" w:rsidRPr="00B366AE" w14:paraId="4EC39CE1"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1D35278" w14:textId="77777777" w:rsidR="001259BF" w:rsidRPr="00B366AE" w:rsidRDefault="001259BF" w:rsidP="00D7785F">
            <w:pPr>
              <w:pStyle w:val="Tabletext"/>
              <w:rPr>
                <w:lang w:eastAsia="zh-CN"/>
              </w:rPr>
            </w:pPr>
            <w:r w:rsidRPr="00B366AE">
              <w:rPr>
                <w:lang w:eastAsia="zh-CN"/>
              </w:rPr>
              <w:t>AUS</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30F922B"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7676DE2" w14:textId="77777777" w:rsidR="001259BF" w:rsidRPr="00B366AE" w:rsidRDefault="001259BF" w:rsidP="00D7785F">
            <w:pPr>
              <w:pStyle w:val="Tabletext"/>
              <w:rPr>
                <w:lang w:eastAsia="zh-CN"/>
              </w:rPr>
            </w:pPr>
            <w:r w:rsidRPr="00B366AE">
              <w:rPr>
                <w:lang w:eastAsia="zh-CN"/>
              </w:rPr>
              <w:t>J</w:t>
            </w:r>
          </w:p>
        </w:tc>
        <w:tc>
          <w:tcPr>
            <w:tcW w:w="1830" w:type="dxa"/>
            <w:tcBorders>
              <w:top w:val="nil"/>
              <w:left w:val="nil"/>
              <w:bottom w:val="single" w:sz="4" w:space="0" w:color="auto"/>
              <w:right w:val="single" w:sz="4" w:space="0" w:color="auto"/>
            </w:tcBorders>
            <w:shd w:val="clear" w:color="auto" w:fill="auto"/>
            <w:noWrap/>
            <w:vAlign w:val="bottom"/>
          </w:tcPr>
          <w:p w14:paraId="05EF7762" w14:textId="77777777" w:rsidR="001259BF" w:rsidRPr="00B366AE" w:rsidRDefault="001259BF" w:rsidP="00D7785F">
            <w:pPr>
              <w:pStyle w:val="Tabletext"/>
              <w:jc w:val="center"/>
              <w:rPr>
                <w:lang w:eastAsia="zh-CN"/>
              </w:rPr>
            </w:pPr>
            <w:r w:rsidRPr="00B366AE">
              <w:rPr>
                <w:lang w:eastAsia="zh-CN"/>
              </w:rPr>
              <w:t>9</w:t>
            </w:r>
          </w:p>
        </w:tc>
      </w:tr>
      <w:tr w:rsidR="001259BF" w:rsidRPr="00B366AE" w14:paraId="6FBFCF04"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1663902" w14:textId="77777777" w:rsidR="001259BF" w:rsidRPr="00B366AE" w:rsidRDefault="001259BF" w:rsidP="00D7785F">
            <w:pPr>
              <w:pStyle w:val="Tabletext"/>
              <w:rPr>
                <w:lang w:eastAsia="zh-CN"/>
              </w:rPr>
            </w:pPr>
            <w:r>
              <w:rPr>
                <w:lang w:eastAsia="zh-CN"/>
              </w:rPr>
              <w:t>BDG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9A5D054" w14:textId="77777777" w:rsidR="001259BF" w:rsidRPr="00B366AE" w:rsidRDefault="001259BF" w:rsidP="00D7785F">
            <w:pPr>
              <w:pStyle w:val="Tabletext"/>
              <w:jc w:val="center"/>
              <w:rPr>
                <w:lang w:eastAsia="zh-CN"/>
              </w:rPr>
            </w:pPr>
            <w:r>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935EEBF" w14:textId="77777777" w:rsidR="001259BF" w:rsidRPr="00B366AE" w:rsidRDefault="001259BF" w:rsidP="00D7785F">
            <w:pPr>
              <w:pStyle w:val="Tabletext"/>
              <w:rPr>
                <w:lang w:eastAsia="zh-CN"/>
              </w:rPr>
            </w:pPr>
            <w:r w:rsidRPr="00B366AE">
              <w:rPr>
                <w:lang w:eastAsia="zh-CN"/>
              </w:rPr>
              <w:t>KOR</w:t>
            </w:r>
          </w:p>
        </w:tc>
        <w:tc>
          <w:tcPr>
            <w:tcW w:w="1830" w:type="dxa"/>
            <w:tcBorders>
              <w:top w:val="nil"/>
              <w:left w:val="nil"/>
              <w:bottom w:val="single" w:sz="4" w:space="0" w:color="auto"/>
              <w:right w:val="single" w:sz="4" w:space="0" w:color="auto"/>
            </w:tcBorders>
            <w:shd w:val="clear" w:color="auto" w:fill="auto"/>
            <w:noWrap/>
            <w:vAlign w:val="bottom"/>
          </w:tcPr>
          <w:p w14:paraId="6514F31F" w14:textId="77777777" w:rsidR="001259BF" w:rsidRPr="00B366AE" w:rsidRDefault="001259BF" w:rsidP="00D7785F">
            <w:pPr>
              <w:pStyle w:val="Tabletext"/>
              <w:jc w:val="center"/>
              <w:rPr>
                <w:lang w:eastAsia="zh-CN"/>
              </w:rPr>
            </w:pPr>
            <w:r w:rsidRPr="00B366AE">
              <w:rPr>
                <w:lang w:eastAsia="zh-CN"/>
              </w:rPr>
              <w:t>2</w:t>
            </w:r>
          </w:p>
        </w:tc>
      </w:tr>
      <w:tr w:rsidR="001259BF" w:rsidRPr="00B366AE" w14:paraId="11E2DD26"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2C75B5BB" w14:textId="77777777" w:rsidR="001259BF" w:rsidRPr="00B366AE" w:rsidRDefault="001259BF" w:rsidP="00D7785F">
            <w:pPr>
              <w:pStyle w:val="Tabletext"/>
              <w:rPr>
                <w:lang w:eastAsia="zh-CN"/>
              </w:rPr>
            </w:pPr>
            <w:r w:rsidRPr="00B366AE">
              <w:rPr>
                <w:lang w:eastAsia="zh-CN"/>
              </w:rPr>
              <w:t>BUL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AC9825A" w14:textId="77777777" w:rsidR="001259BF" w:rsidRPr="00B366AE" w:rsidRDefault="001259BF" w:rsidP="00D7785F">
            <w:pPr>
              <w:pStyle w:val="Tabletext"/>
              <w:jc w:val="center"/>
              <w:rPr>
                <w:lang w:eastAsia="zh-CN"/>
              </w:rPr>
            </w:pPr>
            <w:r w:rsidRPr="00B366AE">
              <w:rPr>
                <w:lang w:eastAsia="zh-CN"/>
              </w:rPr>
              <w:t>2</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F9A921B" w14:textId="77777777" w:rsidR="001259BF" w:rsidRPr="00B366AE" w:rsidRDefault="001259BF" w:rsidP="00D7785F">
            <w:pPr>
              <w:pStyle w:val="Tabletext"/>
              <w:rPr>
                <w:lang w:eastAsia="zh-CN"/>
              </w:rPr>
            </w:pPr>
            <w:r w:rsidRPr="00B366AE">
              <w:rPr>
                <w:lang w:eastAsia="zh-CN"/>
              </w:rPr>
              <w:t>LUX</w:t>
            </w:r>
          </w:p>
        </w:tc>
        <w:tc>
          <w:tcPr>
            <w:tcW w:w="1830" w:type="dxa"/>
            <w:tcBorders>
              <w:top w:val="nil"/>
              <w:left w:val="nil"/>
              <w:bottom w:val="single" w:sz="4" w:space="0" w:color="auto"/>
              <w:right w:val="single" w:sz="4" w:space="0" w:color="auto"/>
            </w:tcBorders>
            <w:shd w:val="clear" w:color="auto" w:fill="auto"/>
            <w:noWrap/>
            <w:vAlign w:val="bottom"/>
          </w:tcPr>
          <w:p w14:paraId="47E406BA" w14:textId="77777777" w:rsidR="001259BF" w:rsidRPr="00B366AE" w:rsidRDefault="001259BF" w:rsidP="00D7785F">
            <w:pPr>
              <w:pStyle w:val="Tabletext"/>
              <w:jc w:val="center"/>
              <w:rPr>
                <w:lang w:eastAsia="zh-CN"/>
              </w:rPr>
            </w:pPr>
            <w:r w:rsidRPr="00B366AE">
              <w:rPr>
                <w:lang w:eastAsia="zh-CN"/>
              </w:rPr>
              <w:t>14</w:t>
            </w:r>
          </w:p>
        </w:tc>
      </w:tr>
      <w:tr w:rsidR="001259BF" w:rsidRPr="00B366AE" w14:paraId="42017F08"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74AAA89" w14:textId="77777777" w:rsidR="001259BF" w:rsidRPr="00B366AE" w:rsidRDefault="001259BF" w:rsidP="00D7785F">
            <w:pPr>
              <w:pStyle w:val="Tabletext"/>
              <w:rPr>
                <w:lang w:eastAsia="zh-CN"/>
              </w:rPr>
            </w:pPr>
            <w:r w:rsidRPr="00B366AE">
              <w:rPr>
                <w:lang w:eastAsia="zh-CN"/>
              </w:rPr>
              <w:t>CHN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67D184C" w14:textId="77777777" w:rsidR="001259BF" w:rsidRPr="00B366AE" w:rsidRDefault="001259BF" w:rsidP="00D7785F">
            <w:pPr>
              <w:pStyle w:val="Tabletext"/>
              <w:jc w:val="center"/>
              <w:rPr>
                <w:lang w:eastAsia="zh-CN"/>
              </w:rPr>
            </w:pPr>
            <w:r w:rsidRPr="00B366AE">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819DCDF" w14:textId="77777777" w:rsidR="001259BF" w:rsidRPr="00B366AE" w:rsidRDefault="001259BF" w:rsidP="00D7785F">
            <w:pPr>
              <w:pStyle w:val="Tabletext"/>
              <w:rPr>
                <w:lang w:eastAsia="zh-CN"/>
              </w:rPr>
            </w:pPr>
            <w:r w:rsidRPr="00B366AE">
              <w:rPr>
                <w:lang w:eastAsia="zh-CN"/>
              </w:rPr>
              <w:t>MCO</w:t>
            </w:r>
          </w:p>
        </w:tc>
        <w:tc>
          <w:tcPr>
            <w:tcW w:w="1830" w:type="dxa"/>
            <w:tcBorders>
              <w:top w:val="nil"/>
              <w:left w:val="nil"/>
              <w:bottom w:val="single" w:sz="4" w:space="0" w:color="auto"/>
              <w:right w:val="single" w:sz="4" w:space="0" w:color="auto"/>
            </w:tcBorders>
            <w:shd w:val="clear" w:color="auto" w:fill="auto"/>
            <w:noWrap/>
            <w:vAlign w:val="bottom"/>
          </w:tcPr>
          <w:p w14:paraId="733B38DE" w14:textId="77777777" w:rsidR="001259BF" w:rsidRPr="00B366AE" w:rsidRDefault="001259BF" w:rsidP="00D7785F">
            <w:pPr>
              <w:pStyle w:val="Tabletext"/>
              <w:jc w:val="center"/>
              <w:rPr>
                <w:lang w:eastAsia="zh-CN"/>
              </w:rPr>
            </w:pPr>
            <w:r w:rsidRPr="00B366AE">
              <w:rPr>
                <w:lang w:eastAsia="zh-CN"/>
              </w:rPr>
              <w:t>3</w:t>
            </w:r>
          </w:p>
        </w:tc>
      </w:tr>
      <w:tr w:rsidR="001259BF" w:rsidRPr="00B366AE" w14:paraId="15DB156F"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E731C6A" w14:textId="77777777" w:rsidR="001259BF" w:rsidRPr="00B366AE" w:rsidRDefault="001259BF" w:rsidP="00D7785F">
            <w:pPr>
              <w:pStyle w:val="Tabletext"/>
              <w:rPr>
                <w:lang w:eastAsia="zh-CN"/>
              </w:rPr>
            </w:pPr>
            <w:r w:rsidRPr="00B366AE">
              <w:rPr>
                <w:lang w:eastAsia="zh-CN"/>
              </w:rPr>
              <w:t>CYP</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115E56D"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00F550D" w14:textId="77777777" w:rsidR="001259BF" w:rsidRPr="00B366AE" w:rsidRDefault="001259BF" w:rsidP="00D7785F">
            <w:pPr>
              <w:pStyle w:val="Tabletext"/>
              <w:rPr>
                <w:lang w:eastAsia="zh-CN"/>
              </w:rPr>
            </w:pPr>
            <w:r w:rsidRPr="00B366AE">
              <w:rPr>
                <w:lang w:eastAsia="zh-CN"/>
              </w:rPr>
              <w:t>MLA</w:t>
            </w:r>
          </w:p>
        </w:tc>
        <w:tc>
          <w:tcPr>
            <w:tcW w:w="1830" w:type="dxa"/>
            <w:tcBorders>
              <w:top w:val="nil"/>
              <w:left w:val="nil"/>
              <w:bottom w:val="single" w:sz="4" w:space="0" w:color="auto"/>
              <w:right w:val="single" w:sz="4" w:space="0" w:color="auto"/>
            </w:tcBorders>
            <w:shd w:val="clear" w:color="auto" w:fill="auto"/>
            <w:noWrap/>
            <w:vAlign w:val="bottom"/>
          </w:tcPr>
          <w:p w14:paraId="573E8E04" w14:textId="77777777" w:rsidR="001259BF" w:rsidRPr="00B366AE" w:rsidRDefault="001259BF" w:rsidP="00D7785F">
            <w:pPr>
              <w:pStyle w:val="Tabletext"/>
              <w:jc w:val="center"/>
              <w:rPr>
                <w:lang w:eastAsia="zh-CN"/>
              </w:rPr>
            </w:pPr>
            <w:r w:rsidRPr="00B366AE">
              <w:rPr>
                <w:lang w:eastAsia="zh-CN"/>
              </w:rPr>
              <w:t>1</w:t>
            </w:r>
          </w:p>
        </w:tc>
      </w:tr>
      <w:tr w:rsidR="001259BF" w:rsidRPr="00B366AE" w14:paraId="20A6FA49"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0D1FEF8" w14:textId="77777777" w:rsidR="001259BF" w:rsidRPr="00B366AE" w:rsidRDefault="001259BF" w:rsidP="00D7785F">
            <w:pPr>
              <w:pStyle w:val="Tabletext"/>
              <w:rPr>
                <w:lang w:eastAsia="zh-CN"/>
              </w:rPr>
            </w:pPr>
            <w:r w:rsidRPr="00B366AE">
              <w:rPr>
                <w:lang w:eastAsia="zh-CN"/>
              </w:rPr>
              <w:t>D</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32F3A0C"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5D2C2EA" w14:textId="77777777" w:rsidR="001259BF" w:rsidRPr="00B366AE" w:rsidRDefault="001259BF" w:rsidP="00D7785F">
            <w:pPr>
              <w:pStyle w:val="Tabletext"/>
              <w:rPr>
                <w:lang w:eastAsia="zh-CN"/>
              </w:rPr>
            </w:pPr>
            <w:r w:rsidRPr="00B366AE">
              <w:rPr>
                <w:lang w:eastAsia="zh-CN"/>
              </w:rPr>
              <w:t>NOR</w:t>
            </w:r>
          </w:p>
        </w:tc>
        <w:tc>
          <w:tcPr>
            <w:tcW w:w="1830" w:type="dxa"/>
            <w:tcBorders>
              <w:top w:val="nil"/>
              <w:left w:val="nil"/>
              <w:bottom w:val="single" w:sz="4" w:space="0" w:color="auto"/>
              <w:right w:val="single" w:sz="4" w:space="0" w:color="auto"/>
            </w:tcBorders>
            <w:shd w:val="clear" w:color="auto" w:fill="auto"/>
            <w:noWrap/>
            <w:vAlign w:val="bottom"/>
          </w:tcPr>
          <w:p w14:paraId="218C5BB5" w14:textId="77777777" w:rsidR="001259BF" w:rsidRPr="00B366AE" w:rsidRDefault="001259BF" w:rsidP="00D7785F">
            <w:pPr>
              <w:pStyle w:val="Tabletext"/>
              <w:jc w:val="center"/>
              <w:rPr>
                <w:lang w:eastAsia="zh-CN"/>
              </w:rPr>
            </w:pPr>
            <w:r>
              <w:rPr>
                <w:lang w:eastAsia="zh-CN"/>
              </w:rPr>
              <w:t>5</w:t>
            </w:r>
          </w:p>
        </w:tc>
      </w:tr>
      <w:tr w:rsidR="001259BF" w:rsidRPr="00B366AE" w14:paraId="2D529E98"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0DC7998" w14:textId="77777777" w:rsidR="001259BF" w:rsidRPr="00B366AE" w:rsidRDefault="001259BF" w:rsidP="00D7785F">
            <w:pPr>
              <w:pStyle w:val="Tabletext"/>
              <w:rPr>
                <w:lang w:eastAsia="zh-CN"/>
              </w:rPr>
            </w:pPr>
            <w:r w:rsidRPr="00B366AE">
              <w:rPr>
                <w:lang w:eastAsia="zh-CN"/>
              </w:rPr>
              <w:t>E</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5318319" w14:textId="77777777" w:rsidR="001259BF" w:rsidRPr="00B366AE" w:rsidRDefault="001259BF" w:rsidP="00D7785F">
            <w:pPr>
              <w:pStyle w:val="Tabletext"/>
              <w:jc w:val="center"/>
              <w:rPr>
                <w:lang w:eastAsia="zh-CN"/>
              </w:rPr>
            </w:pPr>
            <w:r w:rsidRPr="00B366AE">
              <w:rPr>
                <w:lang w:eastAsia="zh-CN"/>
              </w:rPr>
              <w:t>4</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77F4FD7" w14:textId="77777777" w:rsidR="001259BF" w:rsidRPr="00B366AE" w:rsidRDefault="001259BF" w:rsidP="00D7785F">
            <w:pPr>
              <w:pStyle w:val="Tabletext"/>
              <w:rPr>
                <w:lang w:eastAsia="zh-CN"/>
              </w:rPr>
            </w:pPr>
            <w:r w:rsidRPr="00B366AE">
              <w:rPr>
                <w:lang w:eastAsia="zh-CN"/>
              </w:rPr>
              <w:t>PAK</w:t>
            </w:r>
          </w:p>
        </w:tc>
        <w:tc>
          <w:tcPr>
            <w:tcW w:w="1830" w:type="dxa"/>
            <w:tcBorders>
              <w:top w:val="nil"/>
              <w:left w:val="nil"/>
              <w:bottom w:val="single" w:sz="4" w:space="0" w:color="auto"/>
              <w:right w:val="single" w:sz="4" w:space="0" w:color="auto"/>
            </w:tcBorders>
            <w:shd w:val="clear" w:color="auto" w:fill="auto"/>
            <w:noWrap/>
            <w:vAlign w:val="bottom"/>
          </w:tcPr>
          <w:p w14:paraId="2A26CB51" w14:textId="77777777" w:rsidR="001259BF" w:rsidRPr="00B366AE" w:rsidRDefault="001259BF" w:rsidP="00D7785F">
            <w:pPr>
              <w:pStyle w:val="Tabletext"/>
              <w:jc w:val="center"/>
              <w:rPr>
                <w:lang w:eastAsia="zh-CN"/>
              </w:rPr>
            </w:pPr>
            <w:r w:rsidRPr="00B366AE">
              <w:rPr>
                <w:lang w:eastAsia="zh-CN"/>
              </w:rPr>
              <w:t>1</w:t>
            </w:r>
          </w:p>
        </w:tc>
      </w:tr>
      <w:tr w:rsidR="001259BF" w:rsidRPr="00B366AE" w14:paraId="513EB102"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59B0196" w14:textId="77777777" w:rsidR="001259BF" w:rsidRPr="00B366AE" w:rsidRDefault="001259BF" w:rsidP="00D7785F">
            <w:pPr>
              <w:pStyle w:val="Tabletext"/>
              <w:rPr>
                <w:lang w:eastAsia="zh-CN"/>
              </w:rPr>
            </w:pPr>
            <w:r w:rsidRPr="00B366AE">
              <w:rPr>
                <w:lang w:eastAsia="zh-CN"/>
              </w:rPr>
              <w:lastRenderedPageBreak/>
              <w:t>EGY</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698C590" w14:textId="77777777" w:rsidR="001259BF" w:rsidRPr="00B366AE" w:rsidRDefault="001259BF" w:rsidP="00D7785F">
            <w:pPr>
              <w:pStyle w:val="Tabletext"/>
              <w:jc w:val="center"/>
              <w:rPr>
                <w:lang w:eastAsia="zh-CN"/>
              </w:rPr>
            </w:pPr>
            <w:r w:rsidRPr="00B366AE">
              <w:rPr>
                <w:lang w:eastAsia="zh-CN"/>
              </w:rPr>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DDFF8A3" w14:textId="77777777" w:rsidR="001259BF" w:rsidRPr="00B366AE" w:rsidRDefault="001259BF" w:rsidP="00D7785F">
            <w:pPr>
              <w:pStyle w:val="Tabletext"/>
              <w:rPr>
                <w:lang w:eastAsia="zh-CN"/>
              </w:rPr>
            </w:pPr>
            <w:r w:rsidRPr="00B366AE">
              <w:rPr>
                <w:lang w:eastAsia="zh-CN"/>
              </w:rPr>
              <w:t>PNG</w:t>
            </w:r>
          </w:p>
        </w:tc>
        <w:tc>
          <w:tcPr>
            <w:tcW w:w="1830" w:type="dxa"/>
            <w:tcBorders>
              <w:top w:val="nil"/>
              <w:left w:val="nil"/>
              <w:bottom w:val="single" w:sz="4" w:space="0" w:color="auto"/>
              <w:right w:val="single" w:sz="4" w:space="0" w:color="auto"/>
            </w:tcBorders>
            <w:shd w:val="clear" w:color="auto" w:fill="auto"/>
            <w:noWrap/>
            <w:vAlign w:val="bottom"/>
          </w:tcPr>
          <w:p w14:paraId="34523818" w14:textId="77777777" w:rsidR="001259BF" w:rsidRPr="00B366AE" w:rsidRDefault="001259BF" w:rsidP="00D7785F">
            <w:pPr>
              <w:pStyle w:val="Tabletext"/>
              <w:jc w:val="center"/>
              <w:rPr>
                <w:lang w:eastAsia="zh-CN"/>
              </w:rPr>
            </w:pPr>
            <w:r>
              <w:rPr>
                <w:lang w:eastAsia="zh-CN"/>
              </w:rPr>
              <w:t>8</w:t>
            </w:r>
          </w:p>
        </w:tc>
      </w:tr>
      <w:tr w:rsidR="001259BF" w:rsidRPr="00B366AE" w14:paraId="3D39604C"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6D196DB8" w14:textId="77777777" w:rsidR="001259BF" w:rsidRPr="00B366AE" w:rsidRDefault="001259BF" w:rsidP="00D7785F">
            <w:pPr>
              <w:pStyle w:val="Tabletext"/>
              <w:rPr>
                <w:lang w:eastAsia="zh-CN"/>
              </w:rPr>
            </w:pPr>
            <w:r w:rsidRPr="00B366AE">
              <w:rPr>
                <w:lang w:eastAsia="zh-CN"/>
              </w:rPr>
              <w:t>F</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3931D70" w14:textId="77777777" w:rsidR="001259BF" w:rsidRPr="00B366AE" w:rsidRDefault="001259BF" w:rsidP="00D7785F">
            <w:pPr>
              <w:pStyle w:val="Tabletext"/>
              <w:jc w:val="center"/>
              <w:rPr>
                <w:lang w:eastAsia="zh-CN"/>
              </w:rPr>
            </w:pPr>
            <w:r w:rsidRPr="00B366AE">
              <w:rPr>
                <w:lang w:eastAsia="zh-CN"/>
              </w:rPr>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DDD1340" w14:textId="77777777" w:rsidR="001259BF" w:rsidRPr="00B366AE" w:rsidRDefault="001259BF" w:rsidP="00D7785F">
            <w:pPr>
              <w:pStyle w:val="Tabletext"/>
              <w:rPr>
                <w:lang w:eastAsia="zh-CN"/>
              </w:rPr>
            </w:pPr>
            <w:r w:rsidRPr="00B366AE">
              <w:rPr>
                <w:lang w:eastAsia="zh-CN"/>
              </w:rPr>
              <w:t>RUS</w:t>
            </w:r>
          </w:p>
        </w:tc>
        <w:tc>
          <w:tcPr>
            <w:tcW w:w="1830" w:type="dxa"/>
            <w:tcBorders>
              <w:top w:val="nil"/>
              <w:left w:val="nil"/>
              <w:bottom w:val="single" w:sz="4" w:space="0" w:color="auto"/>
              <w:right w:val="single" w:sz="4" w:space="0" w:color="auto"/>
            </w:tcBorders>
            <w:shd w:val="clear" w:color="auto" w:fill="auto"/>
            <w:noWrap/>
            <w:vAlign w:val="bottom"/>
          </w:tcPr>
          <w:p w14:paraId="6538559D" w14:textId="77777777" w:rsidR="001259BF" w:rsidRPr="00B366AE" w:rsidRDefault="001259BF" w:rsidP="00D7785F">
            <w:pPr>
              <w:pStyle w:val="Tabletext"/>
              <w:jc w:val="center"/>
              <w:rPr>
                <w:lang w:eastAsia="zh-CN"/>
              </w:rPr>
            </w:pPr>
            <w:r w:rsidRPr="00B366AE">
              <w:rPr>
                <w:lang w:eastAsia="zh-CN"/>
              </w:rPr>
              <w:t>5</w:t>
            </w:r>
          </w:p>
        </w:tc>
      </w:tr>
      <w:tr w:rsidR="001259BF" w:rsidRPr="00B366AE" w14:paraId="102C8D66"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D300B8A" w14:textId="77777777" w:rsidR="001259BF" w:rsidRPr="00B366AE" w:rsidRDefault="001259BF" w:rsidP="00D7785F">
            <w:pPr>
              <w:pStyle w:val="Tabletext"/>
              <w:rPr>
                <w:lang w:eastAsia="zh-CN"/>
              </w:rPr>
            </w:pPr>
            <w:r w:rsidRPr="00B366AE">
              <w:rPr>
                <w:lang w:eastAsia="zh-CN"/>
              </w:rPr>
              <w:t>F/EUT</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1737955C" w14:textId="77777777" w:rsidR="001259BF" w:rsidRPr="00B366AE" w:rsidRDefault="001259BF" w:rsidP="00D7785F">
            <w:pPr>
              <w:pStyle w:val="Tabletext"/>
              <w:jc w:val="center"/>
              <w:rPr>
                <w:lang w:eastAsia="zh-CN"/>
              </w:rPr>
            </w:pPr>
            <w:r w:rsidRPr="00B366AE">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A69B74C" w14:textId="77777777" w:rsidR="001259BF" w:rsidRPr="00B366AE" w:rsidRDefault="001259BF" w:rsidP="00D7785F">
            <w:pPr>
              <w:pStyle w:val="Tabletext"/>
              <w:rPr>
                <w:lang w:eastAsia="zh-CN"/>
              </w:rPr>
            </w:pPr>
            <w:r w:rsidRPr="00B366AE">
              <w:rPr>
                <w:lang w:eastAsia="zh-CN"/>
              </w:rPr>
              <w:t>RUS/IK</w:t>
            </w:r>
          </w:p>
        </w:tc>
        <w:tc>
          <w:tcPr>
            <w:tcW w:w="1830" w:type="dxa"/>
            <w:tcBorders>
              <w:top w:val="nil"/>
              <w:left w:val="nil"/>
              <w:bottom w:val="single" w:sz="4" w:space="0" w:color="auto"/>
              <w:right w:val="single" w:sz="4" w:space="0" w:color="auto"/>
            </w:tcBorders>
            <w:shd w:val="clear" w:color="auto" w:fill="auto"/>
            <w:noWrap/>
            <w:vAlign w:val="bottom"/>
          </w:tcPr>
          <w:p w14:paraId="54A9C662" w14:textId="77777777" w:rsidR="001259BF" w:rsidRPr="00B366AE" w:rsidRDefault="001259BF" w:rsidP="00D7785F">
            <w:pPr>
              <w:pStyle w:val="Tabletext"/>
              <w:jc w:val="center"/>
              <w:rPr>
                <w:lang w:eastAsia="zh-CN"/>
              </w:rPr>
            </w:pPr>
            <w:r w:rsidRPr="00B366AE">
              <w:rPr>
                <w:lang w:eastAsia="zh-CN"/>
              </w:rPr>
              <w:t>4</w:t>
            </w:r>
          </w:p>
        </w:tc>
      </w:tr>
      <w:tr w:rsidR="001259BF" w:rsidRPr="00B366AE" w14:paraId="3B161835"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183935D5" w14:textId="77777777" w:rsidR="001259BF" w:rsidRPr="00B366AE" w:rsidRDefault="001259BF" w:rsidP="00D7785F">
            <w:pPr>
              <w:pStyle w:val="Tabletext"/>
              <w:rPr>
                <w:lang w:eastAsia="zh-CN"/>
              </w:rPr>
            </w:pPr>
            <w:r w:rsidRPr="00B366AE">
              <w:rPr>
                <w:lang w:eastAsia="zh-CN"/>
              </w:rPr>
              <w:t>G</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65D2F38F" w14:textId="77777777" w:rsidR="001259BF" w:rsidRPr="00B366AE" w:rsidRDefault="001259BF" w:rsidP="00D7785F">
            <w:pPr>
              <w:pStyle w:val="Tabletext"/>
              <w:jc w:val="center"/>
              <w:rPr>
                <w:lang w:eastAsia="zh-CN"/>
              </w:rPr>
            </w:pPr>
            <w:r w:rsidRPr="00B366AE">
              <w:rPr>
                <w:lang w:eastAsia="zh-CN"/>
              </w:rPr>
              <w:t>6</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8D6A437" w14:textId="77777777" w:rsidR="001259BF" w:rsidRPr="00B366AE" w:rsidRDefault="001259BF" w:rsidP="00D7785F">
            <w:pPr>
              <w:pStyle w:val="Tabletext"/>
              <w:rPr>
                <w:lang w:eastAsia="zh-CN"/>
              </w:rPr>
            </w:pPr>
            <w:r w:rsidRPr="00B366AE">
              <w:rPr>
                <w:lang w:eastAsia="zh-CN"/>
              </w:rPr>
              <w:t>S</w:t>
            </w:r>
          </w:p>
        </w:tc>
        <w:tc>
          <w:tcPr>
            <w:tcW w:w="1830" w:type="dxa"/>
            <w:tcBorders>
              <w:top w:val="nil"/>
              <w:left w:val="nil"/>
              <w:bottom w:val="single" w:sz="4" w:space="0" w:color="auto"/>
              <w:right w:val="single" w:sz="4" w:space="0" w:color="auto"/>
            </w:tcBorders>
            <w:shd w:val="clear" w:color="auto" w:fill="auto"/>
            <w:noWrap/>
            <w:vAlign w:val="bottom"/>
          </w:tcPr>
          <w:p w14:paraId="0D66C812" w14:textId="77777777" w:rsidR="001259BF" w:rsidRPr="00B366AE" w:rsidRDefault="001259BF" w:rsidP="00D7785F">
            <w:pPr>
              <w:pStyle w:val="Tabletext"/>
              <w:jc w:val="center"/>
              <w:rPr>
                <w:lang w:eastAsia="zh-CN"/>
              </w:rPr>
            </w:pPr>
            <w:r w:rsidRPr="00B366AE">
              <w:rPr>
                <w:lang w:eastAsia="zh-CN"/>
              </w:rPr>
              <w:t>6</w:t>
            </w:r>
          </w:p>
        </w:tc>
      </w:tr>
      <w:tr w:rsidR="001259BF" w:rsidRPr="00B366AE" w14:paraId="441D69FC"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59AB6F89" w14:textId="77777777" w:rsidR="001259BF" w:rsidRPr="00B366AE" w:rsidRDefault="001259BF" w:rsidP="00D7785F">
            <w:pPr>
              <w:pStyle w:val="Tabletext"/>
              <w:rPr>
                <w:lang w:eastAsia="zh-CN"/>
              </w:rPr>
            </w:pPr>
            <w:r w:rsidRPr="00B366AE">
              <w:rPr>
                <w:lang w:eastAsia="zh-CN"/>
              </w:rPr>
              <w:t>GRC</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20E2C326"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6653D41" w14:textId="77777777" w:rsidR="001259BF" w:rsidRPr="00B366AE" w:rsidRDefault="001259BF" w:rsidP="00D7785F">
            <w:pPr>
              <w:pStyle w:val="Tabletext"/>
              <w:rPr>
                <w:lang w:eastAsia="zh-CN"/>
              </w:rPr>
            </w:pPr>
            <w:r w:rsidRPr="00B366AE">
              <w:rPr>
                <w:lang w:eastAsia="zh-CN"/>
              </w:rPr>
              <w:t>TUR</w:t>
            </w:r>
          </w:p>
        </w:tc>
        <w:tc>
          <w:tcPr>
            <w:tcW w:w="1830" w:type="dxa"/>
            <w:tcBorders>
              <w:top w:val="nil"/>
              <w:left w:val="nil"/>
              <w:bottom w:val="single" w:sz="4" w:space="0" w:color="auto"/>
              <w:right w:val="single" w:sz="4" w:space="0" w:color="auto"/>
            </w:tcBorders>
            <w:shd w:val="clear" w:color="auto" w:fill="auto"/>
            <w:noWrap/>
            <w:vAlign w:val="bottom"/>
          </w:tcPr>
          <w:p w14:paraId="64EBC625" w14:textId="77777777" w:rsidR="001259BF" w:rsidRPr="00B366AE" w:rsidRDefault="001259BF" w:rsidP="00D7785F">
            <w:pPr>
              <w:pStyle w:val="Tabletext"/>
              <w:jc w:val="center"/>
              <w:rPr>
                <w:lang w:eastAsia="zh-CN"/>
              </w:rPr>
            </w:pPr>
            <w:r w:rsidRPr="00B366AE">
              <w:rPr>
                <w:lang w:eastAsia="zh-CN"/>
              </w:rPr>
              <w:t>2</w:t>
            </w:r>
          </w:p>
        </w:tc>
      </w:tr>
      <w:tr w:rsidR="001259BF" w:rsidRPr="00B366AE" w14:paraId="09A41F77"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3777BBA5" w14:textId="77777777" w:rsidR="001259BF" w:rsidRPr="00B366AE" w:rsidRDefault="001259BF" w:rsidP="00D7785F">
            <w:pPr>
              <w:pStyle w:val="Tabletext"/>
              <w:rPr>
                <w:lang w:eastAsia="zh-CN"/>
              </w:rPr>
            </w:pPr>
            <w:r w:rsidRPr="00B366AE">
              <w:rPr>
                <w:lang w:eastAsia="zh-CN"/>
              </w:rPr>
              <w:t>HOL</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07666D48" w14:textId="77777777" w:rsidR="001259BF" w:rsidRPr="00B366AE" w:rsidRDefault="001259BF" w:rsidP="00D7785F">
            <w:pPr>
              <w:pStyle w:val="Tabletext"/>
              <w:jc w:val="center"/>
              <w:rPr>
                <w:lang w:eastAsia="zh-CN"/>
              </w:rPr>
            </w:pPr>
            <w:r>
              <w:rPr>
                <w:lang w:eastAsia="zh-CN"/>
              </w:rP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F7B0971" w14:textId="77777777" w:rsidR="001259BF" w:rsidRPr="00B366AE" w:rsidRDefault="001259BF" w:rsidP="00D7785F">
            <w:pPr>
              <w:pStyle w:val="Tabletext"/>
              <w:rPr>
                <w:lang w:eastAsia="zh-CN"/>
              </w:rPr>
            </w:pPr>
            <w:r w:rsidRPr="00B366AE">
              <w:rPr>
                <w:lang w:eastAsia="zh-CN"/>
              </w:rPr>
              <w:t>UAE</w:t>
            </w:r>
          </w:p>
        </w:tc>
        <w:tc>
          <w:tcPr>
            <w:tcW w:w="1830" w:type="dxa"/>
            <w:tcBorders>
              <w:top w:val="nil"/>
              <w:left w:val="nil"/>
              <w:bottom w:val="single" w:sz="4" w:space="0" w:color="auto"/>
              <w:right w:val="single" w:sz="4" w:space="0" w:color="auto"/>
            </w:tcBorders>
            <w:shd w:val="clear" w:color="auto" w:fill="auto"/>
            <w:noWrap/>
            <w:vAlign w:val="bottom"/>
          </w:tcPr>
          <w:p w14:paraId="2E262D49" w14:textId="77777777" w:rsidR="001259BF" w:rsidRPr="00B366AE" w:rsidRDefault="001259BF" w:rsidP="00D7785F">
            <w:pPr>
              <w:pStyle w:val="Tabletext"/>
              <w:jc w:val="center"/>
              <w:rPr>
                <w:lang w:eastAsia="zh-CN"/>
              </w:rPr>
            </w:pPr>
            <w:r>
              <w:rPr>
                <w:lang w:eastAsia="zh-CN"/>
              </w:rPr>
              <w:t>4</w:t>
            </w:r>
          </w:p>
        </w:tc>
      </w:tr>
      <w:tr w:rsidR="001259BF" w:rsidRPr="00B366AE" w14:paraId="725113EE" w14:textId="77777777" w:rsidTr="00D7785F">
        <w:trPr>
          <w:trHeight w:val="300"/>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D8D1" w14:textId="77777777" w:rsidR="001259BF" w:rsidRPr="00B366AE" w:rsidRDefault="001259BF" w:rsidP="00D7785F">
            <w:pPr>
              <w:pStyle w:val="Tabletext"/>
              <w:rPr>
                <w:lang w:eastAsia="zh-CN"/>
              </w:rPr>
            </w:pPr>
            <w:r w:rsidRPr="00B366AE">
              <w:rPr>
                <w:lang w:eastAsia="zh-CN"/>
              </w:rPr>
              <w:t>I</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5D25B9CB" w14:textId="77777777" w:rsidR="001259BF" w:rsidRPr="00B366AE" w:rsidRDefault="001259BF" w:rsidP="00D7785F">
            <w:pPr>
              <w:pStyle w:val="Tabletext"/>
              <w:jc w:val="center"/>
              <w:rPr>
                <w:lang w:eastAsia="zh-CN"/>
              </w:rPr>
            </w:pPr>
            <w:r w:rsidRPr="00B366AE">
              <w:rPr>
                <w:lang w:eastAsia="zh-CN"/>
              </w:rP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B5581EE" w14:textId="77777777" w:rsidR="001259BF" w:rsidRPr="00B366AE" w:rsidRDefault="001259BF" w:rsidP="00D7785F">
            <w:pPr>
              <w:pStyle w:val="Tabletext"/>
              <w:rPr>
                <w:lang w:eastAsia="zh-CN"/>
              </w:rPr>
            </w:pPr>
            <w:r w:rsidRPr="00B366AE">
              <w:rPr>
                <w:lang w:eastAsia="zh-CN"/>
              </w:rPr>
              <w:t>USA</w:t>
            </w: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6A66517D" w14:textId="77777777" w:rsidR="001259BF" w:rsidRPr="00B366AE" w:rsidRDefault="001259BF" w:rsidP="00D7785F">
            <w:pPr>
              <w:pStyle w:val="Tabletext"/>
              <w:jc w:val="center"/>
              <w:rPr>
                <w:lang w:eastAsia="zh-CN"/>
              </w:rPr>
            </w:pPr>
            <w:r>
              <w:rPr>
                <w:lang w:eastAsia="zh-CN"/>
              </w:rPr>
              <w:t>5</w:t>
            </w:r>
          </w:p>
        </w:tc>
      </w:tr>
    </w:tbl>
    <w:p w14:paraId="2B768467" w14:textId="77777777" w:rsidR="001259BF" w:rsidRDefault="001259BF" w:rsidP="001259BF">
      <w:pPr>
        <w:pStyle w:val="Tablefin"/>
      </w:pPr>
    </w:p>
    <w:p w14:paraId="7CC22F78" w14:textId="77777777" w:rsidR="001259BF" w:rsidRPr="00B366AE" w:rsidRDefault="001259BF" w:rsidP="001259BF">
      <w:pPr>
        <w:pStyle w:val="TableNo"/>
      </w:pPr>
      <w:r w:rsidRPr="00B366AE">
        <w:t>Table 5</w:t>
      </w:r>
    </w:p>
    <w:p w14:paraId="40A3F672" w14:textId="77777777" w:rsidR="001259BF" w:rsidRPr="00B366AE" w:rsidRDefault="001259BF" w:rsidP="001259BF">
      <w:pPr>
        <w:pStyle w:val="Tabletitle"/>
        <w:rPr>
          <w:rFonts w:ascii="Times New Roman" w:hAnsi="Times New Roman"/>
          <w:bCs/>
        </w:rPr>
      </w:pPr>
      <w:r w:rsidRPr="00B366AE">
        <w:t xml:space="preserve">Number of networks of additional uses included in the List of Appendix </w:t>
      </w:r>
      <w:r w:rsidRPr="00B366AE">
        <w:rPr>
          <w:bCs/>
        </w:rPr>
        <w:t>30A</w:t>
      </w:r>
    </w:p>
    <w:tbl>
      <w:tblPr>
        <w:tblW w:w="6995" w:type="dxa"/>
        <w:jc w:val="center"/>
        <w:tblLook w:val="04A0" w:firstRow="1" w:lastRow="0" w:firstColumn="1" w:lastColumn="0" w:noHBand="0" w:noVBand="1"/>
      </w:tblPr>
      <w:tblGrid>
        <w:gridCol w:w="1715"/>
        <w:gridCol w:w="1735"/>
        <w:gridCol w:w="1715"/>
        <w:gridCol w:w="1830"/>
      </w:tblGrid>
      <w:tr w:rsidR="001259BF" w:rsidRPr="00B366AE" w14:paraId="0ABF09CB" w14:textId="77777777" w:rsidTr="00D7785F">
        <w:trPr>
          <w:trHeight w:val="300"/>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43F6" w14:textId="77777777" w:rsidR="001259BF" w:rsidRPr="00B366AE" w:rsidRDefault="001259BF" w:rsidP="00D7785F">
            <w:pPr>
              <w:pStyle w:val="Tablehead"/>
              <w:rPr>
                <w:lang w:eastAsia="zh-CN"/>
              </w:rPr>
            </w:pPr>
            <w:r w:rsidRPr="00B366AE">
              <w:rPr>
                <w:lang w:eastAsia="zh-CN"/>
              </w:rPr>
              <w:t>Administration</w:t>
            </w:r>
            <w:r>
              <w:rPr>
                <w:lang w:eastAsia="zh-CN"/>
              </w:rPr>
              <w:br/>
            </w:r>
            <w:r w:rsidRPr="00B366AE">
              <w:rPr>
                <w:lang w:eastAsia="zh-CN"/>
              </w:rPr>
              <w:t>(Organization)</w:t>
            </w:r>
          </w:p>
        </w:tc>
        <w:tc>
          <w:tcPr>
            <w:tcW w:w="1735" w:type="dxa"/>
            <w:tcBorders>
              <w:top w:val="single" w:sz="4" w:space="0" w:color="auto"/>
              <w:left w:val="nil"/>
              <w:bottom w:val="single" w:sz="4" w:space="0" w:color="auto"/>
              <w:right w:val="double" w:sz="4" w:space="0" w:color="auto"/>
            </w:tcBorders>
            <w:shd w:val="clear" w:color="auto" w:fill="auto"/>
            <w:noWrap/>
            <w:vAlign w:val="bottom"/>
            <w:hideMark/>
          </w:tcPr>
          <w:p w14:paraId="3C661852" w14:textId="77777777" w:rsidR="001259BF" w:rsidRPr="00B366AE" w:rsidRDefault="001259BF" w:rsidP="00D7785F">
            <w:pPr>
              <w:pStyle w:val="Tablehead"/>
              <w:rPr>
                <w:lang w:eastAsia="zh-CN"/>
              </w:rPr>
            </w:pPr>
            <w:r w:rsidRPr="00B366AE">
              <w:rPr>
                <w:lang w:eastAsia="zh-CN"/>
              </w:rPr>
              <w:t>Number of networks</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3BFE79E" w14:textId="77777777" w:rsidR="001259BF" w:rsidRPr="00B366AE" w:rsidRDefault="001259BF" w:rsidP="00D7785F">
            <w:pPr>
              <w:pStyle w:val="Tablehead"/>
              <w:rPr>
                <w:lang w:eastAsia="zh-CN"/>
              </w:rPr>
            </w:pPr>
            <w:r w:rsidRPr="00B366AE">
              <w:rPr>
                <w:lang w:eastAsia="zh-CN"/>
              </w:rPr>
              <w:t>Administration</w:t>
            </w:r>
            <w:r>
              <w:rPr>
                <w:lang w:eastAsia="zh-CN"/>
              </w:rPr>
              <w:br/>
            </w:r>
            <w:r w:rsidRPr="00B366AE">
              <w:rPr>
                <w:lang w:eastAsia="zh-CN"/>
              </w:rPr>
              <w:t>(Organization)</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64256C77" w14:textId="77777777" w:rsidR="001259BF" w:rsidRPr="00B366AE" w:rsidRDefault="001259BF" w:rsidP="00D7785F">
            <w:pPr>
              <w:pStyle w:val="Tablehead"/>
              <w:rPr>
                <w:lang w:eastAsia="zh-CN"/>
              </w:rPr>
            </w:pPr>
            <w:r w:rsidRPr="00B366AE">
              <w:rPr>
                <w:lang w:eastAsia="zh-CN"/>
              </w:rPr>
              <w:t>Number of networks</w:t>
            </w:r>
          </w:p>
        </w:tc>
      </w:tr>
      <w:tr w:rsidR="001259BF" w:rsidRPr="00B366AE" w14:paraId="50BFF44F"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DE76E30" w14:textId="77777777" w:rsidR="001259BF" w:rsidRPr="00B366AE" w:rsidRDefault="001259BF" w:rsidP="00D7785F">
            <w:pPr>
              <w:pStyle w:val="Tabletext"/>
              <w:rPr>
                <w:lang w:eastAsia="zh-CN"/>
              </w:rPr>
            </w:pPr>
            <w:r w:rsidRPr="00B366AE">
              <w:t>ALG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27AFF2E"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39C5617" w14:textId="77777777" w:rsidR="001259BF" w:rsidRPr="00B366AE" w:rsidRDefault="001259BF" w:rsidP="00D7785F">
            <w:pPr>
              <w:pStyle w:val="Tabletext"/>
              <w:rPr>
                <w:lang w:eastAsia="zh-CN"/>
              </w:rPr>
            </w:pPr>
            <w:r w:rsidRPr="00B366AE">
              <w:t>IRN</w:t>
            </w:r>
          </w:p>
        </w:tc>
        <w:tc>
          <w:tcPr>
            <w:tcW w:w="1830" w:type="dxa"/>
            <w:tcBorders>
              <w:top w:val="nil"/>
              <w:left w:val="nil"/>
              <w:bottom w:val="single" w:sz="4" w:space="0" w:color="auto"/>
              <w:right w:val="single" w:sz="4" w:space="0" w:color="auto"/>
            </w:tcBorders>
            <w:shd w:val="clear" w:color="auto" w:fill="auto"/>
            <w:noWrap/>
            <w:vAlign w:val="bottom"/>
          </w:tcPr>
          <w:p w14:paraId="6F9F63AE" w14:textId="77777777" w:rsidR="001259BF" w:rsidRPr="00B366AE" w:rsidRDefault="001259BF" w:rsidP="00D7785F">
            <w:pPr>
              <w:pStyle w:val="Tabletext"/>
              <w:jc w:val="center"/>
              <w:rPr>
                <w:lang w:eastAsia="zh-CN"/>
              </w:rPr>
            </w:pPr>
            <w:r w:rsidRPr="00B366AE">
              <w:t>1</w:t>
            </w:r>
          </w:p>
        </w:tc>
      </w:tr>
      <w:tr w:rsidR="001259BF" w:rsidRPr="00B366AE" w14:paraId="138D2B86"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F0C5C54" w14:textId="77777777" w:rsidR="001259BF" w:rsidRPr="00B366AE" w:rsidRDefault="001259BF" w:rsidP="00D7785F">
            <w:pPr>
              <w:pStyle w:val="Tabletext"/>
              <w:rPr>
                <w:lang w:eastAsia="zh-CN"/>
              </w:rPr>
            </w:pPr>
            <w:r w:rsidRPr="00B366AE">
              <w:t>ARS/ARB</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483EF65B" w14:textId="77777777" w:rsidR="001259BF" w:rsidRPr="00B366AE" w:rsidRDefault="001259BF" w:rsidP="00D7785F">
            <w:pPr>
              <w:pStyle w:val="Tabletext"/>
              <w:jc w:val="center"/>
              <w:rPr>
                <w:lang w:eastAsia="zh-CN"/>
              </w:rPr>
            </w:pPr>
            <w:r w:rsidRPr="00B366AE">
              <w:t>7</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27DD401" w14:textId="77777777" w:rsidR="001259BF" w:rsidRPr="00B366AE" w:rsidRDefault="001259BF" w:rsidP="00D7785F">
            <w:pPr>
              <w:pStyle w:val="Tabletext"/>
              <w:rPr>
                <w:lang w:eastAsia="zh-CN"/>
              </w:rPr>
            </w:pPr>
            <w:r w:rsidRPr="00B366AE">
              <w:t>J</w:t>
            </w:r>
          </w:p>
        </w:tc>
        <w:tc>
          <w:tcPr>
            <w:tcW w:w="1830" w:type="dxa"/>
            <w:tcBorders>
              <w:top w:val="nil"/>
              <w:left w:val="nil"/>
              <w:bottom w:val="single" w:sz="4" w:space="0" w:color="auto"/>
              <w:right w:val="single" w:sz="4" w:space="0" w:color="auto"/>
            </w:tcBorders>
            <w:shd w:val="clear" w:color="auto" w:fill="auto"/>
            <w:noWrap/>
            <w:vAlign w:val="bottom"/>
          </w:tcPr>
          <w:p w14:paraId="203B0720" w14:textId="77777777" w:rsidR="001259BF" w:rsidRPr="00B366AE" w:rsidRDefault="001259BF" w:rsidP="00D7785F">
            <w:pPr>
              <w:pStyle w:val="Tabletext"/>
              <w:jc w:val="center"/>
              <w:rPr>
                <w:lang w:eastAsia="zh-CN"/>
              </w:rPr>
            </w:pPr>
            <w:r w:rsidRPr="00B366AE">
              <w:t>7</w:t>
            </w:r>
          </w:p>
        </w:tc>
      </w:tr>
      <w:tr w:rsidR="001259BF" w:rsidRPr="00B366AE" w14:paraId="2433B717"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9CB5F71" w14:textId="77777777" w:rsidR="001259BF" w:rsidRPr="00B366AE" w:rsidRDefault="001259BF" w:rsidP="00D7785F">
            <w:pPr>
              <w:pStyle w:val="Tabletext"/>
              <w:rPr>
                <w:lang w:eastAsia="zh-CN"/>
              </w:rPr>
            </w:pPr>
            <w:r w:rsidRPr="00B366AE">
              <w:t>AUS</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A192885"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234788B" w14:textId="77777777" w:rsidR="001259BF" w:rsidRPr="00B366AE" w:rsidRDefault="001259BF" w:rsidP="00D7785F">
            <w:pPr>
              <w:pStyle w:val="Tabletext"/>
              <w:rPr>
                <w:lang w:eastAsia="zh-CN"/>
              </w:rPr>
            </w:pPr>
            <w:r w:rsidRPr="00B366AE">
              <w:t>KOR</w:t>
            </w:r>
          </w:p>
        </w:tc>
        <w:tc>
          <w:tcPr>
            <w:tcW w:w="1830" w:type="dxa"/>
            <w:tcBorders>
              <w:top w:val="nil"/>
              <w:left w:val="nil"/>
              <w:bottom w:val="single" w:sz="4" w:space="0" w:color="auto"/>
              <w:right w:val="single" w:sz="4" w:space="0" w:color="auto"/>
            </w:tcBorders>
            <w:shd w:val="clear" w:color="auto" w:fill="auto"/>
            <w:noWrap/>
            <w:vAlign w:val="bottom"/>
          </w:tcPr>
          <w:p w14:paraId="22013AA6" w14:textId="77777777" w:rsidR="001259BF" w:rsidRPr="00B366AE" w:rsidRDefault="001259BF" w:rsidP="00D7785F">
            <w:pPr>
              <w:pStyle w:val="Tabletext"/>
              <w:jc w:val="center"/>
              <w:rPr>
                <w:lang w:eastAsia="zh-CN"/>
              </w:rPr>
            </w:pPr>
            <w:r w:rsidRPr="00B366AE">
              <w:t>2</w:t>
            </w:r>
          </w:p>
        </w:tc>
      </w:tr>
      <w:tr w:rsidR="001259BF" w:rsidRPr="00B366AE" w14:paraId="19248E6C"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F03BD74" w14:textId="77777777" w:rsidR="001259BF" w:rsidRPr="00B366AE" w:rsidRDefault="001259BF" w:rsidP="00D7785F">
            <w:pPr>
              <w:pStyle w:val="Tabletext"/>
            </w:pPr>
            <w:r>
              <w:t>BDG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D87EBA5" w14:textId="77777777" w:rsidR="001259BF" w:rsidRPr="00B366AE" w:rsidRDefault="001259BF" w:rsidP="00D7785F">
            <w:pPr>
              <w:pStyle w:val="Tabletext"/>
              <w:jc w:val="center"/>
            </w:pPr>
            <w:r>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2681758" w14:textId="77777777" w:rsidR="001259BF" w:rsidRPr="00B366AE" w:rsidRDefault="001259BF" w:rsidP="00D7785F">
            <w:pPr>
              <w:pStyle w:val="Tabletext"/>
            </w:pPr>
            <w:r w:rsidRPr="00B366AE">
              <w:t>LUX</w:t>
            </w:r>
          </w:p>
        </w:tc>
        <w:tc>
          <w:tcPr>
            <w:tcW w:w="1830" w:type="dxa"/>
            <w:tcBorders>
              <w:top w:val="nil"/>
              <w:left w:val="nil"/>
              <w:bottom w:val="single" w:sz="4" w:space="0" w:color="auto"/>
              <w:right w:val="single" w:sz="4" w:space="0" w:color="auto"/>
            </w:tcBorders>
            <w:shd w:val="clear" w:color="auto" w:fill="auto"/>
            <w:noWrap/>
            <w:vAlign w:val="bottom"/>
          </w:tcPr>
          <w:p w14:paraId="4E54754B" w14:textId="77777777" w:rsidR="001259BF" w:rsidRPr="00B366AE" w:rsidRDefault="001259BF" w:rsidP="00D7785F">
            <w:pPr>
              <w:pStyle w:val="Tabletext"/>
              <w:jc w:val="center"/>
            </w:pPr>
            <w:r w:rsidRPr="00B366AE">
              <w:t>12</w:t>
            </w:r>
          </w:p>
        </w:tc>
      </w:tr>
      <w:tr w:rsidR="001259BF" w:rsidRPr="00B366AE" w14:paraId="7D5C124F"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A788659" w14:textId="77777777" w:rsidR="001259BF" w:rsidRPr="00B366AE" w:rsidRDefault="001259BF" w:rsidP="00D7785F">
            <w:pPr>
              <w:pStyle w:val="Tabletext"/>
              <w:rPr>
                <w:lang w:eastAsia="zh-CN"/>
              </w:rPr>
            </w:pPr>
            <w:r w:rsidRPr="00B366AE">
              <w:t>BUL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CC6D840"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362F9E0" w14:textId="77777777" w:rsidR="001259BF" w:rsidRPr="00B366AE" w:rsidRDefault="001259BF" w:rsidP="00D7785F">
            <w:pPr>
              <w:pStyle w:val="Tabletext"/>
              <w:rPr>
                <w:lang w:eastAsia="zh-CN"/>
              </w:rPr>
            </w:pPr>
            <w:r w:rsidRPr="00B366AE">
              <w:t>MCO</w:t>
            </w:r>
          </w:p>
        </w:tc>
        <w:tc>
          <w:tcPr>
            <w:tcW w:w="1830" w:type="dxa"/>
            <w:tcBorders>
              <w:top w:val="nil"/>
              <w:left w:val="nil"/>
              <w:bottom w:val="single" w:sz="4" w:space="0" w:color="auto"/>
              <w:right w:val="single" w:sz="4" w:space="0" w:color="auto"/>
            </w:tcBorders>
            <w:shd w:val="clear" w:color="auto" w:fill="auto"/>
            <w:noWrap/>
            <w:vAlign w:val="bottom"/>
          </w:tcPr>
          <w:p w14:paraId="2718CC23" w14:textId="77777777" w:rsidR="001259BF" w:rsidRPr="00B366AE" w:rsidRDefault="001259BF" w:rsidP="00D7785F">
            <w:pPr>
              <w:pStyle w:val="Tabletext"/>
              <w:jc w:val="center"/>
              <w:rPr>
                <w:lang w:eastAsia="zh-CN"/>
              </w:rPr>
            </w:pPr>
            <w:r w:rsidRPr="00B366AE">
              <w:t>3</w:t>
            </w:r>
          </w:p>
        </w:tc>
      </w:tr>
      <w:tr w:rsidR="001259BF" w:rsidRPr="00B366AE" w14:paraId="2D93C46D"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037585C" w14:textId="77777777" w:rsidR="001259BF" w:rsidRPr="00B366AE" w:rsidRDefault="001259BF" w:rsidP="00D7785F">
            <w:pPr>
              <w:pStyle w:val="Tabletext"/>
              <w:rPr>
                <w:lang w:eastAsia="zh-CN"/>
              </w:rPr>
            </w:pPr>
            <w:r w:rsidRPr="00B366AE">
              <w:t>CHN</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6459E68" w14:textId="77777777" w:rsidR="001259BF" w:rsidRPr="00B366AE" w:rsidRDefault="001259BF" w:rsidP="00D7785F">
            <w:pPr>
              <w:pStyle w:val="Tabletext"/>
              <w:jc w:val="center"/>
              <w:rPr>
                <w:lang w:eastAsia="zh-CN"/>
              </w:rPr>
            </w:pPr>
            <w:r w:rsidRPr="00B366AE">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7DAE594" w14:textId="77777777" w:rsidR="001259BF" w:rsidRPr="00B366AE" w:rsidRDefault="001259BF" w:rsidP="00D7785F">
            <w:pPr>
              <w:pStyle w:val="Tabletext"/>
              <w:rPr>
                <w:lang w:eastAsia="zh-CN"/>
              </w:rPr>
            </w:pPr>
            <w:r w:rsidRPr="00B366AE">
              <w:t>MLA</w:t>
            </w:r>
          </w:p>
        </w:tc>
        <w:tc>
          <w:tcPr>
            <w:tcW w:w="1830" w:type="dxa"/>
            <w:tcBorders>
              <w:top w:val="nil"/>
              <w:left w:val="nil"/>
              <w:bottom w:val="single" w:sz="4" w:space="0" w:color="auto"/>
              <w:right w:val="single" w:sz="4" w:space="0" w:color="auto"/>
            </w:tcBorders>
            <w:shd w:val="clear" w:color="auto" w:fill="auto"/>
            <w:noWrap/>
            <w:vAlign w:val="bottom"/>
          </w:tcPr>
          <w:p w14:paraId="53A64AE3" w14:textId="77777777" w:rsidR="001259BF" w:rsidRPr="00B366AE" w:rsidRDefault="001259BF" w:rsidP="00D7785F">
            <w:pPr>
              <w:pStyle w:val="Tabletext"/>
              <w:jc w:val="center"/>
              <w:rPr>
                <w:lang w:eastAsia="zh-CN"/>
              </w:rPr>
            </w:pPr>
            <w:r w:rsidRPr="00B366AE">
              <w:t>1</w:t>
            </w:r>
          </w:p>
        </w:tc>
      </w:tr>
      <w:tr w:rsidR="001259BF" w:rsidRPr="00B366AE" w14:paraId="215AA512"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18E35AE6" w14:textId="77777777" w:rsidR="001259BF" w:rsidRPr="00B366AE" w:rsidRDefault="001259BF" w:rsidP="00D7785F">
            <w:pPr>
              <w:pStyle w:val="Tabletext"/>
              <w:rPr>
                <w:lang w:eastAsia="zh-CN"/>
              </w:rPr>
            </w:pPr>
            <w:r w:rsidRPr="00B366AE">
              <w:t>CYP</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6522E01A"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5FC2848" w14:textId="77777777" w:rsidR="001259BF" w:rsidRPr="00B366AE" w:rsidRDefault="001259BF" w:rsidP="00D7785F">
            <w:pPr>
              <w:pStyle w:val="Tabletext"/>
              <w:rPr>
                <w:lang w:eastAsia="zh-CN"/>
              </w:rPr>
            </w:pPr>
            <w:r w:rsidRPr="00B366AE">
              <w:t>NOR</w:t>
            </w:r>
          </w:p>
        </w:tc>
        <w:tc>
          <w:tcPr>
            <w:tcW w:w="1830" w:type="dxa"/>
            <w:tcBorders>
              <w:top w:val="nil"/>
              <w:left w:val="nil"/>
              <w:bottom w:val="single" w:sz="4" w:space="0" w:color="auto"/>
              <w:right w:val="single" w:sz="4" w:space="0" w:color="auto"/>
            </w:tcBorders>
            <w:shd w:val="clear" w:color="auto" w:fill="auto"/>
            <w:noWrap/>
            <w:vAlign w:val="bottom"/>
          </w:tcPr>
          <w:p w14:paraId="35A1F5AC" w14:textId="77777777" w:rsidR="001259BF" w:rsidRPr="00B366AE" w:rsidRDefault="001259BF" w:rsidP="00D7785F">
            <w:pPr>
              <w:pStyle w:val="Tabletext"/>
              <w:jc w:val="center"/>
              <w:rPr>
                <w:lang w:eastAsia="zh-CN"/>
              </w:rPr>
            </w:pPr>
            <w:r w:rsidRPr="00B366AE">
              <w:t>3</w:t>
            </w:r>
          </w:p>
        </w:tc>
      </w:tr>
      <w:tr w:rsidR="001259BF" w:rsidRPr="00B366AE" w14:paraId="2A2513E9"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D7B785C" w14:textId="77777777" w:rsidR="001259BF" w:rsidRPr="00B366AE" w:rsidRDefault="001259BF" w:rsidP="00D7785F">
            <w:pPr>
              <w:pStyle w:val="Tabletext"/>
              <w:rPr>
                <w:lang w:eastAsia="zh-CN"/>
              </w:rPr>
            </w:pPr>
            <w:r w:rsidRPr="00B366AE">
              <w:t>D</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4C52C92"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B4BE45C" w14:textId="77777777" w:rsidR="001259BF" w:rsidRPr="00B366AE" w:rsidRDefault="001259BF" w:rsidP="00D7785F">
            <w:pPr>
              <w:pStyle w:val="Tabletext"/>
              <w:rPr>
                <w:lang w:eastAsia="zh-CN"/>
              </w:rPr>
            </w:pPr>
            <w:r>
              <w:t>PAK</w:t>
            </w:r>
          </w:p>
        </w:tc>
        <w:tc>
          <w:tcPr>
            <w:tcW w:w="1830" w:type="dxa"/>
            <w:tcBorders>
              <w:top w:val="nil"/>
              <w:left w:val="nil"/>
              <w:bottom w:val="single" w:sz="4" w:space="0" w:color="auto"/>
              <w:right w:val="single" w:sz="4" w:space="0" w:color="auto"/>
            </w:tcBorders>
            <w:shd w:val="clear" w:color="auto" w:fill="auto"/>
            <w:noWrap/>
            <w:vAlign w:val="bottom"/>
          </w:tcPr>
          <w:p w14:paraId="3984790F" w14:textId="77777777" w:rsidR="001259BF" w:rsidRPr="00B366AE" w:rsidRDefault="001259BF" w:rsidP="00D7785F">
            <w:pPr>
              <w:pStyle w:val="Tabletext"/>
              <w:jc w:val="center"/>
              <w:rPr>
                <w:lang w:eastAsia="zh-CN"/>
              </w:rPr>
            </w:pPr>
            <w:r>
              <w:t>1</w:t>
            </w:r>
          </w:p>
        </w:tc>
      </w:tr>
      <w:tr w:rsidR="001259BF" w:rsidRPr="00B366AE" w14:paraId="4E6A217F"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B7994DA" w14:textId="77777777" w:rsidR="001259BF" w:rsidRPr="00B366AE" w:rsidRDefault="001259BF" w:rsidP="00D7785F">
            <w:pPr>
              <w:pStyle w:val="Tabletext"/>
            </w:pPr>
            <w:r w:rsidRPr="00B366AE">
              <w:t>E</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2506CC7" w14:textId="77777777" w:rsidR="001259BF" w:rsidRPr="00B366AE" w:rsidRDefault="001259BF" w:rsidP="00D7785F">
            <w:pPr>
              <w:pStyle w:val="Tabletext"/>
              <w:jc w:val="center"/>
            </w:pPr>
            <w:r w:rsidRPr="00B366AE">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269D241" w14:textId="77777777" w:rsidR="001259BF" w:rsidRPr="00B366AE" w:rsidRDefault="001259BF" w:rsidP="00D7785F">
            <w:pPr>
              <w:pStyle w:val="Tabletext"/>
            </w:pPr>
            <w:r w:rsidRPr="00B366AE">
              <w:t>PNG</w:t>
            </w:r>
          </w:p>
        </w:tc>
        <w:tc>
          <w:tcPr>
            <w:tcW w:w="1830" w:type="dxa"/>
            <w:tcBorders>
              <w:top w:val="nil"/>
              <w:left w:val="nil"/>
              <w:bottom w:val="single" w:sz="4" w:space="0" w:color="auto"/>
              <w:right w:val="single" w:sz="4" w:space="0" w:color="auto"/>
            </w:tcBorders>
            <w:shd w:val="clear" w:color="auto" w:fill="auto"/>
            <w:noWrap/>
            <w:vAlign w:val="bottom"/>
          </w:tcPr>
          <w:p w14:paraId="40B3D7C9" w14:textId="77777777" w:rsidR="001259BF" w:rsidRPr="00B366AE" w:rsidRDefault="001259BF" w:rsidP="00D7785F">
            <w:pPr>
              <w:pStyle w:val="Tabletext"/>
              <w:jc w:val="center"/>
            </w:pPr>
            <w:r w:rsidRPr="00B366AE">
              <w:t>4</w:t>
            </w:r>
          </w:p>
        </w:tc>
      </w:tr>
      <w:tr w:rsidR="001259BF" w:rsidRPr="00B366AE" w14:paraId="306178A6"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893D90E" w14:textId="77777777" w:rsidR="001259BF" w:rsidRPr="00B366AE" w:rsidRDefault="001259BF" w:rsidP="00D7785F">
            <w:pPr>
              <w:pStyle w:val="Tabletext"/>
              <w:rPr>
                <w:lang w:eastAsia="zh-CN"/>
              </w:rPr>
            </w:pPr>
            <w:r w:rsidRPr="00B366AE">
              <w:t>EGY</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3AFAD8B6" w14:textId="77777777" w:rsidR="001259BF" w:rsidRPr="00B366AE" w:rsidRDefault="001259BF" w:rsidP="00D7785F">
            <w:pPr>
              <w:pStyle w:val="Tabletext"/>
              <w:jc w:val="center"/>
              <w:rPr>
                <w:lang w:eastAsia="zh-CN"/>
              </w:rPr>
            </w:pPr>
            <w:r w:rsidRPr="00B366AE">
              <w:t>3</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45883CD" w14:textId="77777777" w:rsidR="001259BF" w:rsidRPr="00B366AE" w:rsidRDefault="001259BF" w:rsidP="00D7785F">
            <w:pPr>
              <w:pStyle w:val="Tabletext"/>
              <w:rPr>
                <w:lang w:eastAsia="zh-CN"/>
              </w:rPr>
            </w:pPr>
            <w:r w:rsidRPr="00B366AE">
              <w:t>RUS</w:t>
            </w:r>
          </w:p>
        </w:tc>
        <w:tc>
          <w:tcPr>
            <w:tcW w:w="1830" w:type="dxa"/>
            <w:tcBorders>
              <w:top w:val="nil"/>
              <w:left w:val="nil"/>
              <w:bottom w:val="single" w:sz="4" w:space="0" w:color="auto"/>
              <w:right w:val="single" w:sz="4" w:space="0" w:color="auto"/>
            </w:tcBorders>
            <w:shd w:val="clear" w:color="auto" w:fill="auto"/>
            <w:noWrap/>
            <w:vAlign w:val="bottom"/>
          </w:tcPr>
          <w:p w14:paraId="12C52678" w14:textId="77777777" w:rsidR="001259BF" w:rsidRPr="00B366AE" w:rsidRDefault="001259BF" w:rsidP="00D7785F">
            <w:pPr>
              <w:pStyle w:val="Tabletext"/>
              <w:jc w:val="center"/>
              <w:rPr>
                <w:lang w:eastAsia="zh-CN"/>
              </w:rPr>
            </w:pPr>
            <w:r w:rsidRPr="00B366AE">
              <w:t>4</w:t>
            </w:r>
          </w:p>
        </w:tc>
      </w:tr>
      <w:tr w:rsidR="001259BF" w:rsidRPr="00B366AE" w14:paraId="24208B31"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265E54D8" w14:textId="77777777" w:rsidR="001259BF" w:rsidRPr="00B366AE" w:rsidRDefault="001259BF" w:rsidP="00D7785F">
            <w:pPr>
              <w:pStyle w:val="Tabletext"/>
              <w:rPr>
                <w:lang w:eastAsia="zh-CN"/>
              </w:rPr>
            </w:pPr>
            <w:r w:rsidRPr="00B366AE">
              <w:t>F</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BE9A276" w14:textId="77777777" w:rsidR="001259BF" w:rsidRPr="00B366AE" w:rsidRDefault="001259BF" w:rsidP="00D7785F">
            <w:pPr>
              <w:pStyle w:val="Tabletext"/>
              <w:jc w:val="center"/>
              <w:rPr>
                <w:lang w:eastAsia="zh-CN"/>
              </w:rPr>
            </w:pPr>
            <w:r w:rsidRPr="00B366AE">
              <w:t>5</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D0A40FE" w14:textId="77777777" w:rsidR="001259BF" w:rsidRPr="00B366AE" w:rsidRDefault="001259BF" w:rsidP="00D7785F">
            <w:pPr>
              <w:pStyle w:val="Tabletext"/>
              <w:rPr>
                <w:lang w:eastAsia="zh-CN"/>
              </w:rPr>
            </w:pPr>
            <w:r w:rsidRPr="00B366AE">
              <w:t>RUS/IK</w:t>
            </w:r>
          </w:p>
        </w:tc>
        <w:tc>
          <w:tcPr>
            <w:tcW w:w="1830" w:type="dxa"/>
            <w:tcBorders>
              <w:top w:val="nil"/>
              <w:left w:val="nil"/>
              <w:bottom w:val="single" w:sz="4" w:space="0" w:color="auto"/>
              <w:right w:val="single" w:sz="4" w:space="0" w:color="auto"/>
            </w:tcBorders>
            <w:shd w:val="clear" w:color="auto" w:fill="auto"/>
            <w:noWrap/>
            <w:vAlign w:val="bottom"/>
          </w:tcPr>
          <w:p w14:paraId="2D6C05A0" w14:textId="77777777" w:rsidR="001259BF" w:rsidRPr="00B366AE" w:rsidRDefault="001259BF" w:rsidP="00D7785F">
            <w:pPr>
              <w:pStyle w:val="Tabletext"/>
              <w:jc w:val="center"/>
              <w:rPr>
                <w:lang w:eastAsia="zh-CN"/>
              </w:rPr>
            </w:pPr>
            <w:r w:rsidRPr="00B366AE">
              <w:t>4</w:t>
            </w:r>
          </w:p>
        </w:tc>
      </w:tr>
      <w:tr w:rsidR="001259BF" w:rsidRPr="00B366AE" w14:paraId="563229DB"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0F8895E5" w14:textId="77777777" w:rsidR="001259BF" w:rsidRPr="00B366AE" w:rsidRDefault="001259BF" w:rsidP="00D7785F">
            <w:pPr>
              <w:pStyle w:val="Tabletext"/>
              <w:rPr>
                <w:lang w:eastAsia="zh-CN"/>
              </w:rPr>
            </w:pPr>
            <w:r w:rsidRPr="00B366AE">
              <w:t>F/EUT</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5EB236C" w14:textId="77777777" w:rsidR="001259BF" w:rsidRPr="00B366AE" w:rsidRDefault="001259BF" w:rsidP="00D7785F">
            <w:pPr>
              <w:pStyle w:val="Tabletext"/>
              <w:jc w:val="center"/>
              <w:rPr>
                <w:lang w:eastAsia="zh-CN"/>
              </w:rPr>
            </w:pPr>
            <w:r w:rsidRPr="00B366AE">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8BAA6AD" w14:textId="77777777" w:rsidR="001259BF" w:rsidRPr="00B366AE" w:rsidRDefault="001259BF" w:rsidP="00D7785F">
            <w:pPr>
              <w:pStyle w:val="Tabletext"/>
              <w:rPr>
                <w:lang w:eastAsia="zh-CN"/>
              </w:rPr>
            </w:pPr>
            <w:r w:rsidRPr="00B366AE">
              <w:t>S</w:t>
            </w:r>
          </w:p>
        </w:tc>
        <w:tc>
          <w:tcPr>
            <w:tcW w:w="1830" w:type="dxa"/>
            <w:tcBorders>
              <w:top w:val="nil"/>
              <w:left w:val="nil"/>
              <w:bottom w:val="single" w:sz="4" w:space="0" w:color="auto"/>
              <w:right w:val="single" w:sz="4" w:space="0" w:color="auto"/>
            </w:tcBorders>
            <w:shd w:val="clear" w:color="auto" w:fill="auto"/>
            <w:noWrap/>
            <w:vAlign w:val="bottom"/>
          </w:tcPr>
          <w:p w14:paraId="1B98F66B" w14:textId="77777777" w:rsidR="001259BF" w:rsidRPr="00B366AE" w:rsidRDefault="001259BF" w:rsidP="00D7785F">
            <w:pPr>
              <w:pStyle w:val="Tabletext"/>
              <w:jc w:val="center"/>
              <w:rPr>
                <w:lang w:eastAsia="zh-CN"/>
              </w:rPr>
            </w:pPr>
            <w:r w:rsidRPr="00B366AE">
              <w:t>4</w:t>
            </w:r>
          </w:p>
        </w:tc>
      </w:tr>
      <w:tr w:rsidR="001259BF" w:rsidRPr="00B366AE" w14:paraId="0145CF09"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5D7C9F3B" w14:textId="77777777" w:rsidR="001259BF" w:rsidRPr="00B366AE" w:rsidRDefault="001259BF" w:rsidP="00D7785F">
            <w:pPr>
              <w:pStyle w:val="Tabletext"/>
              <w:rPr>
                <w:lang w:eastAsia="zh-CN"/>
              </w:rPr>
            </w:pPr>
            <w:r w:rsidRPr="00B366AE">
              <w:t>G</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10F59120"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7CD2150" w14:textId="77777777" w:rsidR="001259BF" w:rsidRPr="00B366AE" w:rsidRDefault="001259BF" w:rsidP="00D7785F">
            <w:pPr>
              <w:pStyle w:val="Tabletext"/>
              <w:rPr>
                <w:lang w:eastAsia="zh-CN"/>
              </w:rPr>
            </w:pPr>
            <w:r w:rsidRPr="00B366AE">
              <w:t>TUR</w:t>
            </w:r>
          </w:p>
        </w:tc>
        <w:tc>
          <w:tcPr>
            <w:tcW w:w="1830" w:type="dxa"/>
            <w:tcBorders>
              <w:top w:val="nil"/>
              <w:left w:val="nil"/>
              <w:bottom w:val="single" w:sz="4" w:space="0" w:color="auto"/>
              <w:right w:val="single" w:sz="4" w:space="0" w:color="auto"/>
            </w:tcBorders>
            <w:shd w:val="clear" w:color="auto" w:fill="auto"/>
            <w:noWrap/>
            <w:vAlign w:val="bottom"/>
          </w:tcPr>
          <w:p w14:paraId="5383C5BD" w14:textId="77777777" w:rsidR="001259BF" w:rsidRPr="00B366AE" w:rsidRDefault="001259BF" w:rsidP="00D7785F">
            <w:pPr>
              <w:pStyle w:val="Tabletext"/>
              <w:jc w:val="center"/>
              <w:rPr>
                <w:lang w:eastAsia="zh-CN"/>
              </w:rPr>
            </w:pPr>
            <w:r>
              <w:t>3</w:t>
            </w:r>
          </w:p>
        </w:tc>
      </w:tr>
      <w:tr w:rsidR="001259BF" w:rsidRPr="00B366AE" w14:paraId="0131B52C"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E244AE8" w14:textId="77777777" w:rsidR="001259BF" w:rsidRPr="00B366AE" w:rsidRDefault="001259BF" w:rsidP="00D7785F">
            <w:pPr>
              <w:pStyle w:val="Tabletext"/>
              <w:rPr>
                <w:lang w:eastAsia="zh-CN"/>
              </w:rPr>
            </w:pPr>
            <w:r w:rsidRPr="00B366AE">
              <w:t>GRC</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15AA0CB"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CD74A2A" w14:textId="77777777" w:rsidR="001259BF" w:rsidRPr="00B366AE" w:rsidRDefault="001259BF" w:rsidP="00D7785F">
            <w:pPr>
              <w:pStyle w:val="Tabletext"/>
              <w:rPr>
                <w:lang w:eastAsia="zh-CN"/>
              </w:rPr>
            </w:pPr>
            <w:r w:rsidRPr="00B366AE">
              <w:t>UAE</w:t>
            </w:r>
          </w:p>
        </w:tc>
        <w:tc>
          <w:tcPr>
            <w:tcW w:w="1830" w:type="dxa"/>
            <w:tcBorders>
              <w:top w:val="nil"/>
              <w:left w:val="nil"/>
              <w:bottom w:val="single" w:sz="4" w:space="0" w:color="auto"/>
              <w:right w:val="single" w:sz="4" w:space="0" w:color="auto"/>
            </w:tcBorders>
            <w:shd w:val="clear" w:color="auto" w:fill="auto"/>
            <w:noWrap/>
            <w:vAlign w:val="bottom"/>
          </w:tcPr>
          <w:p w14:paraId="3A44EC80" w14:textId="77777777" w:rsidR="001259BF" w:rsidRPr="00B366AE" w:rsidRDefault="001259BF" w:rsidP="00D7785F">
            <w:pPr>
              <w:pStyle w:val="Tabletext"/>
              <w:jc w:val="center"/>
              <w:rPr>
                <w:lang w:eastAsia="zh-CN"/>
              </w:rPr>
            </w:pPr>
            <w:r>
              <w:t>4</w:t>
            </w:r>
          </w:p>
        </w:tc>
      </w:tr>
      <w:tr w:rsidR="001259BF" w:rsidRPr="00B366AE" w14:paraId="11D2199B"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6AFFF980" w14:textId="77777777" w:rsidR="001259BF" w:rsidRPr="00B366AE" w:rsidRDefault="001259BF" w:rsidP="00D7785F">
            <w:pPr>
              <w:pStyle w:val="Tabletext"/>
              <w:rPr>
                <w:lang w:eastAsia="zh-CN"/>
              </w:rPr>
            </w:pPr>
            <w:r w:rsidRPr="00B366AE">
              <w:t>HOL</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79139D42" w14:textId="77777777" w:rsidR="001259BF" w:rsidRPr="00B366AE" w:rsidRDefault="001259BF" w:rsidP="00D7785F">
            <w:pPr>
              <w:pStyle w:val="Tabletext"/>
              <w:jc w:val="center"/>
              <w:rPr>
                <w:lang w:eastAsia="zh-CN"/>
              </w:rPr>
            </w:pPr>
            <w:r>
              <w:t>8</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084D8CD" w14:textId="77777777" w:rsidR="001259BF" w:rsidRPr="00B366AE" w:rsidRDefault="001259BF" w:rsidP="00D7785F">
            <w:pPr>
              <w:pStyle w:val="Tabletext"/>
              <w:rPr>
                <w:lang w:eastAsia="zh-CN"/>
              </w:rPr>
            </w:pPr>
            <w:r>
              <w:rPr>
                <w:lang w:eastAsia="zh-CN"/>
              </w:rPr>
              <w:t>USA</w:t>
            </w:r>
          </w:p>
        </w:tc>
        <w:tc>
          <w:tcPr>
            <w:tcW w:w="1830" w:type="dxa"/>
            <w:tcBorders>
              <w:top w:val="nil"/>
              <w:left w:val="nil"/>
              <w:bottom w:val="single" w:sz="4" w:space="0" w:color="auto"/>
              <w:right w:val="single" w:sz="4" w:space="0" w:color="auto"/>
            </w:tcBorders>
            <w:shd w:val="clear" w:color="auto" w:fill="auto"/>
            <w:noWrap/>
            <w:vAlign w:val="bottom"/>
          </w:tcPr>
          <w:p w14:paraId="037DF2A3" w14:textId="77777777" w:rsidR="001259BF" w:rsidRPr="00B366AE" w:rsidRDefault="001259BF" w:rsidP="00D7785F">
            <w:pPr>
              <w:pStyle w:val="Tabletext"/>
              <w:jc w:val="center"/>
              <w:rPr>
                <w:lang w:eastAsia="zh-CN"/>
              </w:rPr>
            </w:pPr>
            <w:r>
              <w:rPr>
                <w:lang w:eastAsia="zh-CN"/>
              </w:rPr>
              <w:t>2</w:t>
            </w:r>
          </w:p>
        </w:tc>
      </w:tr>
      <w:tr w:rsidR="001259BF" w:rsidRPr="00B366AE" w14:paraId="66434E6A" w14:textId="77777777" w:rsidTr="00D7785F">
        <w:trPr>
          <w:trHeight w:val="300"/>
          <w:jc w:val="center"/>
        </w:trPr>
        <w:tc>
          <w:tcPr>
            <w:tcW w:w="1715" w:type="dxa"/>
            <w:tcBorders>
              <w:top w:val="nil"/>
              <w:left w:val="single" w:sz="4" w:space="0" w:color="auto"/>
              <w:bottom w:val="single" w:sz="4" w:space="0" w:color="auto"/>
              <w:right w:val="single" w:sz="4" w:space="0" w:color="auto"/>
            </w:tcBorders>
            <w:shd w:val="clear" w:color="auto" w:fill="auto"/>
            <w:noWrap/>
            <w:vAlign w:val="bottom"/>
          </w:tcPr>
          <w:p w14:paraId="442D0BBC" w14:textId="77777777" w:rsidR="001259BF" w:rsidRPr="00B366AE" w:rsidRDefault="001259BF" w:rsidP="00D7785F">
            <w:pPr>
              <w:pStyle w:val="Tabletext"/>
              <w:rPr>
                <w:lang w:eastAsia="zh-CN"/>
              </w:rPr>
            </w:pPr>
            <w:r w:rsidRPr="00B366AE">
              <w:t>I</w:t>
            </w:r>
          </w:p>
        </w:tc>
        <w:tc>
          <w:tcPr>
            <w:tcW w:w="1735" w:type="dxa"/>
            <w:tcBorders>
              <w:top w:val="single" w:sz="4" w:space="0" w:color="auto"/>
              <w:left w:val="nil"/>
              <w:bottom w:val="single" w:sz="4" w:space="0" w:color="auto"/>
              <w:right w:val="double" w:sz="4" w:space="0" w:color="auto"/>
            </w:tcBorders>
            <w:shd w:val="clear" w:color="auto" w:fill="auto"/>
            <w:noWrap/>
            <w:vAlign w:val="bottom"/>
          </w:tcPr>
          <w:p w14:paraId="0F27FD41" w14:textId="77777777" w:rsidR="001259BF" w:rsidRPr="00B366AE" w:rsidRDefault="001259BF" w:rsidP="00D7785F">
            <w:pPr>
              <w:pStyle w:val="Tabletext"/>
              <w:jc w:val="center"/>
              <w:rPr>
                <w:lang w:eastAsia="zh-CN"/>
              </w:rPr>
            </w:pPr>
            <w:r w:rsidRPr="00B366AE">
              <w:t>1</w:t>
            </w:r>
          </w:p>
        </w:tc>
        <w:tc>
          <w:tcPr>
            <w:tcW w:w="1715"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C2B5705" w14:textId="77777777" w:rsidR="001259BF" w:rsidRPr="00B366AE" w:rsidRDefault="001259BF" w:rsidP="00D7785F">
            <w:pPr>
              <w:pStyle w:val="Tabletext"/>
              <w:rPr>
                <w:lang w:eastAsia="zh-CN"/>
              </w:rPr>
            </w:pPr>
          </w:p>
        </w:tc>
        <w:tc>
          <w:tcPr>
            <w:tcW w:w="1830" w:type="dxa"/>
            <w:tcBorders>
              <w:top w:val="nil"/>
              <w:left w:val="nil"/>
              <w:bottom w:val="single" w:sz="4" w:space="0" w:color="auto"/>
              <w:right w:val="single" w:sz="4" w:space="0" w:color="auto"/>
            </w:tcBorders>
            <w:shd w:val="clear" w:color="auto" w:fill="auto"/>
            <w:noWrap/>
            <w:vAlign w:val="bottom"/>
          </w:tcPr>
          <w:p w14:paraId="75B61B54" w14:textId="77777777" w:rsidR="001259BF" w:rsidRPr="00B366AE" w:rsidRDefault="001259BF" w:rsidP="00D7785F">
            <w:pPr>
              <w:pStyle w:val="Tabletext"/>
              <w:jc w:val="center"/>
              <w:rPr>
                <w:lang w:eastAsia="zh-CN"/>
              </w:rPr>
            </w:pPr>
          </w:p>
        </w:tc>
      </w:tr>
    </w:tbl>
    <w:p w14:paraId="3F241DBC" w14:textId="77777777" w:rsidR="001259BF" w:rsidRDefault="001259BF" w:rsidP="001259BF">
      <w:pPr>
        <w:pStyle w:val="Tablefin"/>
      </w:pPr>
    </w:p>
    <w:p w14:paraId="67959E58" w14:textId="77777777" w:rsidR="001259BF" w:rsidRPr="00B366AE" w:rsidRDefault="001259BF" w:rsidP="001259BF">
      <w:pPr>
        <w:pStyle w:val="Heading2"/>
      </w:pPr>
      <w:r w:rsidRPr="00B366AE">
        <w:t>1.5</w:t>
      </w:r>
      <w:r w:rsidRPr="00B366AE">
        <w:tab/>
        <w:t>Administrations not having national assignments in the Plans</w:t>
      </w:r>
    </w:p>
    <w:p w14:paraId="71E88921" w14:textId="77777777" w:rsidR="001259BF" w:rsidRPr="00B366AE" w:rsidRDefault="001259BF" w:rsidP="001259BF">
      <w:pPr>
        <w:jc w:val="both"/>
        <w:rPr>
          <w:rFonts w:asciiTheme="minorHAnsi" w:hAnsiTheme="minorHAnsi" w:cstheme="minorHAnsi"/>
          <w:szCs w:val="24"/>
        </w:rPr>
      </w:pPr>
      <w:r w:rsidRPr="00B366AE">
        <w:rPr>
          <w:rFonts w:asciiTheme="minorHAnsi" w:hAnsiTheme="minorHAnsi" w:cstheme="minorHAnsi"/>
          <w:szCs w:val="24"/>
        </w:rPr>
        <w:t xml:space="preserve">In Regions 1 and 3, only the Administration of Montenegro (MNE) does not have assignments in the Appendices </w:t>
      </w:r>
      <w:r w:rsidRPr="00B366AE">
        <w:rPr>
          <w:rFonts w:asciiTheme="minorHAnsi" w:hAnsiTheme="minorHAnsi" w:cstheme="minorHAnsi"/>
          <w:b/>
          <w:bCs/>
          <w:szCs w:val="24"/>
        </w:rPr>
        <w:t>30</w:t>
      </w:r>
      <w:r w:rsidRPr="00B366AE">
        <w:rPr>
          <w:rFonts w:asciiTheme="minorHAnsi" w:hAnsiTheme="minorHAnsi" w:cstheme="minorHAnsi"/>
          <w:szCs w:val="24"/>
        </w:rPr>
        <w:t xml:space="preserve"> and </w:t>
      </w:r>
      <w:r w:rsidRPr="00B366AE">
        <w:rPr>
          <w:rFonts w:asciiTheme="minorHAnsi" w:hAnsiTheme="minorHAnsi" w:cstheme="minorHAnsi"/>
          <w:b/>
          <w:bCs/>
          <w:szCs w:val="24"/>
        </w:rPr>
        <w:t>30A</w:t>
      </w:r>
      <w:r w:rsidRPr="00B366AE">
        <w:rPr>
          <w:rFonts w:asciiTheme="minorHAnsi" w:hAnsiTheme="minorHAnsi" w:cstheme="minorHAnsi"/>
          <w:szCs w:val="24"/>
        </w:rPr>
        <w:t xml:space="preserve"> Plans.</w:t>
      </w:r>
    </w:p>
    <w:p w14:paraId="00E1BE2A" w14:textId="58B4B0B8" w:rsidR="001259BF" w:rsidRPr="00B366AE" w:rsidRDefault="001259BF" w:rsidP="001259BF">
      <w:pPr>
        <w:jc w:val="both"/>
      </w:pPr>
      <w:r>
        <w:lastRenderedPageBreak/>
        <w:t xml:space="preserve">With the assistance of the Bureau, </w:t>
      </w:r>
      <w:r w:rsidRPr="00B366AE">
        <w:t xml:space="preserve">the Administration of Montenegro </w:t>
      </w:r>
      <w:r>
        <w:t>has initiated</w:t>
      </w:r>
      <w:r w:rsidRPr="00B366AE">
        <w:t xml:space="preserve"> the procedure of Article 4 </w:t>
      </w:r>
      <w:bookmarkStart w:id="12" w:name="_Hlk132985888"/>
      <w:r w:rsidRPr="00B366AE">
        <w:t xml:space="preserve">of Appendices </w:t>
      </w:r>
      <w:r w:rsidRPr="00B366AE">
        <w:rPr>
          <w:b/>
          <w:bCs/>
        </w:rPr>
        <w:t xml:space="preserve">30 </w:t>
      </w:r>
      <w:r w:rsidRPr="00B366AE">
        <w:t xml:space="preserve">and </w:t>
      </w:r>
      <w:r w:rsidRPr="00B366AE">
        <w:rPr>
          <w:b/>
          <w:bCs/>
        </w:rPr>
        <w:t xml:space="preserve">30A </w:t>
      </w:r>
      <w:r w:rsidRPr="003C221B">
        <w:t xml:space="preserve">with a view </w:t>
      </w:r>
      <w:r w:rsidRPr="00B366AE">
        <w:t>to obtain</w:t>
      </w:r>
      <w:r>
        <w:t>ing</w:t>
      </w:r>
      <w:r w:rsidRPr="00B366AE">
        <w:t xml:space="preserve"> new frequency assignments in the Lists of additional uses over its national territory</w:t>
      </w:r>
      <w:r w:rsidRPr="005F21D0">
        <w:t xml:space="preserve"> </w:t>
      </w:r>
      <w:r>
        <w:t>at the orbital position of 21.7</w:t>
      </w:r>
      <w:r w:rsidR="0094783C">
        <w:rPr>
          <w:rFonts w:cs="Calibri"/>
        </w:rPr>
        <w:t>°</w:t>
      </w:r>
      <w:r w:rsidR="0094783C">
        <w:t> </w:t>
      </w:r>
      <w:r>
        <w:t>W</w:t>
      </w:r>
      <w:r w:rsidRPr="00B366AE">
        <w:t xml:space="preserve">. Subsequently, the Administration of Montenegro </w:t>
      </w:r>
      <w:r>
        <w:t xml:space="preserve">will be able to </w:t>
      </w:r>
      <w:r w:rsidRPr="00B366AE">
        <w:t xml:space="preserve">apply § 4.1.26 of Article 4 to request the following Conference to include its assignments in the Appendices </w:t>
      </w:r>
      <w:r w:rsidRPr="00B366AE">
        <w:rPr>
          <w:b/>
          <w:bCs/>
        </w:rPr>
        <w:t>30</w:t>
      </w:r>
      <w:r w:rsidRPr="00B366AE">
        <w:t xml:space="preserve"> and </w:t>
      </w:r>
      <w:r w:rsidRPr="00B366AE">
        <w:rPr>
          <w:b/>
          <w:bCs/>
        </w:rPr>
        <w:t>30A</w:t>
      </w:r>
      <w:r w:rsidRPr="00B366AE">
        <w:t xml:space="preserve"> Plans.</w:t>
      </w:r>
      <w:bookmarkEnd w:id="12"/>
      <w:r w:rsidRPr="00B366AE">
        <w:t xml:space="preserve"> In accordance with the decision of WRC-23, the Administration of Montenegro can apply all measures endorsed by WRC-23 relating to Resolution </w:t>
      </w:r>
      <w:r w:rsidRPr="00B366AE">
        <w:rPr>
          <w:b/>
          <w:bCs/>
        </w:rPr>
        <w:t>559 (WRC-19)</w:t>
      </w:r>
      <w:r w:rsidRPr="00B366AE">
        <w:t xml:space="preserve"> to its request for new Regions 1 </w:t>
      </w:r>
      <w:r>
        <w:t>and</w:t>
      </w:r>
      <w:r w:rsidRPr="00B366AE">
        <w:t xml:space="preserve"> 3 Plan assignments.</w:t>
      </w:r>
    </w:p>
    <w:p w14:paraId="6F48F871" w14:textId="77777777" w:rsidR="001259BF" w:rsidRPr="00B366AE" w:rsidRDefault="001259BF" w:rsidP="001259BF">
      <w:pPr>
        <w:pStyle w:val="Heading1"/>
      </w:pPr>
      <w:r w:rsidRPr="00B366AE">
        <w:t>2</w:t>
      </w:r>
      <w:r w:rsidRPr="00B366AE">
        <w:tab/>
        <w:t xml:space="preserve">Status of the plans governed by Appendices 30 and 30A in </w:t>
      </w:r>
      <w:proofErr w:type="gramStart"/>
      <w:r w:rsidRPr="00B366AE">
        <w:t>Region</w:t>
      </w:r>
      <w:proofErr w:type="gramEnd"/>
      <w:r w:rsidRPr="00B366AE">
        <w:t xml:space="preserve"> 2</w:t>
      </w:r>
    </w:p>
    <w:p w14:paraId="5D70072E" w14:textId="77777777" w:rsidR="001259BF" w:rsidRPr="00B366AE" w:rsidRDefault="001259BF" w:rsidP="001259BF">
      <w:pPr>
        <w:pStyle w:val="Heading2"/>
      </w:pPr>
      <w:r w:rsidRPr="00B366AE">
        <w:t>2.1</w:t>
      </w:r>
      <w:r w:rsidRPr="00B366AE">
        <w:tab/>
        <w:t>Overview</w:t>
      </w:r>
    </w:p>
    <w:p w14:paraId="2DD045F4" w14:textId="77777777" w:rsidR="001259BF" w:rsidRPr="00B34B71" w:rsidRDefault="001259BF" w:rsidP="001259BF">
      <w:pPr>
        <w:jc w:val="both"/>
        <w:rPr>
          <w:rFonts w:asciiTheme="minorHAnsi" w:eastAsiaTheme="minorEastAsia" w:hAnsiTheme="minorHAnsi" w:cstheme="minorHAnsi"/>
        </w:rPr>
      </w:pPr>
      <w:r w:rsidRPr="00B366AE">
        <w:rPr>
          <w:rFonts w:asciiTheme="minorHAnsi" w:eastAsiaTheme="minorEastAsia" w:hAnsiTheme="minorHAnsi" w:cstheme="minorHAnsi"/>
        </w:rPr>
        <w:t xml:space="preserve">The Plan of Appendix </w:t>
      </w:r>
      <w:r w:rsidRPr="00B366AE">
        <w:rPr>
          <w:rFonts w:asciiTheme="minorHAnsi" w:eastAsiaTheme="minorEastAsia" w:hAnsiTheme="minorHAnsi" w:cstheme="minorHAnsi"/>
          <w:b/>
          <w:bCs/>
        </w:rPr>
        <w:t>30</w:t>
      </w:r>
      <w:r w:rsidRPr="00B366AE">
        <w:rPr>
          <w:rFonts w:asciiTheme="minorHAnsi" w:eastAsiaTheme="minorEastAsia" w:hAnsiTheme="minorHAnsi" w:cstheme="minorHAnsi"/>
        </w:rPr>
        <w:t xml:space="preserve"> in Region 2 is a Plan for the BSS (downlink) in the frequency band 12.2</w:t>
      </w:r>
      <w:r>
        <w:rPr>
          <w:rFonts w:asciiTheme="minorHAnsi" w:eastAsiaTheme="minorEastAsia" w:hAnsiTheme="minorHAnsi" w:cstheme="minorHAnsi"/>
        </w:rPr>
        <w:noBreakHyphen/>
      </w:r>
      <w:r w:rsidRPr="00B366AE">
        <w:rPr>
          <w:rFonts w:asciiTheme="minorHAnsi" w:eastAsiaTheme="minorEastAsia" w:hAnsiTheme="minorHAnsi" w:cstheme="minorHAnsi"/>
        </w:rPr>
        <w:t xml:space="preserve">12.7 GHz in Region 2, together with modifications resulting from the successful application of the procedures of Article 4 of that Appendix. The Plan of Appendix </w:t>
      </w:r>
      <w:r w:rsidRPr="00B366AE">
        <w:rPr>
          <w:rFonts w:asciiTheme="minorHAnsi" w:eastAsiaTheme="minorEastAsia" w:hAnsiTheme="minorHAnsi" w:cstheme="minorHAnsi"/>
          <w:b/>
          <w:bCs/>
        </w:rPr>
        <w:t>30A</w:t>
      </w:r>
      <w:r w:rsidRPr="00B366AE">
        <w:rPr>
          <w:rFonts w:asciiTheme="minorHAnsi" w:eastAsiaTheme="minorEastAsia" w:hAnsiTheme="minorHAnsi" w:cstheme="minorHAnsi"/>
        </w:rPr>
        <w:t xml:space="preserve"> in </w:t>
      </w:r>
      <w:proofErr w:type="gramStart"/>
      <w:r w:rsidRPr="00B366AE">
        <w:rPr>
          <w:rFonts w:asciiTheme="minorHAnsi" w:eastAsiaTheme="minorEastAsia" w:hAnsiTheme="minorHAnsi" w:cstheme="minorHAnsi"/>
        </w:rPr>
        <w:t>Region</w:t>
      </w:r>
      <w:proofErr w:type="gramEnd"/>
      <w:r>
        <w:rPr>
          <w:rFonts w:asciiTheme="minorHAnsi" w:eastAsiaTheme="minorEastAsia" w:hAnsiTheme="minorHAnsi" w:cstheme="minorHAnsi"/>
        </w:rPr>
        <w:t> </w:t>
      </w:r>
      <w:r w:rsidRPr="00B366AE">
        <w:rPr>
          <w:rFonts w:asciiTheme="minorHAnsi" w:eastAsiaTheme="minorEastAsia" w:hAnsiTheme="minorHAnsi" w:cstheme="minorHAnsi"/>
        </w:rPr>
        <w:t>2 is a Plan for BSS feeder-links in the frequency band 17.3</w:t>
      </w:r>
      <w:r>
        <w:rPr>
          <w:rFonts w:asciiTheme="minorHAnsi" w:eastAsiaTheme="minorEastAsia" w:hAnsiTheme="minorHAnsi" w:cstheme="minorHAnsi"/>
        </w:rPr>
        <w:noBreakHyphen/>
      </w:r>
      <w:r w:rsidRPr="00B366AE">
        <w:rPr>
          <w:rFonts w:asciiTheme="minorHAnsi" w:eastAsiaTheme="minorEastAsia" w:hAnsiTheme="minorHAnsi" w:cstheme="minorHAnsi"/>
        </w:rPr>
        <w:t xml:space="preserve">17.8 GHz in Region 2.  </w:t>
      </w:r>
    </w:p>
    <w:p w14:paraId="2A187E1B" w14:textId="61862EF3" w:rsidR="001259BF" w:rsidRPr="00B366AE" w:rsidRDefault="001259BF" w:rsidP="001259BF">
      <w:pPr>
        <w:jc w:val="both"/>
        <w:rPr>
          <w:rFonts w:asciiTheme="minorHAnsi" w:eastAsiaTheme="minorEastAsia" w:hAnsiTheme="minorHAnsi" w:cstheme="minorHAnsi"/>
          <w:b/>
          <w:bCs/>
        </w:rPr>
      </w:pPr>
      <w:r w:rsidRPr="00B366AE">
        <w:rPr>
          <w:rFonts w:asciiTheme="minorHAnsi" w:eastAsiaTheme="minorEastAsia" w:hAnsiTheme="minorHAnsi" w:cstheme="minorHAnsi"/>
          <w:bCs/>
        </w:rPr>
        <w:t xml:space="preserve">The </w:t>
      </w:r>
      <w:r w:rsidRPr="000F3D3D">
        <w:t>Plans</w:t>
      </w:r>
      <w:r w:rsidRPr="00B366AE">
        <w:rPr>
          <w:rFonts w:asciiTheme="minorHAnsi" w:eastAsiaTheme="minorEastAsia" w:hAnsiTheme="minorHAnsi" w:cstheme="minorHAnsi"/>
          <w:bCs/>
        </w:rPr>
        <w:t xml:space="preserve"> in Region 2 do not use the concepts of additional use and List. However, Region 2 Administrations can apply the procedures of Article 4 of Appendices </w:t>
      </w:r>
      <w:r w:rsidRPr="00B34B71">
        <w:rPr>
          <w:rFonts w:asciiTheme="minorHAnsi" w:eastAsiaTheme="minorEastAsia" w:hAnsiTheme="minorHAnsi" w:cstheme="minorHAnsi"/>
          <w:b/>
          <w:bCs/>
        </w:rPr>
        <w:t>30</w:t>
      </w:r>
      <w:r w:rsidRPr="00B366AE">
        <w:rPr>
          <w:rFonts w:asciiTheme="minorHAnsi" w:eastAsiaTheme="minorEastAsia" w:hAnsiTheme="minorHAnsi" w:cstheme="minorHAnsi"/>
          <w:bCs/>
        </w:rPr>
        <w:t xml:space="preserve"> and </w:t>
      </w:r>
      <w:r w:rsidRPr="00B34B71">
        <w:rPr>
          <w:rFonts w:asciiTheme="minorHAnsi" w:eastAsiaTheme="minorEastAsia" w:hAnsiTheme="minorHAnsi" w:cstheme="minorHAnsi"/>
          <w:b/>
          <w:bCs/>
        </w:rPr>
        <w:t>30A</w:t>
      </w:r>
      <w:r w:rsidRPr="00B366AE">
        <w:rPr>
          <w:rFonts w:asciiTheme="minorHAnsi" w:eastAsiaTheme="minorEastAsia" w:hAnsiTheme="minorHAnsi" w:cstheme="minorHAnsi"/>
          <w:bCs/>
        </w:rPr>
        <w:t xml:space="preserve"> to include a new assignment in the Region 2 Plans</w:t>
      </w:r>
      <w:r w:rsidR="0094783C">
        <w:rPr>
          <w:rFonts w:asciiTheme="minorHAnsi" w:eastAsiaTheme="minorEastAsia" w:hAnsiTheme="minorHAnsi" w:cstheme="minorHAnsi"/>
          <w:bCs/>
        </w:rPr>
        <w:t>,</w:t>
      </w:r>
      <w:r w:rsidRPr="00B366AE">
        <w:rPr>
          <w:rFonts w:asciiTheme="minorHAnsi" w:eastAsiaTheme="minorEastAsia" w:hAnsiTheme="minorHAnsi" w:cstheme="minorHAnsi"/>
          <w:bCs/>
        </w:rPr>
        <w:t xml:space="preserve"> even at different orbital positions and/or with wider coverage and service areas than the national territory of the requesting administration.</w:t>
      </w:r>
    </w:p>
    <w:p w14:paraId="08AA8AD5" w14:textId="77777777" w:rsidR="001259BF" w:rsidRPr="00B366AE" w:rsidRDefault="001259BF" w:rsidP="001259BF">
      <w:pPr>
        <w:jc w:val="both"/>
        <w:rPr>
          <w:rFonts w:asciiTheme="minorHAnsi" w:eastAsiaTheme="minorEastAsia" w:hAnsiTheme="minorHAnsi" w:cstheme="minorHAnsi"/>
          <w:b/>
          <w:bCs/>
        </w:rPr>
      </w:pPr>
      <w:r w:rsidRPr="00B366AE">
        <w:rPr>
          <w:rFonts w:asciiTheme="minorHAnsi" w:eastAsiaTheme="minorEastAsia" w:hAnsiTheme="minorHAnsi" w:cstheme="minorHAnsi"/>
          <w:bCs/>
        </w:rPr>
        <w:t xml:space="preserve">All </w:t>
      </w:r>
      <w:r w:rsidRPr="000F3D3D">
        <w:t>Region</w:t>
      </w:r>
      <w:r w:rsidRPr="00B366AE">
        <w:rPr>
          <w:rFonts w:asciiTheme="minorHAnsi" w:eastAsiaTheme="minorEastAsia" w:hAnsiTheme="minorHAnsi" w:cstheme="minorHAnsi"/>
          <w:bCs/>
        </w:rPr>
        <w:t xml:space="preserve"> 2 Administrations have at least one entry in the Region 2 Plans.</w:t>
      </w:r>
    </w:p>
    <w:p w14:paraId="119CC9A0" w14:textId="77777777" w:rsidR="001259BF" w:rsidRPr="00B366AE" w:rsidRDefault="001259BF" w:rsidP="001259BF">
      <w:pPr>
        <w:jc w:val="both"/>
        <w:rPr>
          <w:rFonts w:asciiTheme="minorHAnsi" w:eastAsiaTheme="minorEastAsia" w:hAnsiTheme="minorHAnsi" w:cstheme="minorHAnsi"/>
          <w:b/>
          <w:bCs/>
        </w:rPr>
      </w:pPr>
      <w:r w:rsidRPr="00B366AE">
        <w:rPr>
          <w:rFonts w:asciiTheme="minorHAnsi" w:eastAsiaTheme="minorEastAsia" w:hAnsiTheme="minorHAnsi" w:cstheme="minorHAnsi"/>
          <w:bCs/>
        </w:rPr>
        <w:t xml:space="preserve">The </w:t>
      </w:r>
      <w:r w:rsidRPr="000F3D3D">
        <w:t>reference</w:t>
      </w:r>
      <w:r w:rsidRPr="00B366AE">
        <w:rPr>
          <w:rFonts w:asciiTheme="minorHAnsi" w:eastAsiaTheme="minorEastAsia" w:hAnsiTheme="minorHAnsi" w:cstheme="minorHAnsi"/>
          <w:bCs/>
        </w:rPr>
        <w:t xml:space="preserve"> situation of an assignment in the Region 2 Plans is represented by the OEPM (overall equivalent protection margin), which combines EPM values in both downlink and feeder uplink.</w:t>
      </w:r>
    </w:p>
    <w:p w14:paraId="46EFB419" w14:textId="77777777" w:rsidR="001259BF" w:rsidRPr="00B366AE" w:rsidRDefault="001259BF" w:rsidP="001259BF">
      <w:pPr>
        <w:pStyle w:val="Heading2"/>
      </w:pPr>
      <w:r w:rsidRPr="00B366AE">
        <w:t>2.2</w:t>
      </w:r>
      <w:r w:rsidRPr="00B366AE">
        <w:tab/>
        <w:t>Reference situation of the planned national assignments</w:t>
      </w:r>
    </w:p>
    <w:p w14:paraId="74DD0D07" w14:textId="77777777" w:rsidR="001259BF" w:rsidRPr="00B366AE" w:rsidRDefault="001259BF" w:rsidP="001259BF">
      <w:pPr>
        <w:jc w:val="both"/>
        <w:rPr>
          <w:rFonts w:asciiTheme="minorHAnsi" w:eastAsiaTheme="minorEastAsia" w:hAnsiTheme="minorHAnsi" w:cstheme="minorHAnsi"/>
          <w:b/>
          <w:bCs/>
        </w:rPr>
      </w:pPr>
      <w:r w:rsidRPr="00B366AE">
        <w:rPr>
          <w:rFonts w:asciiTheme="minorHAnsi" w:eastAsiaTheme="minorEastAsia" w:hAnsiTheme="minorHAnsi" w:cstheme="minorHAnsi"/>
          <w:bCs/>
        </w:rPr>
        <w:t xml:space="preserve">Table 6 </w:t>
      </w:r>
      <w:r w:rsidRPr="000F3D3D">
        <w:t>below</w:t>
      </w:r>
      <w:r w:rsidRPr="00B366AE">
        <w:rPr>
          <w:rFonts w:asciiTheme="minorHAnsi" w:eastAsiaTheme="minorEastAsia" w:hAnsiTheme="minorHAnsi" w:cstheme="minorHAnsi"/>
          <w:bCs/>
        </w:rPr>
        <w:t xml:space="preserve"> indicates the reference situation, in terms of the minimum and maximum values</w:t>
      </w:r>
      <w:r>
        <w:rPr>
          <w:rFonts w:asciiTheme="minorHAnsi" w:eastAsiaTheme="minorEastAsia" w:hAnsiTheme="minorHAnsi" w:cstheme="minorHAnsi"/>
          <w:bCs/>
        </w:rPr>
        <w:t> </w:t>
      </w:r>
      <w:r w:rsidRPr="00B366AE">
        <w:rPr>
          <w:rFonts w:asciiTheme="minorHAnsi" w:eastAsiaTheme="minorEastAsia" w:hAnsiTheme="minorHAnsi" w:cstheme="minorHAnsi"/>
          <w:bCs/>
        </w:rPr>
        <w:t xml:space="preserve">of OEPM, of the Region 2 Plans assignments based on the data in BR IFIC </w:t>
      </w:r>
      <w:r>
        <w:rPr>
          <w:rFonts w:asciiTheme="minorHAnsi" w:eastAsiaTheme="minorEastAsia" w:hAnsiTheme="minorHAnsi" w:cstheme="minorHAnsi"/>
          <w:bCs/>
        </w:rPr>
        <w:t>3041</w:t>
      </w:r>
      <w:r w:rsidRPr="00B366AE">
        <w:rPr>
          <w:rFonts w:asciiTheme="minorHAnsi" w:eastAsiaTheme="minorEastAsia" w:hAnsiTheme="minorHAnsi" w:cstheme="minorHAnsi"/>
          <w:bCs/>
        </w:rPr>
        <w:t xml:space="preserve"> of </w:t>
      </w:r>
      <w:r>
        <w:rPr>
          <w:rFonts w:asciiTheme="minorHAnsi" w:eastAsiaTheme="minorEastAsia" w:hAnsiTheme="minorHAnsi" w:cstheme="minorHAnsi"/>
          <w:bCs/>
        </w:rPr>
        <w:t>4 March 2025</w:t>
      </w:r>
      <w:r w:rsidRPr="00B366AE">
        <w:rPr>
          <w:rFonts w:asciiTheme="minorHAnsi" w:eastAsiaTheme="minorEastAsia" w:hAnsiTheme="minorHAnsi" w:cstheme="minorHAnsi"/>
          <w:bCs/>
        </w:rPr>
        <w:t>.</w:t>
      </w:r>
    </w:p>
    <w:p w14:paraId="5F49BF99" w14:textId="77777777" w:rsidR="001259BF" w:rsidRPr="00B366AE" w:rsidRDefault="001259BF" w:rsidP="001259BF">
      <w:pPr>
        <w:pStyle w:val="TableNo"/>
      </w:pPr>
      <w:bookmarkStart w:id="13" w:name="_Hlk163662361"/>
      <w:r w:rsidRPr="00B366AE">
        <w:t>Table 6</w:t>
      </w:r>
    </w:p>
    <w:p w14:paraId="2B484CBD" w14:textId="77777777" w:rsidR="001259BF" w:rsidRPr="00B366AE" w:rsidRDefault="001259BF" w:rsidP="001259BF">
      <w:pPr>
        <w:pStyle w:val="Tabletitle"/>
      </w:pPr>
      <w:r w:rsidRPr="00B366AE">
        <w:t xml:space="preserve">Reference situation for assignments in the Region 2 Plans </w:t>
      </w:r>
      <w:bookmarkEnd w:id="13"/>
    </w:p>
    <w:p w14:paraId="0FB4C7AE" w14:textId="77777777" w:rsidR="001259BF" w:rsidRPr="001C2782" w:rsidRDefault="001259BF" w:rsidP="001259BF">
      <w:pPr>
        <w:pStyle w:val="Tabletitle"/>
        <w:rPr>
          <w:i/>
          <w:iCs/>
        </w:rPr>
      </w:pPr>
      <w:hyperlink r:id="rId16" w:history="1">
        <w:r w:rsidRPr="001C2782">
          <w:rPr>
            <w:rStyle w:val="Hyperlink"/>
            <w:i/>
            <w:iCs/>
          </w:rPr>
          <w:t>See Table 6 here</w:t>
        </w:r>
      </w:hyperlink>
    </w:p>
    <w:p w14:paraId="255D0999" w14:textId="77777777" w:rsidR="001259BF" w:rsidRDefault="001259BF" w:rsidP="001259BF">
      <w:pPr>
        <w:pStyle w:val="Tablefin"/>
      </w:pPr>
    </w:p>
    <w:p w14:paraId="7D45EC93" w14:textId="77777777" w:rsidR="001259BF" w:rsidRDefault="001259BF" w:rsidP="001259BF">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E91B3DE" w14:textId="77777777" w:rsidR="001259BF" w:rsidRPr="00B366AE" w:rsidRDefault="001259BF" w:rsidP="001259BF">
      <w:pPr>
        <w:pStyle w:val="Parttitle"/>
      </w:pPr>
      <w:r w:rsidRPr="00B366AE">
        <w:lastRenderedPageBreak/>
        <w:t xml:space="preserve">Part II </w:t>
      </w:r>
      <w:r>
        <w:t>–</w:t>
      </w:r>
      <w:r w:rsidRPr="00B366AE">
        <w:t xml:space="preserve"> Plan for the fixed-satellite service in Appendix 30B</w:t>
      </w:r>
    </w:p>
    <w:p w14:paraId="36AE3E37" w14:textId="77777777" w:rsidR="001259BF" w:rsidRPr="00B366AE" w:rsidRDefault="001259BF" w:rsidP="001259BF">
      <w:pPr>
        <w:pStyle w:val="Heading1"/>
      </w:pPr>
      <w:r w:rsidRPr="00B366AE">
        <w:t>1</w:t>
      </w:r>
      <w:r w:rsidRPr="00B366AE">
        <w:tab/>
        <w:t>Overview</w:t>
      </w:r>
    </w:p>
    <w:p w14:paraId="5595937A" w14:textId="77777777" w:rsidR="001259BF" w:rsidRPr="00B366AE" w:rsidRDefault="001259BF" w:rsidP="001259BF">
      <w:pPr>
        <w:jc w:val="both"/>
      </w:pPr>
      <w:r w:rsidRPr="00B366AE">
        <w:t xml:space="preserve">The fixed-satellite service (FSS) Plan in Appendix </w:t>
      </w:r>
      <w:r w:rsidRPr="00B366AE">
        <w:rPr>
          <w:b/>
          <w:bCs/>
        </w:rPr>
        <w:t>30B</w:t>
      </w:r>
      <w:r w:rsidRPr="00B366AE">
        <w:t xml:space="preserve"> is an allotment Plan. It was adopted by the </w:t>
      </w:r>
      <w:r w:rsidRPr="000F3D3D">
        <w:t>World</w:t>
      </w:r>
      <w:r w:rsidRPr="00B366AE">
        <w:t xml:space="preserve"> Administrative Radio Conference 1988 (WARC Orb-88) </w:t>
      </w:r>
      <w:bookmarkStart w:id="14" w:name="_Hlk132886679"/>
      <w:r w:rsidRPr="00B366AE">
        <w:t>in the frequency bands 4 500-4 800 MHz (space-to-Earth), 6 725-7 025 MHz (Earth-to-space), 10.70-10.95 GHz (space-to-Earth), 11.20-11.45 GHz (space-to-Earth) and 12.75-13.25 GHz</w:t>
      </w:r>
      <w:bookmarkEnd w:id="14"/>
      <w:r w:rsidRPr="00B366AE">
        <w:t xml:space="preserve"> (Earth-to-space).</w:t>
      </w:r>
    </w:p>
    <w:p w14:paraId="6647A4CE" w14:textId="77777777" w:rsidR="001259BF" w:rsidRPr="00B366AE" w:rsidRDefault="001259BF" w:rsidP="001259BF">
      <w:pPr>
        <w:jc w:val="both"/>
        <w:rPr>
          <w:rFonts w:asciiTheme="minorHAnsi" w:hAnsiTheme="minorHAnsi" w:cstheme="minorHAnsi"/>
          <w:szCs w:val="24"/>
        </w:rPr>
      </w:pPr>
      <w:r w:rsidRPr="00B366AE">
        <w:rPr>
          <w:rFonts w:asciiTheme="minorHAnsi" w:hAnsiTheme="minorHAnsi" w:cstheme="minorHAnsi"/>
          <w:szCs w:val="24"/>
        </w:rPr>
        <w:t xml:space="preserve">Each </w:t>
      </w:r>
      <w:r w:rsidRPr="000F3D3D">
        <w:t>national</w:t>
      </w:r>
      <w:r w:rsidRPr="00B366AE">
        <w:rPr>
          <w:rFonts w:asciiTheme="minorHAnsi" w:hAnsiTheme="minorHAnsi" w:cstheme="minorHAnsi"/>
          <w:szCs w:val="24"/>
        </w:rPr>
        <w:t xml:space="preserve"> </w:t>
      </w:r>
      <w:r w:rsidRPr="00703349">
        <w:t>allotment</w:t>
      </w:r>
      <w:r w:rsidRPr="00B366AE">
        <w:rPr>
          <w:rFonts w:asciiTheme="minorHAnsi" w:hAnsiTheme="minorHAnsi" w:cstheme="minorHAnsi"/>
          <w:szCs w:val="24"/>
        </w:rPr>
        <w:t xml:space="preserve"> in the Plan comprises:</w:t>
      </w:r>
    </w:p>
    <w:p w14:paraId="658A6BD8" w14:textId="77777777" w:rsidR="001259BF" w:rsidRPr="00B366AE" w:rsidRDefault="001259BF" w:rsidP="001259BF">
      <w:pPr>
        <w:pStyle w:val="enumlev1"/>
      </w:pPr>
      <w:r>
        <w:t>–</w:t>
      </w:r>
      <w:r>
        <w:tab/>
      </w:r>
      <w:r w:rsidRPr="00B366AE">
        <w:t>a nominal orbital position,</w:t>
      </w:r>
    </w:p>
    <w:p w14:paraId="0A5824B9" w14:textId="77777777" w:rsidR="001259BF" w:rsidRPr="00B366AE" w:rsidRDefault="001259BF" w:rsidP="001259BF">
      <w:pPr>
        <w:pStyle w:val="enumlev1"/>
      </w:pPr>
      <w:r>
        <w:t>–</w:t>
      </w:r>
      <w:r>
        <w:tab/>
      </w:r>
      <w:r w:rsidRPr="00B366AE">
        <w:t xml:space="preserve">a bandwidth of 800 MHz (uplink and downlink), </w:t>
      </w:r>
    </w:p>
    <w:p w14:paraId="72858C38" w14:textId="77777777" w:rsidR="001259BF" w:rsidRPr="00B366AE" w:rsidRDefault="001259BF" w:rsidP="001259BF">
      <w:pPr>
        <w:pStyle w:val="enumlev1"/>
      </w:pPr>
      <w:r>
        <w:t>–</w:t>
      </w:r>
      <w:r>
        <w:tab/>
      </w:r>
      <w:r w:rsidRPr="00B366AE">
        <w:t>a service area limited to the national territory of an administration.</w:t>
      </w:r>
    </w:p>
    <w:p w14:paraId="08613755" w14:textId="77777777" w:rsidR="001259BF" w:rsidRPr="00B366AE" w:rsidRDefault="001259BF" w:rsidP="001259BF">
      <w:pPr>
        <w:jc w:val="both"/>
      </w:pPr>
      <w:r w:rsidRPr="00B366AE">
        <w:t>World Radiocommunication Conference 2007 (WRC-07) made major modifications to the procedures and updated some technical criteria of Appendix 30B.</w:t>
      </w:r>
    </w:p>
    <w:p w14:paraId="14947C71" w14:textId="77777777" w:rsidR="001259BF" w:rsidRDefault="001259BF" w:rsidP="001259BF">
      <w:pPr>
        <w:jc w:val="both"/>
      </w:pPr>
      <w:r w:rsidRPr="00B366AE">
        <w:t xml:space="preserve">World Radiocommunication Conference 2019 (WRC-19) made some further modifications to the regulatory provisions and technical criteria of Appendix </w:t>
      </w:r>
      <w:r w:rsidRPr="00B366AE">
        <w:rPr>
          <w:b/>
          <w:bCs/>
        </w:rPr>
        <w:t>30B</w:t>
      </w:r>
      <w:r w:rsidRPr="00B366AE">
        <w:t xml:space="preserve"> and introduced Resolution</w:t>
      </w:r>
      <w:r>
        <w:t> </w:t>
      </w:r>
      <w:r w:rsidRPr="00B366AE">
        <w:rPr>
          <w:b/>
          <w:bCs/>
        </w:rPr>
        <w:t>170</w:t>
      </w:r>
      <w:r>
        <w:rPr>
          <w:b/>
          <w:bCs/>
        </w:rPr>
        <w:t xml:space="preserve"> </w:t>
      </w:r>
      <w:r w:rsidRPr="003C221B">
        <w:rPr>
          <w:b/>
          <w:bCs/>
        </w:rPr>
        <w:t>(Rev.WRC-23)</w:t>
      </w:r>
      <w:r>
        <w:t xml:space="preserve"> </w:t>
      </w:r>
      <w:r w:rsidRPr="00B366AE">
        <w:t>with a view to enhancing the equitable access to these frequency bands.</w:t>
      </w:r>
      <w:r>
        <w:t xml:space="preserve"> At the time of writing this report, </w:t>
      </w:r>
      <w:r w:rsidRPr="00F85594">
        <w:t xml:space="preserve">the </w:t>
      </w:r>
      <w:r>
        <w:t xml:space="preserve">Radiocommunication </w:t>
      </w:r>
      <w:r w:rsidRPr="00F85594">
        <w:t xml:space="preserve">Bureau </w:t>
      </w:r>
      <w:r>
        <w:t xml:space="preserve">has </w:t>
      </w:r>
      <w:r w:rsidRPr="00F85594">
        <w:t>not receive</w:t>
      </w:r>
      <w:r>
        <w:t>d</w:t>
      </w:r>
      <w:r w:rsidRPr="00F85594">
        <w:t xml:space="preserve"> any request under this Resolution.</w:t>
      </w:r>
    </w:p>
    <w:p w14:paraId="1F76B63F" w14:textId="77777777" w:rsidR="001259BF" w:rsidRPr="00B366AE" w:rsidRDefault="001259BF" w:rsidP="001259BF">
      <w:pPr>
        <w:jc w:val="both"/>
      </w:pPr>
      <w:r w:rsidRPr="00B366AE">
        <w:t xml:space="preserve">WRC-23 introduced significant changes to the concept of implicit agreement </w:t>
      </w:r>
      <w:proofErr w:type="gramStart"/>
      <w:r w:rsidRPr="00B366AE">
        <w:t>in order to</w:t>
      </w:r>
      <w:proofErr w:type="gramEnd"/>
      <w:r w:rsidRPr="00B366AE">
        <w:t xml:space="preserve"> ensure more protection to the reference situation of allotments in Appendix </w:t>
      </w:r>
      <w:r w:rsidRPr="00B366AE">
        <w:rPr>
          <w:b/>
          <w:bCs/>
        </w:rPr>
        <w:t>30B</w:t>
      </w:r>
      <w:r w:rsidRPr="00B366AE">
        <w:t xml:space="preserve"> Plan. In addition, WRC-23 approved Resolution </w:t>
      </w:r>
      <w:r w:rsidRPr="00B366AE">
        <w:rPr>
          <w:b/>
          <w:bCs/>
        </w:rPr>
        <w:t>126</w:t>
      </w:r>
      <w:r w:rsidRPr="00B366AE">
        <w:t xml:space="preserve"> </w:t>
      </w:r>
      <w:r w:rsidRPr="00B366AE">
        <w:rPr>
          <w:b/>
          <w:bCs/>
        </w:rPr>
        <w:t>(WRC-23)</w:t>
      </w:r>
      <w:r w:rsidRPr="00B366AE">
        <w:t xml:space="preserve"> which provides the possibility for administrations to restore degraded reference situations of their allotments.</w:t>
      </w:r>
      <w:r>
        <w:rPr>
          <w:lang w:val="en-US"/>
        </w:rPr>
        <w:t xml:space="preserve"> Two administrations have already applied this Resolution and successfully restored </w:t>
      </w:r>
      <w:r w:rsidRPr="0005676B">
        <w:t>the</w:t>
      </w:r>
      <w:r>
        <w:t>ir</w:t>
      </w:r>
      <w:r w:rsidRPr="0005676B">
        <w:t xml:space="preserve"> reference situation</w:t>
      </w:r>
      <w:r>
        <w:rPr>
          <w:lang w:val="en-US"/>
        </w:rPr>
        <w:t>.</w:t>
      </w:r>
    </w:p>
    <w:p w14:paraId="283A5565" w14:textId="77777777" w:rsidR="001259BF" w:rsidRPr="00B366AE" w:rsidRDefault="001259BF" w:rsidP="001259BF">
      <w:pPr>
        <w:pStyle w:val="Heading1"/>
      </w:pPr>
      <w:r w:rsidRPr="00B366AE">
        <w:t>2</w:t>
      </w:r>
      <w:r w:rsidRPr="00B366AE">
        <w:tab/>
        <w:t>Reference situation of the planned national allotments</w:t>
      </w:r>
    </w:p>
    <w:p w14:paraId="60EADA9B" w14:textId="77777777" w:rsidR="001259BF" w:rsidRPr="00B366AE" w:rsidRDefault="001259BF" w:rsidP="001259BF">
      <w:pPr>
        <w:jc w:val="both"/>
        <w:rPr>
          <w:rFonts w:asciiTheme="minorHAnsi" w:hAnsiTheme="minorHAnsi" w:cstheme="minorHAnsi"/>
          <w:szCs w:val="24"/>
        </w:rPr>
      </w:pPr>
      <w:r w:rsidRPr="00B366AE">
        <w:rPr>
          <w:rFonts w:asciiTheme="minorHAnsi" w:hAnsiTheme="minorHAnsi" w:cstheme="minorHAnsi"/>
          <w:szCs w:val="24"/>
        </w:rPr>
        <w:t xml:space="preserve">The </w:t>
      </w:r>
      <w:r w:rsidRPr="00703349">
        <w:t>reference</w:t>
      </w:r>
      <w:r w:rsidRPr="00B366AE">
        <w:rPr>
          <w:rFonts w:asciiTheme="minorHAnsi" w:hAnsiTheme="minorHAnsi" w:cstheme="minorHAnsi"/>
          <w:szCs w:val="24"/>
        </w:rPr>
        <w:t xml:space="preserve"> situation of the national allotments in the Plan of Appendix </w:t>
      </w:r>
      <w:r w:rsidRPr="00B366AE">
        <w:rPr>
          <w:rFonts w:asciiTheme="minorHAnsi" w:hAnsiTheme="minorHAnsi" w:cstheme="minorHAnsi"/>
          <w:b/>
          <w:bCs/>
          <w:szCs w:val="24"/>
        </w:rPr>
        <w:t>30B</w:t>
      </w:r>
      <w:r w:rsidRPr="00B366AE">
        <w:rPr>
          <w:rFonts w:asciiTheme="minorHAnsi" w:hAnsiTheme="minorHAnsi" w:cstheme="minorHAnsi"/>
          <w:szCs w:val="24"/>
        </w:rPr>
        <w:t xml:space="preserve"> is represented by the aggregate </w:t>
      </w:r>
      <w:r w:rsidRPr="00877F27">
        <w:rPr>
          <w:rFonts w:asciiTheme="minorHAnsi" w:hAnsiTheme="minorHAnsi" w:cstheme="minorHAnsi"/>
          <w:i/>
          <w:iCs/>
          <w:szCs w:val="24"/>
        </w:rPr>
        <w:t>C</w:t>
      </w:r>
      <w:r w:rsidRPr="00B366AE">
        <w:rPr>
          <w:rFonts w:asciiTheme="minorHAnsi" w:hAnsiTheme="minorHAnsi" w:cstheme="minorHAnsi"/>
          <w:szCs w:val="24"/>
        </w:rPr>
        <w:t>/</w:t>
      </w:r>
      <w:r w:rsidRPr="00877F27">
        <w:rPr>
          <w:rFonts w:asciiTheme="minorHAnsi" w:hAnsiTheme="minorHAnsi" w:cstheme="minorHAnsi"/>
          <w:i/>
          <w:iCs/>
          <w:szCs w:val="24"/>
        </w:rPr>
        <w:t xml:space="preserve">I </w:t>
      </w:r>
      <w:r w:rsidRPr="00B366AE">
        <w:rPr>
          <w:rFonts w:asciiTheme="minorHAnsi" w:hAnsiTheme="minorHAnsi" w:cstheme="minorHAnsi"/>
          <w:szCs w:val="24"/>
        </w:rPr>
        <w:t>value at each test point.</w:t>
      </w:r>
    </w:p>
    <w:p w14:paraId="2CD16120" w14:textId="77777777" w:rsidR="001259BF" w:rsidRPr="00B366AE" w:rsidRDefault="001259BF" w:rsidP="001259BF">
      <w:pPr>
        <w:jc w:val="both"/>
        <w:rPr>
          <w:rFonts w:asciiTheme="minorHAnsi" w:hAnsiTheme="minorHAnsi" w:cstheme="minorHAnsi"/>
          <w:szCs w:val="24"/>
        </w:rPr>
      </w:pPr>
      <w:r w:rsidRPr="00703349">
        <w:t>Tables</w:t>
      </w:r>
      <w:r w:rsidRPr="00B366AE">
        <w:rPr>
          <w:rFonts w:asciiTheme="minorHAnsi" w:hAnsiTheme="minorHAnsi" w:cstheme="minorHAnsi"/>
          <w:szCs w:val="24"/>
        </w:rPr>
        <w:t xml:space="preserve"> 7 and 8 below show the reference situation of the national allotments as in BR</w:t>
      </w:r>
      <w:r>
        <w:rPr>
          <w:rFonts w:asciiTheme="minorHAnsi" w:hAnsiTheme="minorHAnsi" w:cstheme="minorHAnsi"/>
          <w:szCs w:val="24"/>
        </w:rPr>
        <w:t> </w:t>
      </w:r>
      <w:r w:rsidRPr="00B366AE">
        <w:rPr>
          <w:rFonts w:asciiTheme="minorHAnsi" w:hAnsiTheme="minorHAnsi" w:cstheme="minorHAnsi"/>
          <w:szCs w:val="24"/>
        </w:rPr>
        <w:t>IFIC</w:t>
      </w:r>
      <w:r>
        <w:rPr>
          <w:rFonts w:asciiTheme="minorHAnsi" w:hAnsiTheme="minorHAnsi" w:cstheme="minorHAnsi"/>
          <w:szCs w:val="24"/>
        </w:rPr>
        <w:t> </w:t>
      </w:r>
      <w:r w:rsidRPr="00B366AE">
        <w:rPr>
          <w:rFonts w:asciiTheme="minorHAnsi" w:hAnsiTheme="minorHAnsi" w:cstheme="minorHAnsi"/>
          <w:szCs w:val="24"/>
        </w:rPr>
        <w:t>30</w:t>
      </w:r>
      <w:r>
        <w:rPr>
          <w:rFonts w:asciiTheme="minorHAnsi" w:hAnsiTheme="minorHAnsi" w:cstheme="minorHAnsi"/>
          <w:szCs w:val="24"/>
        </w:rPr>
        <w:t>4</w:t>
      </w:r>
      <w:r w:rsidRPr="00B366AE">
        <w:rPr>
          <w:rFonts w:asciiTheme="minorHAnsi" w:hAnsiTheme="minorHAnsi" w:cstheme="minorHAnsi"/>
          <w:szCs w:val="24"/>
        </w:rPr>
        <w:t xml:space="preserve">1 of </w:t>
      </w:r>
      <w:r>
        <w:rPr>
          <w:rFonts w:asciiTheme="minorHAnsi" w:hAnsiTheme="minorHAnsi" w:cstheme="minorHAnsi"/>
          <w:szCs w:val="24"/>
        </w:rPr>
        <w:t>4 March 2025</w:t>
      </w:r>
      <w:r w:rsidRPr="00B366AE">
        <w:rPr>
          <w:rFonts w:asciiTheme="minorHAnsi" w:hAnsiTheme="minorHAnsi" w:cstheme="minorHAnsi"/>
          <w:szCs w:val="24"/>
        </w:rPr>
        <w:t>. As the reference situation values of most allotments are not degraded much compared with the 21</w:t>
      </w:r>
      <w:r>
        <w:rPr>
          <w:rFonts w:asciiTheme="minorHAnsi" w:hAnsiTheme="minorHAnsi" w:cstheme="minorHAnsi"/>
          <w:szCs w:val="24"/>
        </w:rPr>
        <w:t> </w:t>
      </w:r>
      <w:r w:rsidRPr="00B366AE">
        <w:rPr>
          <w:rFonts w:asciiTheme="minorHAnsi" w:hAnsiTheme="minorHAnsi" w:cstheme="minorHAnsi"/>
          <w:szCs w:val="24"/>
        </w:rPr>
        <w:t xml:space="preserve">dB criterion set forth in Appendix </w:t>
      </w:r>
      <w:r w:rsidRPr="00877F27">
        <w:rPr>
          <w:rFonts w:asciiTheme="minorHAnsi" w:hAnsiTheme="minorHAnsi" w:cstheme="minorHAnsi"/>
          <w:b/>
          <w:bCs/>
          <w:szCs w:val="24"/>
        </w:rPr>
        <w:t>30B</w:t>
      </w:r>
      <w:r w:rsidRPr="00B366AE">
        <w:rPr>
          <w:rFonts w:asciiTheme="minorHAnsi" w:hAnsiTheme="minorHAnsi" w:cstheme="minorHAnsi"/>
          <w:szCs w:val="24"/>
        </w:rPr>
        <w:t xml:space="preserve">, only the minimum aggregate </w:t>
      </w:r>
      <w:r w:rsidRPr="00877F27">
        <w:rPr>
          <w:rFonts w:asciiTheme="minorHAnsi" w:hAnsiTheme="minorHAnsi" w:cstheme="minorHAnsi"/>
          <w:i/>
          <w:iCs/>
          <w:szCs w:val="24"/>
        </w:rPr>
        <w:t>C</w:t>
      </w:r>
      <w:r w:rsidRPr="00B366AE">
        <w:rPr>
          <w:rFonts w:asciiTheme="minorHAnsi" w:hAnsiTheme="minorHAnsi" w:cstheme="minorHAnsi"/>
          <w:szCs w:val="24"/>
        </w:rPr>
        <w:t>/</w:t>
      </w:r>
      <w:r w:rsidRPr="00877F27">
        <w:rPr>
          <w:rFonts w:asciiTheme="minorHAnsi" w:hAnsiTheme="minorHAnsi" w:cstheme="minorHAnsi"/>
          <w:i/>
          <w:iCs/>
          <w:szCs w:val="24"/>
        </w:rPr>
        <w:t>I</w:t>
      </w:r>
      <w:r w:rsidRPr="00B366AE">
        <w:rPr>
          <w:rFonts w:asciiTheme="minorHAnsi" w:hAnsiTheme="minorHAnsi" w:cstheme="minorHAnsi"/>
          <w:szCs w:val="24"/>
        </w:rPr>
        <w:t xml:space="preserve"> value is shown for each allotment.</w:t>
      </w:r>
    </w:p>
    <w:p w14:paraId="7787C2EB" w14:textId="77777777" w:rsidR="001259BF" w:rsidRPr="00B366AE" w:rsidRDefault="001259BF" w:rsidP="001259BF">
      <w:pPr>
        <w:pStyle w:val="TableNo"/>
      </w:pPr>
      <w:bookmarkStart w:id="15" w:name="_Hlk163662804"/>
      <w:r w:rsidRPr="00B366AE">
        <w:t>Table 7</w:t>
      </w:r>
    </w:p>
    <w:p w14:paraId="2E4D975A" w14:textId="77777777" w:rsidR="001259BF" w:rsidRPr="00B366AE" w:rsidRDefault="001259BF" w:rsidP="001259BF">
      <w:pPr>
        <w:pStyle w:val="Tabletitle"/>
      </w:pPr>
      <w:r w:rsidRPr="00B366AE">
        <w:t>Reference situation of the national allotments in the FSS Plan</w:t>
      </w:r>
      <w:r>
        <w:br/>
      </w:r>
      <w:r w:rsidRPr="00B366AE">
        <w:t>(4 500-4 800 MHz and 6 725-7 025 MHz bands)</w:t>
      </w:r>
      <w:bookmarkEnd w:id="15"/>
    </w:p>
    <w:p w14:paraId="71B41369" w14:textId="77777777" w:rsidR="001259BF" w:rsidRPr="001C2782" w:rsidRDefault="001259BF" w:rsidP="001259BF">
      <w:pPr>
        <w:pStyle w:val="Tabletitle"/>
        <w:rPr>
          <w:i/>
          <w:iCs/>
        </w:rPr>
      </w:pPr>
      <w:hyperlink r:id="rId17" w:history="1">
        <w:r w:rsidRPr="001C2782">
          <w:rPr>
            <w:rStyle w:val="Hyperlink"/>
            <w:i/>
            <w:iCs/>
          </w:rPr>
          <w:t>See Table 7 here</w:t>
        </w:r>
      </w:hyperlink>
    </w:p>
    <w:p w14:paraId="24599A6F" w14:textId="77777777" w:rsidR="001259BF" w:rsidRDefault="001259BF" w:rsidP="001259BF">
      <w:pPr>
        <w:pStyle w:val="Tablefin"/>
      </w:pPr>
      <w:bookmarkStart w:id="16" w:name="_Hlk163663021"/>
    </w:p>
    <w:p w14:paraId="1C864E65" w14:textId="77777777" w:rsidR="001259BF" w:rsidRPr="00B366AE" w:rsidRDefault="001259BF" w:rsidP="001259BF">
      <w:pPr>
        <w:pStyle w:val="TableNo"/>
      </w:pPr>
      <w:r w:rsidRPr="00B366AE">
        <w:lastRenderedPageBreak/>
        <w:t>Table 8</w:t>
      </w:r>
    </w:p>
    <w:p w14:paraId="677A49C3" w14:textId="77777777" w:rsidR="001259BF" w:rsidRPr="00B366AE" w:rsidRDefault="001259BF" w:rsidP="001259BF">
      <w:pPr>
        <w:pStyle w:val="Tabletitle"/>
      </w:pPr>
      <w:r w:rsidRPr="00B366AE">
        <w:t>Reference situation of the national allotments in the FSS Plan</w:t>
      </w:r>
      <w:r w:rsidRPr="00B366AE">
        <w:br/>
        <w:t>(10.70-10.95 GHz, 11.20-11.45 GHz and 12.75-13.25 GHz bands)</w:t>
      </w:r>
      <w:bookmarkEnd w:id="16"/>
    </w:p>
    <w:p w14:paraId="596CAC35" w14:textId="77777777" w:rsidR="001259BF" w:rsidRPr="001C2782" w:rsidRDefault="001259BF" w:rsidP="001259BF">
      <w:pPr>
        <w:pStyle w:val="Tabletitle"/>
        <w:rPr>
          <w:i/>
          <w:iCs/>
        </w:rPr>
      </w:pPr>
      <w:hyperlink r:id="rId18" w:history="1">
        <w:r w:rsidRPr="001C2782">
          <w:rPr>
            <w:rStyle w:val="Hyperlink"/>
            <w:i/>
            <w:iCs/>
          </w:rPr>
          <w:t>See Table 8 here</w:t>
        </w:r>
      </w:hyperlink>
    </w:p>
    <w:p w14:paraId="39175C73" w14:textId="77777777" w:rsidR="001259BF" w:rsidRDefault="001259BF" w:rsidP="001259BF">
      <w:pPr>
        <w:pStyle w:val="Tablefin"/>
      </w:pPr>
    </w:p>
    <w:p w14:paraId="50427088" w14:textId="77777777" w:rsidR="001259BF" w:rsidRPr="00B366AE" w:rsidRDefault="001259BF" w:rsidP="001259BF">
      <w:pPr>
        <w:pStyle w:val="Heading1"/>
      </w:pPr>
      <w:r w:rsidRPr="00B366AE">
        <w:t>3</w:t>
      </w:r>
      <w:r w:rsidRPr="00B366AE">
        <w:tab/>
        <w:t>Summary of the situation of additional systems in the List</w:t>
      </w:r>
    </w:p>
    <w:p w14:paraId="1FE3F98F" w14:textId="5572CE52" w:rsidR="001259BF" w:rsidRPr="00B366AE" w:rsidRDefault="001259BF" w:rsidP="001259BF">
      <w:pPr>
        <w:jc w:val="both"/>
        <w:rPr>
          <w:rFonts w:asciiTheme="minorHAnsi" w:hAnsiTheme="minorHAnsi" w:cstheme="minorHAnsi"/>
          <w:szCs w:val="24"/>
        </w:rPr>
      </w:pPr>
      <w:r w:rsidRPr="00B366AE">
        <w:rPr>
          <w:rFonts w:asciiTheme="minorHAnsi" w:hAnsiTheme="minorHAnsi" w:cstheme="minorHAnsi"/>
          <w:szCs w:val="24"/>
        </w:rPr>
        <w:t xml:space="preserve">Table 9 </w:t>
      </w:r>
      <w:r w:rsidRPr="00703349">
        <w:t>below</w:t>
      </w:r>
      <w:r w:rsidRPr="00B366AE">
        <w:rPr>
          <w:rFonts w:asciiTheme="minorHAnsi" w:hAnsiTheme="minorHAnsi" w:cstheme="minorHAnsi"/>
          <w:szCs w:val="24"/>
        </w:rPr>
        <w:t xml:space="preserve"> summarizes the number of networks in the List of Appendix </w:t>
      </w:r>
      <w:r w:rsidRPr="00B366AE">
        <w:rPr>
          <w:rFonts w:asciiTheme="minorHAnsi" w:hAnsiTheme="minorHAnsi" w:cstheme="minorHAnsi"/>
          <w:b/>
          <w:bCs/>
          <w:szCs w:val="24"/>
        </w:rPr>
        <w:t>30B</w:t>
      </w:r>
      <w:r w:rsidRPr="00B366AE">
        <w:rPr>
          <w:rFonts w:asciiTheme="minorHAnsi" w:hAnsiTheme="minorHAnsi" w:cstheme="minorHAnsi"/>
          <w:szCs w:val="24"/>
        </w:rPr>
        <w:t xml:space="preserve">. They are stemming from the conversion of an allotment, </w:t>
      </w:r>
      <w:r>
        <w:rPr>
          <w:rFonts w:asciiTheme="minorHAnsi" w:hAnsiTheme="minorHAnsi" w:cstheme="minorHAnsi"/>
          <w:szCs w:val="24"/>
        </w:rPr>
        <w:t>“</w:t>
      </w:r>
      <w:r w:rsidRPr="00B366AE">
        <w:rPr>
          <w:rFonts w:asciiTheme="minorHAnsi" w:hAnsiTheme="minorHAnsi" w:cstheme="minorHAnsi"/>
          <w:szCs w:val="24"/>
        </w:rPr>
        <w:t>existing</w:t>
      </w:r>
      <w:r>
        <w:rPr>
          <w:rFonts w:asciiTheme="minorHAnsi" w:hAnsiTheme="minorHAnsi" w:cstheme="minorHAnsi"/>
          <w:szCs w:val="24"/>
        </w:rPr>
        <w:t>”</w:t>
      </w:r>
      <w:r w:rsidRPr="00B366AE">
        <w:rPr>
          <w:rFonts w:asciiTheme="minorHAnsi" w:hAnsiTheme="minorHAnsi" w:cstheme="minorHAnsi"/>
          <w:szCs w:val="24"/>
        </w:rPr>
        <w:t xml:space="preserve"> systems (see Resolution </w:t>
      </w:r>
      <w:r w:rsidRPr="00B366AE">
        <w:rPr>
          <w:rFonts w:asciiTheme="minorHAnsi" w:hAnsiTheme="minorHAnsi" w:cstheme="minorHAnsi"/>
          <w:b/>
          <w:bCs/>
          <w:szCs w:val="24"/>
        </w:rPr>
        <w:t>148 (Rev.WRC-15)</w:t>
      </w:r>
      <w:r w:rsidRPr="00B366AE">
        <w:rPr>
          <w:rFonts w:asciiTheme="minorHAnsi" w:hAnsiTheme="minorHAnsi" w:cstheme="minorHAnsi"/>
          <w:szCs w:val="24"/>
        </w:rPr>
        <w:t>) or additional systems. The numbers are based on the data of BR IFIC 30</w:t>
      </w:r>
      <w:r>
        <w:rPr>
          <w:rFonts w:asciiTheme="minorHAnsi" w:hAnsiTheme="minorHAnsi" w:cstheme="minorHAnsi"/>
          <w:szCs w:val="24"/>
        </w:rPr>
        <w:t>41</w:t>
      </w:r>
      <w:r w:rsidRPr="00B366AE">
        <w:rPr>
          <w:rFonts w:asciiTheme="minorHAnsi" w:hAnsiTheme="minorHAnsi" w:cstheme="minorHAnsi"/>
          <w:szCs w:val="24"/>
        </w:rPr>
        <w:t xml:space="preserve"> of </w:t>
      </w:r>
      <w:r>
        <w:rPr>
          <w:rFonts w:asciiTheme="minorHAnsi" w:hAnsiTheme="minorHAnsi" w:cstheme="minorHAnsi"/>
          <w:szCs w:val="24"/>
        </w:rPr>
        <w:t>4</w:t>
      </w:r>
      <w:r w:rsidR="0094783C">
        <w:rPr>
          <w:rFonts w:asciiTheme="minorHAnsi" w:hAnsiTheme="minorHAnsi" w:cstheme="minorHAnsi"/>
          <w:szCs w:val="24"/>
        </w:rPr>
        <w:t> </w:t>
      </w:r>
      <w:r>
        <w:rPr>
          <w:rFonts w:asciiTheme="minorHAnsi" w:hAnsiTheme="minorHAnsi" w:cstheme="minorHAnsi"/>
          <w:szCs w:val="24"/>
        </w:rPr>
        <w:t>March 2025</w:t>
      </w:r>
      <w:r w:rsidRPr="00B366AE">
        <w:rPr>
          <w:rFonts w:asciiTheme="minorHAnsi" w:hAnsiTheme="minorHAnsi" w:cstheme="minorHAnsi"/>
          <w:szCs w:val="24"/>
        </w:rPr>
        <w:t>.</w:t>
      </w:r>
    </w:p>
    <w:p w14:paraId="07E9A8DC" w14:textId="77777777" w:rsidR="001259BF" w:rsidRPr="00B366AE" w:rsidRDefault="001259BF" w:rsidP="001259BF">
      <w:pPr>
        <w:pStyle w:val="TableNo"/>
      </w:pPr>
      <w:bookmarkStart w:id="17" w:name="_Hlk163663154"/>
      <w:r w:rsidRPr="00B366AE">
        <w:t>Table 9</w:t>
      </w:r>
    </w:p>
    <w:p w14:paraId="29FFC575" w14:textId="77777777" w:rsidR="001259BF" w:rsidRPr="00B366AE" w:rsidRDefault="001259BF" w:rsidP="001259BF">
      <w:pPr>
        <w:pStyle w:val="Tabletitle"/>
        <w:rPr>
          <w:bCs/>
        </w:rPr>
      </w:pPr>
      <w:r w:rsidRPr="00B366AE">
        <w:t xml:space="preserve">Number of networks included in the List of Appendix </w:t>
      </w:r>
      <w:r w:rsidRPr="00B366AE">
        <w:rPr>
          <w:bCs/>
        </w:rPr>
        <w:t>30B</w:t>
      </w:r>
      <w:bookmarkEnd w:id="17"/>
    </w:p>
    <w:p w14:paraId="5446E28F" w14:textId="77777777" w:rsidR="001259BF" w:rsidRPr="001C2782" w:rsidRDefault="001259BF" w:rsidP="001259BF">
      <w:pPr>
        <w:pStyle w:val="Tabletitle"/>
        <w:rPr>
          <w:i/>
          <w:iCs/>
        </w:rPr>
      </w:pPr>
      <w:hyperlink r:id="rId19" w:history="1">
        <w:r w:rsidRPr="001C2782">
          <w:rPr>
            <w:rStyle w:val="Hyperlink"/>
            <w:i/>
            <w:iCs/>
          </w:rPr>
          <w:t>See Table 9 here</w:t>
        </w:r>
      </w:hyperlink>
    </w:p>
    <w:p w14:paraId="3E6E659C" w14:textId="77777777" w:rsidR="001259BF" w:rsidRDefault="001259BF" w:rsidP="001259BF">
      <w:pPr>
        <w:pStyle w:val="Tablefin"/>
      </w:pPr>
    </w:p>
    <w:p w14:paraId="2C3CED76" w14:textId="77777777" w:rsidR="001259BF" w:rsidRPr="00B366AE" w:rsidRDefault="001259BF" w:rsidP="001259BF">
      <w:pPr>
        <w:pStyle w:val="Heading1"/>
      </w:pPr>
      <w:r w:rsidRPr="00B366AE">
        <w:t>4</w:t>
      </w:r>
      <w:r w:rsidRPr="00B366AE">
        <w:tab/>
        <w:t>Administrations not having a national allotment in the Plan</w:t>
      </w:r>
    </w:p>
    <w:p w14:paraId="386E8EE6" w14:textId="77777777" w:rsidR="001259BF" w:rsidRPr="00B366AE" w:rsidRDefault="001259BF" w:rsidP="001259BF">
      <w:pPr>
        <w:jc w:val="both"/>
        <w:rPr>
          <w:rFonts w:asciiTheme="minorHAnsi" w:hAnsiTheme="minorHAnsi" w:cstheme="minorHAnsi"/>
          <w:szCs w:val="24"/>
        </w:rPr>
      </w:pPr>
      <w:proofErr w:type="gramStart"/>
      <w:r w:rsidRPr="00B366AE">
        <w:rPr>
          <w:rFonts w:asciiTheme="minorHAnsi" w:hAnsiTheme="minorHAnsi" w:cstheme="minorHAnsi"/>
          <w:szCs w:val="24"/>
        </w:rPr>
        <w:t xml:space="preserve">A </w:t>
      </w:r>
      <w:r w:rsidRPr="00703349">
        <w:t>number</w:t>
      </w:r>
      <w:r w:rsidRPr="00B366AE">
        <w:rPr>
          <w:rFonts w:asciiTheme="minorHAnsi" w:hAnsiTheme="minorHAnsi" w:cstheme="minorHAnsi"/>
          <w:szCs w:val="24"/>
        </w:rPr>
        <w:t xml:space="preserve"> of</w:t>
      </w:r>
      <w:proofErr w:type="gramEnd"/>
      <w:r w:rsidRPr="00B366AE">
        <w:rPr>
          <w:rFonts w:asciiTheme="minorHAnsi" w:hAnsiTheme="minorHAnsi" w:cstheme="minorHAnsi"/>
          <w:szCs w:val="24"/>
        </w:rPr>
        <w:t xml:space="preserve"> Administrations do not have an allotment in the Appendix </w:t>
      </w:r>
      <w:r w:rsidRPr="0076360E">
        <w:rPr>
          <w:rFonts w:asciiTheme="minorHAnsi" w:hAnsiTheme="minorHAnsi" w:cstheme="minorHAnsi"/>
          <w:b/>
          <w:bCs/>
          <w:szCs w:val="24"/>
        </w:rPr>
        <w:t>30B</w:t>
      </w:r>
      <w:r w:rsidRPr="00B366AE">
        <w:rPr>
          <w:rFonts w:asciiTheme="minorHAnsi" w:hAnsiTheme="minorHAnsi" w:cstheme="minorHAnsi"/>
          <w:szCs w:val="24"/>
        </w:rPr>
        <w:t xml:space="preserve"> Plan or assignments in the List, essentially because they joined the Union after 1988. Article 7 of Appendix </w:t>
      </w:r>
      <w:r w:rsidRPr="00B366AE">
        <w:rPr>
          <w:rFonts w:asciiTheme="minorHAnsi" w:hAnsiTheme="minorHAnsi" w:cstheme="minorHAnsi"/>
          <w:b/>
          <w:bCs/>
          <w:szCs w:val="24"/>
        </w:rPr>
        <w:t xml:space="preserve">30B </w:t>
      </w:r>
      <w:r w:rsidRPr="00B366AE">
        <w:rPr>
          <w:rFonts w:asciiTheme="minorHAnsi" w:hAnsiTheme="minorHAnsi" w:cstheme="minorHAnsi"/>
          <w:szCs w:val="24"/>
        </w:rPr>
        <w:t xml:space="preserve">provides ways for those new Member States to request for national allotments. WRC-23 approved specific measures to facilitate a new ITU Member State to overcome difficulties in application of that Article </w:t>
      </w:r>
      <w:proofErr w:type="gramStart"/>
      <w:r w:rsidRPr="00B366AE">
        <w:rPr>
          <w:rFonts w:asciiTheme="minorHAnsi" w:hAnsiTheme="minorHAnsi" w:cstheme="minorHAnsi"/>
          <w:szCs w:val="24"/>
        </w:rPr>
        <w:t>in order to</w:t>
      </w:r>
      <w:proofErr w:type="gramEnd"/>
      <w:r w:rsidRPr="00B366AE">
        <w:rPr>
          <w:rFonts w:asciiTheme="minorHAnsi" w:hAnsiTheme="minorHAnsi" w:cstheme="minorHAnsi"/>
          <w:szCs w:val="24"/>
        </w:rPr>
        <w:t xml:space="preserve"> obtain a national allotment.</w:t>
      </w:r>
    </w:p>
    <w:p w14:paraId="046CEEE4" w14:textId="77777777" w:rsidR="001259BF" w:rsidRDefault="001259BF" w:rsidP="001259BF">
      <w:pPr>
        <w:jc w:val="both"/>
        <w:rPr>
          <w:rFonts w:asciiTheme="minorHAnsi" w:hAnsiTheme="minorHAnsi" w:cstheme="minorBidi"/>
        </w:rPr>
      </w:pPr>
      <w:r w:rsidRPr="00B366AE">
        <w:rPr>
          <w:rFonts w:asciiTheme="minorHAnsi" w:hAnsiTheme="minorHAnsi" w:cstheme="minorBidi"/>
        </w:rPr>
        <w:t xml:space="preserve">At the time of writing this report, there are seven (7) Administrations, which do not have an </w:t>
      </w:r>
      <w:r w:rsidRPr="00703349">
        <w:t>allotment</w:t>
      </w:r>
      <w:r w:rsidRPr="00B366AE">
        <w:rPr>
          <w:rFonts w:asciiTheme="minorHAnsi" w:hAnsiTheme="minorHAnsi" w:cstheme="minorBidi"/>
        </w:rPr>
        <w:t xml:space="preserve"> in the Appendix </w:t>
      </w:r>
      <w:r w:rsidRPr="00B366AE">
        <w:rPr>
          <w:rFonts w:asciiTheme="minorHAnsi" w:hAnsiTheme="minorHAnsi" w:cstheme="minorBidi"/>
          <w:b/>
          <w:bCs/>
        </w:rPr>
        <w:t>30B</w:t>
      </w:r>
      <w:r w:rsidRPr="00B366AE">
        <w:rPr>
          <w:rFonts w:asciiTheme="minorHAnsi" w:hAnsiTheme="minorHAnsi" w:cstheme="minorBidi"/>
        </w:rPr>
        <w:t xml:space="preserve"> Plan: Eritrea, Estonia, Latvia, Saint Lucia, Tajikistan, Timor-Leste (Dem. Rep. of), and Turkmenistan. Furthermore, the State of Palestine</w:t>
      </w:r>
      <w:r w:rsidRPr="00B366AE">
        <w:rPr>
          <w:rStyle w:val="FootnoteReference"/>
          <w:rFonts w:cstheme="minorBidi"/>
        </w:rPr>
        <w:footnoteReference w:id="1"/>
      </w:r>
      <w:r w:rsidRPr="00B366AE">
        <w:rPr>
          <w:rFonts w:asciiTheme="minorHAnsi" w:hAnsiTheme="minorHAnsi" w:cstheme="minorBidi"/>
        </w:rPr>
        <w:t xml:space="preserve"> does not have an allotment in the Appendix </w:t>
      </w:r>
      <w:r w:rsidRPr="00B366AE">
        <w:rPr>
          <w:rFonts w:asciiTheme="minorHAnsi" w:hAnsiTheme="minorHAnsi" w:cstheme="minorBidi"/>
          <w:b/>
          <w:bCs/>
        </w:rPr>
        <w:t>30B</w:t>
      </w:r>
      <w:r w:rsidRPr="00B366AE">
        <w:rPr>
          <w:rFonts w:asciiTheme="minorHAnsi" w:hAnsiTheme="minorHAnsi" w:cstheme="minorBidi"/>
        </w:rPr>
        <w:t xml:space="preserve"> Plan whereas it has planned frequency assignments in the Appendices </w:t>
      </w:r>
      <w:r w:rsidRPr="00B366AE">
        <w:rPr>
          <w:rFonts w:asciiTheme="minorHAnsi" w:hAnsiTheme="minorHAnsi" w:cstheme="minorBidi"/>
          <w:b/>
          <w:bCs/>
        </w:rPr>
        <w:t>30</w:t>
      </w:r>
      <w:r w:rsidRPr="00B366AE">
        <w:rPr>
          <w:rFonts w:asciiTheme="minorHAnsi" w:hAnsiTheme="minorHAnsi" w:cstheme="minorBidi"/>
        </w:rPr>
        <w:t xml:space="preserve"> and </w:t>
      </w:r>
      <w:r w:rsidRPr="00B366AE">
        <w:rPr>
          <w:rFonts w:asciiTheme="minorHAnsi" w:hAnsiTheme="minorHAnsi" w:cstheme="minorBidi"/>
          <w:b/>
          <w:bCs/>
        </w:rPr>
        <w:t>30A</w:t>
      </w:r>
      <w:r w:rsidRPr="00B366AE">
        <w:rPr>
          <w:rFonts w:asciiTheme="minorHAnsi" w:hAnsiTheme="minorHAnsi" w:cstheme="minorBidi"/>
        </w:rPr>
        <w:t xml:space="preserve"> Plans. Following the advice of the Radio Regulations Board, WRC-23 instructed the Bureau to contact these seven administrations and the State of Palestine with a view to identifying orbital resources, should they wish to initiate the process under Article 7 of Appendix </w:t>
      </w:r>
      <w:r w:rsidRPr="00B366AE">
        <w:rPr>
          <w:rFonts w:asciiTheme="minorHAnsi" w:hAnsiTheme="minorHAnsi" w:cstheme="minorBidi"/>
          <w:b/>
          <w:bCs/>
        </w:rPr>
        <w:t>30B</w:t>
      </w:r>
      <w:r w:rsidRPr="00B366AE">
        <w:rPr>
          <w:rFonts w:asciiTheme="minorHAnsi" w:hAnsiTheme="minorHAnsi" w:cstheme="minorBidi"/>
        </w:rPr>
        <w:t>.</w:t>
      </w:r>
    </w:p>
    <w:p w14:paraId="6215526E" w14:textId="77777777" w:rsidR="001259BF" w:rsidRPr="00B366AE" w:rsidRDefault="001259BF" w:rsidP="001259BF">
      <w:pPr>
        <w:jc w:val="both"/>
        <w:rPr>
          <w:rFonts w:asciiTheme="minorHAnsi" w:hAnsiTheme="minorHAnsi" w:cstheme="minorBidi"/>
        </w:rPr>
      </w:pPr>
      <w:r w:rsidRPr="00195129">
        <w:rPr>
          <w:rFonts w:asciiTheme="minorHAnsi" w:hAnsiTheme="minorHAnsi" w:cstheme="minorBidi"/>
        </w:rPr>
        <w:t xml:space="preserve">In addition, in the Appendix </w:t>
      </w:r>
      <w:r w:rsidRPr="007811F0">
        <w:rPr>
          <w:rFonts w:asciiTheme="minorHAnsi" w:hAnsiTheme="minorHAnsi" w:cstheme="minorBidi"/>
          <w:b/>
          <w:bCs/>
        </w:rPr>
        <w:t>30B</w:t>
      </w:r>
      <w:r w:rsidRPr="00195129">
        <w:rPr>
          <w:rFonts w:asciiTheme="minorHAnsi" w:hAnsiTheme="minorHAnsi" w:cstheme="minorBidi"/>
        </w:rPr>
        <w:t xml:space="preserve"> Plan, </w:t>
      </w:r>
      <w:r>
        <w:rPr>
          <w:rFonts w:asciiTheme="minorHAnsi" w:hAnsiTheme="minorHAnsi" w:cstheme="minorBidi"/>
        </w:rPr>
        <w:t xml:space="preserve">the </w:t>
      </w:r>
      <w:r w:rsidRPr="00195129">
        <w:rPr>
          <w:rFonts w:asciiTheme="minorHAnsi" w:hAnsiTheme="minorHAnsi" w:cstheme="minorBidi"/>
        </w:rPr>
        <w:t>allotment XCQ00000 is a common allotment of the Federated States of Micronesia and the Republic of Palau. Following Palau's official recognition as a new Member State of the ITU, the two concerned Administrations, together with the United States of America (the notifying administration for XCQ00000),</w:t>
      </w:r>
      <w:r>
        <w:rPr>
          <w:rFonts w:asciiTheme="minorHAnsi" w:hAnsiTheme="minorHAnsi" w:cstheme="minorBidi"/>
        </w:rPr>
        <w:t xml:space="preserve"> </w:t>
      </w:r>
      <w:r w:rsidRPr="00195129">
        <w:rPr>
          <w:rFonts w:asciiTheme="minorHAnsi" w:hAnsiTheme="minorHAnsi" w:cstheme="minorBidi"/>
        </w:rPr>
        <w:t xml:space="preserve">should </w:t>
      </w:r>
      <w:r>
        <w:rPr>
          <w:rFonts w:asciiTheme="minorHAnsi" w:hAnsiTheme="minorHAnsi" w:cstheme="minorBidi"/>
        </w:rPr>
        <w:t xml:space="preserve">take a decision on </w:t>
      </w:r>
      <w:r w:rsidRPr="00195129">
        <w:rPr>
          <w:rFonts w:asciiTheme="minorHAnsi" w:hAnsiTheme="minorHAnsi" w:cstheme="minorBidi"/>
        </w:rPr>
        <w:t>the status of this allotment.</w:t>
      </w:r>
    </w:p>
    <w:p w14:paraId="6708293D" w14:textId="77777777" w:rsidR="001259BF" w:rsidRPr="00B366AE" w:rsidRDefault="001259BF" w:rsidP="001259BF">
      <w:pPr>
        <w:pStyle w:val="Heading1"/>
      </w:pPr>
      <w:r w:rsidRPr="00B366AE">
        <w:lastRenderedPageBreak/>
        <w:t>5</w:t>
      </w:r>
      <w:r w:rsidRPr="00B366AE">
        <w:tab/>
        <w:t xml:space="preserve">Difficulties to operate a modern FSS system with the parameters of Appendix </w:t>
      </w:r>
      <w:r w:rsidRPr="00B366AE">
        <w:rPr>
          <w:szCs w:val="28"/>
        </w:rPr>
        <w:t>30B</w:t>
      </w:r>
    </w:p>
    <w:p w14:paraId="3F22FCDA" w14:textId="77777777" w:rsidR="001259BF" w:rsidRPr="00B366AE" w:rsidRDefault="001259BF" w:rsidP="001259BF">
      <w:pPr>
        <w:jc w:val="both"/>
      </w:pPr>
      <w:proofErr w:type="gramStart"/>
      <w:r w:rsidRPr="00B366AE">
        <w:t>In spite of the fact that</w:t>
      </w:r>
      <w:proofErr w:type="gramEnd"/>
      <w:r w:rsidRPr="00B366AE">
        <w:t xml:space="preserve"> WRC-07 revised the basic technical characteristics of the FSS Plan allotments based on the technology then available, some of these technical parameters have become obsolete. </w:t>
      </w:r>
    </w:p>
    <w:p w14:paraId="3C4AFC0E" w14:textId="77777777" w:rsidR="001259BF" w:rsidRPr="00B366AE" w:rsidRDefault="001259BF" w:rsidP="001259BF">
      <w:pPr>
        <w:jc w:val="both"/>
      </w:pPr>
      <w:r w:rsidRPr="00B366AE">
        <w:rPr>
          <w:rFonts w:asciiTheme="minorHAnsi" w:hAnsiTheme="minorHAnsi" w:cstheme="minorHAnsi"/>
          <w:szCs w:val="24"/>
        </w:rPr>
        <w:t xml:space="preserve">In </w:t>
      </w:r>
      <w:r w:rsidRPr="00703349">
        <w:t>particular</w:t>
      </w:r>
      <w:r w:rsidRPr="00B366AE">
        <w:rPr>
          <w:rFonts w:asciiTheme="minorHAnsi" w:hAnsiTheme="minorHAnsi" w:cstheme="minorHAnsi"/>
          <w:szCs w:val="24"/>
        </w:rPr>
        <w:t xml:space="preserve">, </w:t>
      </w:r>
      <w:r w:rsidRPr="00B427F0">
        <w:t>the</w:t>
      </w:r>
      <w:r w:rsidRPr="00B366AE">
        <w:rPr>
          <w:rFonts w:asciiTheme="minorHAnsi" w:hAnsiTheme="minorHAnsi" w:cstheme="minorHAnsi"/>
          <w:szCs w:val="24"/>
        </w:rPr>
        <w:t xml:space="preserve"> Plan assumes that earth stations with an antenna diameter of 5.5 m in the 6/4 GHz bands and of 2.7 m in the 12-13/10-11 GHz bands would be used. Such large antennas are not corresponding to the widely used VSAT stations and could not meet the demand for many emerging satellite applications. </w:t>
      </w:r>
      <w:r w:rsidRPr="00B366AE">
        <w:br w:type="page"/>
      </w:r>
    </w:p>
    <w:p w14:paraId="23B47C28" w14:textId="77777777" w:rsidR="001259BF" w:rsidRPr="00B427F0" w:rsidRDefault="001259BF" w:rsidP="001259BF">
      <w:pPr>
        <w:pStyle w:val="AnnexNo"/>
      </w:pPr>
      <w:bookmarkStart w:id="18" w:name="Annex2"/>
      <w:r w:rsidRPr="00867C38">
        <w:lastRenderedPageBreak/>
        <w:t>Annex 2</w:t>
      </w:r>
      <w:bookmarkEnd w:id="18"/>
    </w:p>
    <w:p w14:paraId="5E0BC08E" w14:textId="77777777" w:rsidR="001259BF" w:rsidRPr="00867C38" w:rsidRDefault="001259BF" w:rsidP="001259BF">
      <w:pPr>
        <w:pStyle w:val="Annextitle"/>
      </w:pPr>
      <w:r w:rsidRPr="00867C38">
        <w:t xml:space="preserve">Role of ITU in the implementation </w:t>
      </w:r>
      <w:r w:rsidRPr="00B427F0">
        <w:t>of</w:t>
      </w:r>
      <w:r w:rsidRPr="00867C38">
        <w:t xml:space="preserve"> the </w:t>
      </w:r>
      <w:r>
        <w:t>“</w:t>
      </w:r>
      <w:r w:rsidRPr="00867C38">
        <w:t>Space2030</w:t>
      </w:r>
      <w:r>
        <w:t>”</w:t>
      </w:r>
      <w:r w:rsidRPr="00867C38">
        <w:t xml:space="preserve"> Agenda</w:t>
      </w:r>
    </w:p>
    <w:p w14:paraId="03E6E001" w14:textId="77777777" w:rsidR="001259BF" w:rsidRPr="00867C38" w:rsidRDefault="001259BF" w:rsidP="001259BF">
      <w:pPr>
        <w:pStyle w:val="Heading1"/>
      </w:pPr>
      <w:r w:rsidRPr="00867C38">
        <w:t>1</w:t>
      </w:r>
      <w:r w:rsidRPr="00867C38">
        <w:tab/>
        <w:t>Introduction</w:t>
      </w:r>
    </w:p>
    <w:p w14:paraId="4B2C46BA" w14:textId="77777777" w:rsidR="001259BF" w:rsidRPr="00867C38" w:rsidRDefault="001259BF" w:rsidP="001259BF">
      <w:pPr>
        <w:jc w:val="both"/>
        <w:rPr>
          <w:rFonts w:asciiTheme="minorHAnsi" w:hAnsiTheme="minorHAnsi" w:cstheme="minorHAnsi"/>
          <w:szCs w:val="24"/>
        </w:rPr>
      </w:pPr>
      <w:r w:rsidRPr="00B427F0">
        <w:rPr>
          <w:rFonts w:asciiTheme="minorHAnsi" w:hAnsiTheme="minorHAnsi" w:cstheme="minorHAnsi"/>
          <w:szCs w:val="24"/>
        </w:rPr>
        <w:t xml:space="preserve">The </w:t>
      </w:r>
      <w:hyperlink r:id="rId20" w:history="1">
        <w:r>
          <w:rPr>
            <w:rFonts w:asciiTheme="minorHAnsi" w:hAnsiTheme="minorHAnsi" w:cstheme="minorHAnsi"/>
            <w:color w:val="365F91" w:themeColor="accent1" w:themeShade="BF"/>
            <w:u w:val="single"/>
          </w:rPr>
          <w:t>“</w:t>
        </w:r>
        <w:r w:rsidRPr="00B427F0">
          <w:rPr>
            <w:rFonts w:asciiTheme="minorHAnsi" w:hAnsiTheme="minorHAnsi" w:cstheme="minorHAnsi"/>
            <w:color w:val="365F91" w:themeColor="accent1" w:themeShade="BF"/>
            <w:u w:val="single"/>
          </w:rPr>
          <w:t>Space2030</w:t>
        </w:r>
        <w:r>
          <w:rPr>
            <w:rFonts w:asciiTheme="minorHAnsi" w:hAnsiTheme="minorHAnsi" w:cstheme="minorHAnsi"/>
            <w:color w:val="365F91" w:themeColor="accent1" w:themeShade="BF"/>
            <w:u w:val="single"/>
          </w:rPr>
          <w:t>”</w:t>
        </w:r>
        <w:r w:rsidRPr="00B427F0">
          <w:rPr>
            <w:rFonts w:asciiTheme="minorHAnsi" w:hAnsiTheme="minorHAnsi" w:cstheme="minorHAnsi"/>
            <w:color w:val="365F91" w:themeColor="accent1" w:themeShade="BF"/>
            <w:u w:val="single"/>
          </w:rPr>
          <w:t xml:space="preserve"> Agenda</w:t>
        </w:r>
      </w:hyperlink>
      <w:r w:rsidRPr="00B427F0">
        <w:rPr>
          <w:rFonts w:asciiTheme="minorHAnsi" w:hAnsiTheme="minorHAnsi" w:cstheme="minorHAnsi"/>
          <w:szCs w:val="24"/>
        </w:rPr>
        <w:t xml:space="preserve"> is a </w:t>
      </w:r>
      <w:r>
        <w:rPr>
          <w:rFonts w:asciiTheme="minorHAnsi" w:hAnsiTheme="minorHAnsi" w:cstheme="minorHAnsi"/>
          <w:szCs w:val="24"/>
        </w:rPr>
        <w:t>“</w:t>
      </w:r>
      <w:r w:rsidRPr="00B427F0">
        <w:rPr>
          <w:rFonts w:asciiTheme="minorHAnsi" w:hAnsiTheme="minorHAnsi" w:cstheme="minorHAnsi"/>
          <w:szCs w:val="24"/>
        </w:rPr>
        <w:t>forward-looking strategy for reaffirming and strengthening the</w:t>
      </w:r>
      <w:r w:rsidRPr="00867C38">
        <w:rPr>
          <w:rFonts w:asciiTheme="minorHAnsi" w:hAnsiTheme="minorHAnsi" w:cstheme="minorHAnsi"/>
          <w:szCs w:val="24"/>
        </w:rPr>
        <w:t xml:space="preserve"> contribution of space activities and space tools to the achievement of global agendas</w:t>
      </w:r>
      <w:r w:rsidRPr="00867C38">
        <w:rPr>
          <w:rStyle w:val="FootnoteReference"/>
          <w:rFonts w:cstheme="minorHAnsi"/>
          <w:szCs w:val="24"/>
        </w:rPr>
        <w:footnoteReference w:id="2"/>
      </w:r>
      <w:r w:rsidRPr="00867C38">
        <w:rPr>
          <w:rFonts w:asciiTheme="minorHAnsi" w:hAnsiTheme="minorHAnsi" w:cstheme="minorHAnsi"/>
          <w:szCs w:val="24"/>
        </w:rPr>
        <w:t>, addressing long-term sustainable development concerns of humankind</w:t>
      </w:r>
      <w:r>
        <w:rPr>
          <w:rFonts w:asciiTheme="minorHAnsi" w:hAnsiTheme="minorHAnsi" w:cstheme="minorHAnsi"/>
          <w:szCs w:val="24"/>
        </w:rPr>
        <w:t>”</w:t>
      </w:r>
      <w:r w:rsidRPr="00867C38">
        <w:rPr>
          <w:rFonts w:asciiTheme="minorHAnsi" w:hAnsiTheme="minorHAnsi" w:cstheme="minorHAnsi"/>
          <w:szCs w:val="24"/>
        </w:rPr>
        <w:t xml:space="preserve"> (see § 6 of the Agenda). </w:t>
      </w:r>
    </w:p>
    <w:p w14:paraId="7CA22888" w14:textId="77777777" w:rsidR="001259BF" w:rsidRPr="00867C38" w:rsidRDefault="001259BF" w:rsidP="001259BF">
      <w:pPr>
        <w:jc w:val="both"/>
        <w:rPr>
          <w:rFonts w:asciiTheme="minorHAnsi" w:hAnsiTheme="minorHAnsi" w:cstheme="minorBidi"/>
        </w:rPr>
      </w:pPr>
      <w:r w:rsidRPr="00867C38">
        <w:rPr>
          <w:rFonts w:asciiTheme="minorHAnsi" w:hAnsiTheme="minorHAnsi" w:cstheme="minorBidi"/>
        </w:rPr>
        <w:t xml:space="preserve">The </w:t>
      </w:r>
      <w:r>
        <w:rPr>
          <w:rFonts w:asciiTheme="minorHAnsi" w:hAnsiTheme="minorHAnsi" w:cstheme="minorBidi"/>
        </w:rPr>
        <w:t>“</w:t>
      </w:r>
      <w:r w:rsidRPr="00867C38">
        <w:rPr>
          <w:rFonts w:asciiTheme="minorHAnsi" w:hAnsiTheme="minorHAnsi" w:cstheme="minorBidi"/>
        </w:rPr>
        <w:t>Space2030</w:t>
      </w:r>
      <w:r>
        <w:rPr>
          <w:rFonts w:asciiTheme="minorHAnsi" w:hAnsiTheme="minorHAnsi" w:cstheme="minorBidi"/>
        </w:rPr>
        <w:t>”</w:t>
      </w:r>
      <w:r w:rsidRPr="00867C38">
        <w:rPr>
          <w:rFonts w:asciiTheme="minorHAnsi" w:hAnsiTheme="minorHAnsi" w:cstheme="minorBidi"/>
        </w:rPr>
        <w:t xml:space="preserve"> Agenda comprises a set of objectives and actions that UN Member States have agreed to pursue. </w:t>
      </w:r>
    </w:p>
    <w:p w14:paraId="73F9D6E0" w14:textId="2F240FA1" w:rsidR="001259BF" w:rsidRPr="00867C38" w:rsidRDefault="001259BF" w:rsidP="001259BF">
      <w:pPr>
        <w:jc w:val="both"/>
        <w:rPr>
          <w:rFonts w:asciiTheme="minorHAnsi" w:hAnsiTheme="minorHAnsi" w:cstheme="minorHAnsi"/>
          <w:szCs w:val="24"/>
        </w:rPr>
      </w:pPr>
      <w:r w:rsidRPr="00867C38">
        <w:rPr>
          <w:rFonts w:asciiTheme="minorHAnsi" w:hAnsiTheme="minorHAnsi" w:cstheme="minorHAnsi"/>
          <w:szCs w:val="24"/>
        </w:rPr>
        <w:t xml:space="preserve">The implementation of the </w:t>
      </w:r>
      <w:r>
        <w:rPr>
          <w:rFonts w:asciiTheme="minorHAnsi" w:hAnsiTheme="minorHAnsi" w:cstheme="minorHAnsi"/>
          <w:szCs w:val="24"/>
        </w:rPr>
        <w:t>“</w:t>
      </w:r>
      <w:r w:rsidRPr="00867C38">
        <w:rPr>
          <w:rFonts w:asciiTheme="minorHAnsi" w:hAnsiTheme="minorHAnsi" w:cstheme="minorHAnsi"/>
          <w:szCs w:val="24"/>
        </w:rPr>
        <w:t>Space2030</w:t>
      </w:r>
      <w:r>
        <w:rPr>
          <w:rFonts w:asciiTheme="minorHAnsi" w:hAnsiTheme="minorHAnsi" w:cstheme="minorHAnsi"/>
          <w:szCs w:val="24"/>
        </w:rPr>
        <w:t>”</w:t>
      </w:r>
      <w:r w:rsidRPr="00867C38">
        <w:rPr>
          <w:rFonts w:asciiTheme="minorHAnsi" w:hAnsiTheme="minorHAnsi" w:cstheme="minorHAnsi"/>
          <w:szCs w:val="24"/>
        </w:rPr>
        <w:t xml:space="preserve"> Agenda by Member States is facilitated by the establishment of partnerships as well as support from </w:t>
      </w:r>
      <w:proofErr w:type="gramStart"/>
      <w:r w:rsidRPr="00867C38">
        <w:rPr>
          <w:rFonts w:asciiTheme="minorHAnsi" w:hAnsiTheme="minorHAnsi" w:cstheme="minorHAnsi"/>
          <w:szCs w:val="24"/>
        </w:rPr>
        <w:t>a number of</w:t>
      </w:r>
      <w:proofErr w:type="gramEnd"/>
      <w:r w:rsidRPr="00867C38">
        <w:rPr>
          <w:rFonts w:asciiTheme="minorHAnsi" w:hAnsiTheme="minorHAnsi" w:cstheme="minorHAnsi"/>
          <w:szCs w:val="24"/>
        </w:rPr>
        <w:t xml:space="preserve"> international and regional mechanisms, programmes, projects and platforms described in section II of Part B of the Agenda. ITU is cooperating with, or contributing to, a number of these entities or programmes as described in the Council document on the collaboration with the United Nations system (see Document</w:t>
      </w:r>
      <w:r>
        <w:t xml:space="preserve"> </w:t>
      </w:r>
      <w:hyperlink r:id="rId21" w:history="1">
        <w:r w:rsidR="00876660" w:rsidRPr="00876660">
          <w:rPr>
            <w:rStyle w:val="Hyperlink"/>
          </w:rPr>
          <w:t>C25/55</w:t>
        </w:r>
      </w:hyperlink>
      <w:r w:rsidRPr="00867C38">
        <w:rPr>
          <w:rFonts w:asciiTheme="minorHAnsi" w:hAnsiTheme="minorHAnsi" w:cstheme="minorHAnsi"/>
          <w:szCs w:val="24"/>
        </w:rPr>
        <w:t>).</w:t>
      </w:r>
    </w:p>
    <w:p w14:paraId="52B537C0" w14:textId="14FB8634" w:rsidR="001259BF" w:rsidRPr="00FA3E7E" w:rsidRDefault="001259BF" w:rsidP="001259BF">
      <w:pPr>
        <w:pStyle w:val="Heading1"/>
      </w:pPr>
      <w:r w:rsidRPr="00FA3E7E">
        <w:t>2</w:t>
      </w:r>
      <w:r w:rsidRPr="00FA3E7E">
        <w:tab/>
        <w:t xml:space="preserve">Structure of the </w:t>
      </w:r>
      <w:r>
        <w:t>“</w:t>
      </w:r>
      <w:r w:rsidRPr="00FA3E7E">
        <w:t>Space2030</w:t>
      </w:r>
      <w:r>
        <w:t>”</w:t>
      </w:r>
      <w:r w:rsidRPr="00FA3E7E">
        <w:t xml:space="preserve"> Agenda</w:t>
      </w:r>
    </w:p>
    <w:p w14:paraId="0D289BA4" w14:textId="77777777" w:rsidR="001259BF" w:rsidRPr="00FA3E7E" w:rsidRDefault="001259BF" w:rsidP="001259BF">
      <w:pPr>
        <w:jc w:val="both"/>
        <w:rPr>
          <w:rFonts w:asciiTheme="minorHAnsi" w:hAnsiTheme="minorHAnsi" w:cstheme="minorHAnsi"/>
          <w:szCs w:val="24"/>
        </w:rPr>
      </w:pPr>
      <w:r w:rsidRPr="00FA3E7E">
        <w:rPr>
          <w:rFonts w:asciiTheme="minorHAnsi" w:hAnsiTheme="minorHAnsi" w:cstheme="minorHAnsi"/>
          <w:szCs w:val="24"/>
        </w:rPr>
        <w:t xml:space="preserve">The four overarching objectives of the </w:t>
      </w:r>
      <w:proofErr w:type="gramStart"/>
      <w:r w:rsidRPr="00FA3E7E">
        <w:rPr>
          <w:rFonts w:asciiTheme="minorHAnsi" w:hAnsiTheme="minorHAnsi" w:cstheme="minorHAnsi"/>
          <w:szCs w:val="24"/>
        </w:rPr>
        <w:t>Agenda</w:t>
      </w:r>
      <w:proofErr w:type="gramEnd"/>
      <w:r w:rsidRPr="00FA3E7E">
        <w:rPr>
          <w:rFonts w:asciiTheme="minorHAnsi" w:hAnsiTheme="minorHAnsi" w:cstheme="minorHAnsi"/>
          <w:szCs w:val="24"/>
        </w:rPr>
        <w:t xml:space="preserve"> are </w:t>
      </w:r>
      <w:r>
        <w:rPr>
          <w:rFonts w:asciiTheme="minorHAnsi" w:hAnsiTheme="minorHAnsi" w:cstheme="minorHAnsi"/>
          <w:szCs w:val="24"/>
        </w:rPr>
        <w:t>“</w:t>
      </w:r>
      <w:r w:rsidRPr="00FA3E7E">
        <w:rPr>
          <w:rFonts w:asciiTheme="minorHAnsi" w:hAnsiTheme="minorHAnsi" w:cstheme="minorHAnsi"/>
          <w:szCs w:val="24"/>
        </w:rPr>
        <w:t>structured around the four pillars of space economy, space society, space accessibility and space diplomacy. Those four pillars are complementary and mutually reinforcing</w:t>
      </w:r>
      <w:r>
        <w:rPr>
          <w:rFonts w:asciiTheme="minorHAnsi" w:hAnsiTheme="minorHAnsi" w:cstheme="minorHAnsi"/>
          <w:szCs w:val="24"/>
        </w:rPr>
        <w:t>”</w:t>
      </w:r>
      <w:r w:rsidRPr="00FA3E7E">
        <w:rPr>
          <w:rFonts w:asciiTheme="minorHAnsi" w:hAnsiTheme="minorHAnsi" w:cstheme="minorHAnsi"/>
          <w:szCs w:val="24"/>
        </w:rPr>
        <w:t xml:space="preserve"> (see § 19 of the </w:t>
      </w:r>
      <w:proofErr w:type="gramStart"/>
      <w:r w:rsidRPr="00FA3E7E">
        <w:rPr>
          <w:rFonts w:asciiTheme="minorHAnsi" w:hAnsiTheme="minorHAnsi" w:cstheme="minorHAnsi"/>
          <w:szCs w:val="24"/>
        </w:rPr>
        <w:t>Agenda</w:t>
      </w:r>
      <w:proofErr w:type="gramEnd"/>
      <w:r w:rsidRPr="00FA3E7E">
        <w:rPr>
          <w:rFonts w:asciiTheme="minorHAnsi" w:hAnsiTheme="minorHAnsi" w:cstheme="minorHAnsi"/>
          <w:szCs w:val="24"/>
        </w:rPr>
        <w:t>):</w:t>
      </w:r>
    </w:p>
    <w:p w14:paraId="69E7A2B7" w14:textId="77777777" w:rsidR="001259BF" w:rsidRPr="00B032AC" w:rsidRDefault="001259BF" w:rsidP="001259BF">
      <w:pPr>
        <w:pStyle w:val="enumlev1"/>
        <w:jc w:val="both"/>
      </w:pPr>
      <w:r>
        <w:t>–</w:t>
      </w:r>
      <w:r>
        <w:tab/>
      </w:r>
      <w:r w:rsidRPr="00B032AC">
        <w:t>Overarching objective 1: Enhance space-derived economic benefits and strengthen the role of the space sector as a major driver of sustainable development (this part contains 8 specific objectives).</w:t>
      </w:r>
    </w:p>
    <w:p w14:paraId="765A32E6" w14:textId="77777777" w:rsidR="001259BF" w:rsidRPr="00B032AC" w:rsidRDefault="001259BF" w:rsidP="001259BF">
      <w:pPr>
        <w:pStyle w:val="enumlev1"/>
        <w:jc w:val="both"/>
      </w:pPr>
      <w:r>
        <w:t>–</w:t>
      </w:r>
      <w:r>
        <w:tab/>
      </w:r>
      <w:r w:rsidRPr="00B032AC">
        <w:t>Overarching objective 2: Harness the potential of space to solve everyday challenges and leverage space-related innovation to improve the quality of life (this part contains 8 objectives).</w:t>
      </w:r>
    </w:p>
    <w:p w14:paraId="7D5F9B62" w14:textId="77777777" w:rsidR="001259BF" w:rsidRPr="00B032AC" w:rsidRDefault="001259BF" w:rsidP="001259BF">
      <w:pPr>
        <w:pStyle w:val="enumlev1"/>
        <w:jc w:val="both"/>
      </w:pPr>
      <w:r>
        <w:t>–</w:t>
      </w:r>
      <w:r>
        <w:tab/>
      </w:r>
      <w:r w:rsidRPr="00B032AC">
        <w:t xml:space="preserve">Overarching objective 3: Improve access to space for all and ensure that all countries can benefit socioeconomically from space science and technology applications and space-based data, information and products, thereby supporting the achievement of the Sustainable Development Goals (this part contains 10 objectives and is highlighted in </w:t>
      </w:r>
      <w:r w:rsidRPr="00B032AC">
        <w:rPr>
          <w:i/>
          <w:iCs/>
        </w:rPr>
        <w:t xml:space="preserve">resolves </w:t>
      </w:r>
      <w:r w:rsidRPr="00B032AC">
        <w:t xml:space="preserve">1 of Resolution 218 (Bucharest, 2022)). </w:t>
      </w:r>
    </w:p>
    <w:p w14:paraId="57D90C4A" w14:textId="77777777" w:rsidR="001259BF" w:rsidRPr="00B032AC" w:rsidRDefault="001259BF" w:rsidP="001259BF">
      <w:pPr>
        <w:pStyle w:val="enumlev1"/>
        <w:jc w:val="both"/>
      </w:pPr>
      <w:r>
        <w:t>–</w:t>
      </w:r>
      <w:r>
        <w:tab/>
      </w:r>
      <w:r w:rsidRPr="00B032AC">
        <w:t xml:space="preserve">Overarching objective 4: Build partnerships and strengthen international cooperation in the peaceful uses of outer space and in the global governance of outer space activities (this part contains 10 objectives and is mentioned in </w:t>
      </w:r>
      <w:r w:rsidRPr="00B032AC">
        <w:rPr>
          <w:i/>
          <w:iCs/>
        </w:rPr>
        <w:t>recalling c)</w:t>
      </w:r>
      <w:r w:rsidRPr="00B032AC">
        <w:t xml:space="preserve"> of Resolution 218 (Bucharest, 2022)).</w:t>
      </w:r>
    </w:p>
    <w:p w14:paraId="3CB95F4E" w14:textId="77777777" w:rsidR="001259BF" w:rsidRPr="00FA3E7E" w:rsidRDefault="001259BF" w:rsidP="001259BF">
      <w:pPr>
        <w:pStyle w:val="Heading1"/>
      </w:pPr>
      <w:r w:rsidRPr="00FA3E7E">
        <w:lastRenderedPageBreak/>
        <w:t>3</w:t>
      </w:r>
      <w:r w:rsidRPr="00FA3E7E">
        <w:tab/>
        <w:t xml:space="preserve">Contribution of ITU Thematic Priorities in the Implementation of the </w:t>
      </w:r>
      <w:r>
        <w:t>“</w:t>
      </w:r>
      <w:r w:rsidRPr="00FA3E7E">
        <w:t>Space2030</w:t>
      </w:r>
      <w:r>
        <w:t>”</w:t>
      </w:r>
      <w:r w:rsidRPr="00FA3E7E">
        <w:t xml:space="preserve"> Agenda</w:t>
      </w:r>
    </w:p>
    <w:p w14:paraId="2E8A06CF" w14:textId="77777777" w:rsidR="001259BF" w:rsidRPr="00FA3E7E" w:rsidRDefault="001259BF" w:rsidP="001259BF">
      <w:pPr>
        <w:jc w:val="both"/>
        <w:rPr>
          <w:rFonts w:asciiTheme="minorHAnsi" w:hAnsiTheme="minorHAnsi" w:cstheme="minorHAnsi"/>
          <w:szCs w:val="24"/>
        </w:rPr>
      </w:pPr>
      <w:r w:rsidRPr="00FA3E7E">
        <w:rPr>
          <w:rFonts w:asciiTheme="minorHAnsi" w:hAnsiTheme="minorHAnsi" w:cstheme="minorHAnsi"/>
          <w:szCs w:val="24"/>
        </w:rPr>
        <w:t xml:space="preserve">The ITU activities related to space are supporting most of the 36 objectives of the </w:t>
      </w:r>
      <w:r>
        <w:rPr>
          <w:rFonts w:asciiTheme="minorHAnsi" w:hAnsiTheme="minorHAnsi" w:cstheme="minorHAnsi"/>
          <w:szCs w:val="24"/>
        </w:rPr>
        <w:t>“</w:t>
      </w:r>
      <w:r w:rsidRPr="00FA3E7E">
        <w:rPr>
          <w:rFonts w:asciiTheme="minorHAnsi" w:hAnsiTheme="minorHAnsi" w:cstheme="minorHAnsi"/>
          <w:szCs w:val="24"/>
        </w:rPr>
        <w:t>Space2030</w:t>
      </w:r>
      <w:r>
        <w:rPr>
          <w:rFonts w:asciiTheme="minorHAnsi" w:hAnsiTheme="minorHAnsi" w:cstheme="minorHAnsi"/>
          <w:szCs w:val="24"/>
        </w:rPr>
        <w:t>”</w:t>
      </w:r>
      <w:r w:rsidRPr="00FA3E7E">
        <w:rPr>
          <w:rFonts w:asciiTheme="minorHAnsi" w:hAnsiTheme="minorHAnsi" w:cstheme="minorHAnsi"/>
          <w:szCs w:val="24"/>
        </w:rPr>
        <w:t xml:space="preserve"> Agenda </w:t>
      </w:r>
      <w:r w:rsidRPr="007052F4">
        <w:t>through</w:t>
      </w:r>
      <w:r w:rsidRPr="00FA3E7E">
        <w:rPr>
          <w:rFonts w:asciiTheme="minorHAnsi" w:hAnsiTheme="minorHAnsi" w:cstheme="minorHAnsi"/>
          <w:szCs w:val="24"/>
        </w:rPr>
        <w:t xml:space="preserve"> the five thematic priorities described in section 2.6 of Annex 1 to the Strategic Plan for the Union for 2024-2027 contained in Resolution 71 (Rev. Bucharest, 2022). </w:t>
      </w:r>
    </w:p>
    <w:p w14:paraId="0033F404" w14:textId="77777777" w:rsidR="001259BF" w:rsidRPr="00EE38E8" w:rsidRDefault="001259BF" w:rsidP="001259BF">
      <w:pPr>
        <w:pStyle w:val="Heading2"/>
      </w:pPr>
      <w:r w:rsidRPr="00EE38E8">
        <w:t>3.1</w:t>
      </w:r>
      <w:r w:rsidRPr="00EE38E8">
        <w:tab/>
        <w:t>Thematic Priority 1 – Spectrum use for space and terrestrial services</w:t>
      </w:r>
    </w:p>
    <w:p w14:paraId="6424F57F" w14:textId="77777777" w:rsidR="001259BF" w:rsidRPr="00EE38E8" w:rsidRDefault="001259BF" w:rsidP="001259BF">
      <w:pPr>
        <w:jc w:val="both"/>
      </w:pPr>
      <w:r w:rsidRPr="00EE38E8">
        <w:t xml:space="preserve">In the context of space services, this thematic priority aims at improving the use of the spectrum/orbit resources by radiocommunication services, while coordinating efforts to prevent and resolve harmful interference between space and earth stations of ITU Member States, therefore ensuring an interference-controlled environment for operating space systems reliant on the use of radio frequencies. </w:t>
      </w:r>
    </w:p>
    <w:p w14:paraId="78EB043E" w14:textId="77777777" w:rsidR="001259BF" w:rsidRPr="00EE46DE" w:rsidRDefault="001259BF" w:rsidP="001259BF">
      <w:pPr>
        <w:jc w:val="both"/>
        <w:rPr>
          <w:rFonts w:asciiTheme="minorHAnsi" w:hAnsiTheme="minorHAnsi" w:cstheme="minorHAnsi"/>
          <w:szCs w:val="24"/>
        </w:rPr>
      </w:pPr>
      <w:r w:rsidRPr="00EE46DE">
        <w:rPr>
          <w:rFonts w:asciiTheme="minorHAnsi" w:hAnsiTheme="minorHAnsi" w:cstheme="minorHAnsi"/>
          <w:szCs w:val="24"/>
        </w:rPr>
        <w:t xml:space="preserve">In </w:t>
      </w:r>
      <w:r w:rsidRPr="007052F4">
        <w:t>2024</w:t>
      </w:r>
      <w:r w:rsidRPr="00EE46DE">
        <w:rPr>
          <w:rFonts w:asciiTheme="minorHAnsi" w:hAnsiTheme="minorHAnsi" w:cstheme="minorHAnsi"/>
          <w:szCs w:val="24"/>
        </w:rPr>
        <w:t xml:space="preserve">, under this thematic priority, most actions were related to </w:t>
      </w:r>
      <w:r>
        <w:rPr>
          <w:rFonts w:asciiTheme="minorHAnsi" w:hAnsiTheme="minorHAnsi" w:cstheme="minorHAnsi"/>
          <w:szCs w:val="24"/>
        </w:rPr>
        <w:t>“</w:t>
      </w:r>
      <w:r w:rsidRPr="00EE46DE">
        <w:rPr>
          <w:rFonts w:asciiTheme="minorHAnsi" w:hAnsiTheme="minorHAnsi" w:cstheme="minorHAnsi"/>
          <w:szCs w:val="24"/>
        </w:rPr>
        <w:t>Space2030</w:t>
      </w:r>
      <w:r>
        <w:rPr>
          <w:rFonts w:asciiTheme="minorHAnsi" w:hAnsiTheme="minorHAnsi" w:cstheme="minorHAnsi"/>
          <w:szCs w:val="24"/>
        </w:rPr>
        <w:t>”</w:t>
      </w:r>
      <w:r w:rsidRPr="00EE46DE">
        <w:rPr>
          <w:rFonts w:asciiTheme="minorHAnsi" w:hAnsiTheme="minorHAnsi" w:cstheme="minorHAnsi"/>
          <w:szCs w:val="24"/>
        </w:rPr>
        <w:t xml:space="preserve"> agenda objectives 1.5 </w:t>
      </w:r>
      <w:r>
        <w:rPr>
          <w:rFonts w:asciiTheme="minorHAnsi" w:hAnsiTheme="minorHAnsi" w:cstheme="minorHAnsi"/>
          <w:szCs w:val="24"/>
        </w:rPr>
        <w:t>“</w:t>
      </w:r>
      <w:r w:rsidRPr="00EE46DE">
        <w:rPr>
          <w:rFonts w:asciiTheme="minorHAnsi" w:hAnsiTheme="minorHAnsi" w:cstheme="minorHAnsi"/>
          <w:szCs w:val="24"/>
        </w:rPr>
        <w:t>Enable space activities for all, based on international law, by promoting an international framework that facilitates equal access to space for all, including non-spacefaring nations, and encourages safety and innovation</w:t>
      </w:r>
      <w:r>
        <w:rPr>
          <w:rFonts w:asciiTheme="minorHAnsi" w:hAnsiTheme="minorHAnsi" w:cstheme="minorHAnsi"/>
          <w:szCs w:val="24"/>
        </w:rPr>
        <w:t>”</w:t>
      </w:r>
      <w:r w:rsidRPr="00EE46DE">
        <w:rPr>
          <w:rFonts w:asciiTheme="minorHAnsi" w:hAnsiTheme="minorHAnsi" w:cstheme="minorHAnsi"/>
          <w:szCs w:val="24"/>
        </w:rPr>
        <w:t xml:space="preserve"> and 3.6 </w:t>
      </w:r>
      <w:r>
        <w:rPr>
          <w:rFonts w:asciiTheme="minorHAnsi" w:hAnsiTheme="minorHAnsi" w:cstheme="minorHAnsi"/>
          <w:szCs w:val="24"/>
        </w:rPr>
        <w:t>“</w:t>
      </w:r>
      <w:r w:rsidRPr="00EE46DE">
        <w:rPr>
          <w:rFonts w:asciiTheme="minorHAnsi" w:hAnsiTheme="minorHAnsi" w:cstheme="minorHAnsi"/>
          <w:szCs w:val="24"/>
        </w:rPr>
        <w:t>Promote and support the use of space technologies to enhance worldwide access to data and broadband technologies, giving special attention to developing countries and areas with less-developed infrastructure</w:t>
      </w:r>
      <w:r>
        <w:rPr>
          <w:rFonts w:asciiTheme="minorHAnsi" w:hAnsiTheme="minorHAnsi" w:cstheme="minorHAnsi"/>
          <w:szCs w:val="24"/>
        </w:rPr>
        <w:t>”</w:t>
      </w:r>
      <w:r w:rsidRPr="00EE46DE">
        <w:rPr>
          <w:rFonts w:asciiTheme="minorHAnsi" w:hAnsiTheme="minorHAnsi" w:cstheme="minorHAnsi"/>
          <w:szCs w:val="24"/>
        </w:rPr>
        <w:t xml:space="preserve">: </w:t>
      </w:r>
    </w:p>
    <w:p w14:paraId="6B0EB775" w14:textId="77777777" w:rsidR="001259BF" w:rsidRPr="00B032AC" w:rsidRDefault="001259BF" w:rsidP="001259BF">
      <w:pPr>
        <w:pStyle w:val="enumlev1"/>
        <w:jc w:val="both"/>
      </w:pPr>
      <w:r>
        <w:t>–</w:t>
      </w:r>
      <w:r>
        <w:tab/>
      </w:r>
      <w:r w:rsidRPr="00B032AC">
        <w:t xml:space="preserve">ITU assisted </w:t>
      </w:r>
      <w:proofErr w:type="gramStart"/>
      <w:r w:rsidRPr="00B032AC">
        <w:t>a number of</w:t>
      </w:r>
      <w:proofErr w:type="gramEnd"/>
      <w:r w:rsidRPr="00B032AC">
        <w:t xml:space="preserve"> Member States to complete the regulatory process of coordination and notification of satellite networks so that they can successfully start operations.</w:t>
      </w:r>
    </w:p>
    <w:p w14:paraId="2EA0E3F0" w14:textId="77777777" w:rsidR="001259BF" w:rsidRPr="00B032AC" w:rsidRDefault="001259BF" w:rsidP="001259BF">
      <w:pPr>
        <w:pStyle w:val="enumlev1"/>
        <w:jc w:val="both"/>
      </w:pPr>
      <w:r>
        <w:t>–</w:t>
      </w:r>
      <w:r>
        <w:tab/>
      </w:r>
      <w:r w:rsidRPr="00B032AC">
        <w:t>ITU assisted Administrations and Satellite Operators to resolve cases of harmful interference that were preventing normal operations.</w:t>
      </w:r>
    </w:p>
    <w:p w14:paraId="6D553F55" w14:textId="77777777" w:rsidR="001259BF" w:rsidRPr="00B032AC" w:rsidRDefault="001259BF" w:rsidP="001259BF">
      <w:pPr>
        <w:pStyle w:val="enumlev1"/>
        <w:jc w:val="both"/>
      </w:pPr>
      <w:r>
        <w:t>–</w:t>
      </w:r>
      <w:r>
        <w:tab/>
        <w:t xml:space="preserve">ITU organized the </w:t>
      </w:r>
      <w:hyperlink r:id="rId22">
        <w:r w:rsidRPr="36F352F4">
          <w:rPr>
            <w:rStyle w:val="Hyperlink"/>
            <w:rFonts w:asciiTheme="minorHAnsi" w:hAnsiTheme="minorHAnsi" w:cstheme="minorBidi"/>
          </w:rPr>
          <w:t>World Radiocommunication Seminar</w:t>
        </w:r>
      </w:hyperlink>
      <w:r>
        <w:t xml:space="preserve"> in December 2024. Each World Radiocommunication Seminar deals with the use of the radio-frequency spectrum and, for space services, the associated satellite orbits, and with the application of the provisions of the ITU Radio Regulations. Updated databases and software required for the implementation of WRC-23 decisions that entered into force on 1 January 2025 was presented and hands-on exercises were proposed to the participants.</w:t>
      </w:r>
    </w:p>
    <w:p w14:paraId="7A6B9537" w14:textId="77777777" w:rsidR="001259BF" w:rsidRPr="002C1449" w:rsidRDefault="001259BF" w:rsidP="001259BF">
      <w:pPr>
        <w:jc w:val="both"/>
      </w:pPr>
      <w:r w:rsidRPr="002C1449">
        <w:t xml:space="preserve">In relation with </w:t>
      </w:r>
      <w:r>
        <w:t>“</w:t>
      </w:r>
      <w:r w:rsidRPr="002C1449">
        <w:t>Space2030</w:t>
      </w:r>
      <w:r>
        <w:t xml:space="preserve">” </w:t>
      </w:r>
      <w:r w:rsidRPr="002C1449">
        <w:t xml:space="preserve">agenda objective 3.3 </w:t>
      </w:r>
      <w:r>
        <w:t>“</w:t>
      </w:r>
      <w:r w:rsidRPr="002C1449">
        <w:t xml:space="preserve">Promote exploration beyond low Earth orbit, as the scientific, technological, economic and inspirational contributions of those missions will </w:t>
      </w:r>
      <w:r w:rsidRPr="007052F4">
        <w:t>benefit</w:t>
      </w:r>
      <w:r w:rsidRPr="002C1449">
        <w:t xml:space="preserve"> humanity</w:t>
      </w:r>
      <w:r>
        <w:t>”</w:t>
      </w:r>
      <w:r w:rsidRPr="002C1449">
        <w:t xml:space="preserve">, </w:t>
      </w:r>
      <w:hyperlink r:id="rId23" w:history="1">
        <w:r w:rsidRPr="008A51A6">
          <w:rPr>
            <w:rStyle w:val="Hyperlink"/>
            <w:rFonts w:asciiTheme="minorHAnsi" w:hAnsiTheme="minorHAnsi" w:cstheme="minorHAnsi"/>
            <w:szCs w:val="24"/>
          </w:rPr>
          <w:t>studies</w:t>
        </w:r>
      </w:hyperlink>
      <w:r w:rsidRPr="002C1449">
        <w:t xml:space="preserve"> have progressed in 2024 concerning WRC-27 agenda item </w:t>
      </w:r>
      <w:r>
        <w:t xml:space="preserve">1.15 </w:t>
      </w:r>
      <w:r w:rsidRPr="002C1449">
        <w:t xml:space="preserve">on the consideration of studies on frequency-related matters, including possible new or modified space research service (space-to-space) allocations, for future development of communications on the lunar surface and between lunar orbit and the lunar surface, in accordance with Resolution </w:t>
      </w:r>
      <w:r w:rsidRPr="002C1449">
        <w:rPr>
          <w:b/>
          <w:bCs/>
        </w:rPr>
        <w:t>680 (WRC-23)</w:t>
      </w:r>
      <w:r w:rsidRPr="002C1449">
        <w:t>.</w:t>
      </w:r>
    </w:p>
    <w:p w14:paraId="0C484A35" w14:textId="77777777" w:rsidR="001259BF" w:rsidRPr="008A51A6" w:rsidRDefault="001259BF" w:rsidP="001259BF">
      <w:pPr>
        <w:jc w:val="both"/>
        <w:rPr>
          <w:rFonts w:asciiTheme="minorHAnsi" w:hAnsiTheme="minorHAnsi" w:cstheme="minorHAnsi"/>
          <w:szCs w:val="24"/>
        </w:rPr>
      </w:pPr>
      <w:r w:rsidRPr="008A51A6">
        <w:rPr>
          <w:rFonts w:asciiTheme="minorHAnsi" w:hAnsiTheme="minorHAnsi" w:cstheme="minorHAnsi"/>
          <w:szCs w:val="24"/>
        </w:rPr>
        <w:t xml:space="preserve">Similarly, in relation with </w:t>
      </w:r>
      <w:r>
        <w:rPr>
          <w:rFonts w:asciiTheme="minorHAnsi" w:hAnsiTheme="minorHAnsi" w:cstheme="minorHAnsi"/>
          <w:szCs w:val="24"/>
        </w:rPr>
        <w:t>“</w:t>
      </w:r>
      <w:r w:rsidRPr="008A51A6">
        <w:rPr>
          <w:rFonts w:asciiTheme="minorHAnsi" w:hAnsiTheme="minorHAnsi" w:cstheme="minorHAnsi"/>
          <w:szCs w:val="24"/>
        </w:rPr>
        <w:t>Space2030</w:t>
      </w:r>
      <w:r>
        <w:rPr>
          <w:rFonts w:asciiTheme="minorHAnsi" w:hAnsiTheme="minorHAnsi" w:cstheme="minorHAnsi"/>
          <w:szCs w:val="24"/>
        </w:rPr>
        <w:t xml:space="preserve">” </w:t>
      </w:r>
      <w:r w:rsidRPr="008A51A6">
        <w:rPr>
          <w:rFonts w:asciiTheme="minorHAnsi" w:hAnsiTheme="minorHAnsi" w:cstheme="minorHAnsi"/>
          <w:szCs w:val="24"/>
        </w:rPr>
        <w:t xml:space="preserve">agenda objective 3.8 </w:t>
      </w:r>
      <w:r>
        <w:rPr>
          <w:rFonts w:asciiTheme="minorHAnsi" w:hAnsiTheme="minorHAnsi" w:cstheme="minorHAnsi"/>
          <w:szCs w:val="24"/>
        </w:rPr>
        <w:t>“</w:t>
      </w:r>
      <w:r w:rsidRPr="008A51A6">
        <w:rPr>
          <w:rFonts w:asciiTheme="minorHAnsi" w:hAnsiTheme="minorHAnsi" w:cstheme="minorHAnsi"/>
          <w:szCs w:val="24"/>
        </w:rPr>
        <w:t xml:space="preserve">Increase awareness of the risks of adverse space weather and mitigate those risks, in order to ensure increased global </w:t>
      </w:r>
      <w:r w:rsidRPr="007052F4">
        <w:t>resilience</w:t>
      </w:r>
      <w:r w:rsidRPr="008A51A6">
        <w:rPr>
          <w:rFonts w:asciiTheme="minorHAnsi" w:hAnsiTheme="minorHAnsi" w:cstheme="minorHAnsi"/>
          <w:szCs w:val="24"/>
        </w:rPr>
        <w:t xml:space="preserv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r>
        <w:rPr>
          <w:rFonts w:asciiTheme="minorHAnsi" w:hAnsiTheme="minorHAnsi" w:cstheme="minorHAnsi"/>
          <w:szCs w:val="24"/>
        </w:rPr>
        <w:t>”</w:t>
      </w:r>
      <w:r w:rsidRPr="008A51A6">
        <w:rPr>
          <w:rFonts w:asciiTheme="minorHAnsi" w:hAnsiTheme="minorHAnsi" w:cstheme="minorHAnsi"/>
          <w:szCs w:val="24"/>
        </w:rPr>
        <w:t xml:space="preserve">, </w:t>
      </w:r>
      <w:hyperlink r:id="rId24" w:history="1">
        <w:r w:rsidRPr="003A0C58">
          <w:rPr>
            <w:rStyle w:val="Hyperlink"/>
            <w:rFonts w:asciiTheme="minorHAnsi" w:hAnsiTheme="minorHAnsi" w:cstheme="minorHAnsi"/>
            <w:szCs w:val="24"/>
          </w:rPr>
          <w:t>studies</w:t>
        </w:r>
      </w:hyperlink>
      <w:r>
        <w:rPr>
          <w:rFonts w:asciiTheme="minorHAnsi" w:hAnsiTheme="minorHAnsi" w:cstheme="minorHAnsi"/>
          <w:szCs w:val="24"/>
        </w:rPr>
        <w:t xml:space="preserve"> have been initiated on </w:t>
      </w:r>
      <w:r w:rsidRPr="008A51A6">
        <w:rPr>
          <w:rFonts w:asciiTheme="minorHAnsi" w:hAnsiTheme="minorHAnsi" w:cstheme="minorHAnsi"/>
          <w:szCs w:val="24"/>
        </w:rPr>
        <w:t xml:space="preserve">WRC-27 </w:t>
      </w:r>
      <w:r>
        <w:rPr>
          <w:rFonts w:asciiTheme="minorHAnsi" w:hAnsiTheme="minorHAnsi" w:cstheme="minorHAnsi"/>
          <w:szCs w:val="24"/>
        </w:rPr>
        <w:t xml:space="preserve">agenda item 1.17 on the </w:t>
      </w:r>
      <w:r w:rsidRPr="008A51A6">
        <w:rPr>
          <w:rFonts w:asciiTheme="minorHAnsi" w:hAnsiTheme="minorHAnsi" w:cstheme="minorHAnsi"/>
          <w:szCs w:val="24"/>
        </w:rPr>
        <w:lastRenderedPageBreak/>
        <w:t>consider</w:t>
      </w:r>
      <w:r>
        <w:rPr>
          <w:rFonts w:asciiTheme="minorHAnsi" w:hAnsiTheme="minorHAnsi" w:cstheme="minorHAnsi"/>
          <w:szCs w:val="24"/>
        </w:rPr>
        <w:t xml:space="preserve">ation of </w:t>
      </w:r>
      <w:r w:rsidRPr="008A51A6">
        <w:rPr>
          <w:rFonts w:asciiTheme="minorHAnsi" w:hAnsiTheme="minorHAnsi" w:cstheme="minorHAnsi"/>
          <w:szCs w:val="24"/>
        </w:rPr>
        <w:t xml:space="preserve">regulatory provisions for receive-only </w:t>
      </w:r>
      <w:r w:rsidRPr="008A51A6">
        <w:rPr>
          <w:rFonts w:asciiTheme="minorHAnsi" w:hAnsiTheme="minorHAnsi" w:cstheme="minorHAnsi"/>
          <w:spacing w:val="-2"/>
          <w:szCs w:val="24"/>
        </w:rPr>
        <w:t xml:space="preserve">space weather sensors and their protection in the Radio Regulations, taking into account the results of ITU Radiocommunication Sector studies, in accordance with Resolution </w:t>
      </w:r>
      <w:r w:rsidRPr="008A51A6">
        <w:rPr>
          <w:rFonts w:asciiTheme="minorHAnsi" w:hAnsiTheme="minorHAnsi" w:cstheme="minorHAnsi"/>
          <w:b/>
          <w:bCs/>
          <w:spacing w:val="-2"/>
          <w:szCs w:val="24"/>
        </w:rPr>
        <w:t>682 (WRC-23)</w:t>
      </w:r>
      <w:r w:rsidRPr="008A51A6">
        <w:rPr>
          <w:rFonts w:asciiTheme="minorHAnsi" w:hAnsiTheme="minorHAnsi" w:cstheme="minorHAnsi"/>
          <w:spacing w:val="-2"/>
          <w:szCs w:val="24"/>
        </w:rPr>
        <w:t>.</w:t>
      </w:r>
    </w:p>
    <w:p w14:paraId="4C538408" w14:textId="77777777" w:rsidR="001259BF" w:rsidRPr="003A3282" w:rsidRDefault="001259BF" w:rsidP="001259BF">
      <w:pPr>
        <w:jc w:val="both"/>
        <w:rPr>
          <w:rFonts w:asciiTheme="minorHAnsi" w:hAnsiTheme="minorHAnsi" w:cstheme="minorHAnsi"/>
          <w:szCs w:val="24"/>
        </w:rPr>
      </w:pPr>
      <w:r w:rsidRPr="003A3282">
        <w:rPr>
          <w:rFonts w:asciiTheme="minorHAnsi" w:hAnsiTheme="minorHAnsi" w:cstheme="minorHAnsi"/>
          <w:szCs w:val="24"/>
        </w:rPr>
        <w:t xml:space="preserve">In relation with </w:t>
      </w:r>
      <w:r>
        <w:rPr>
          <w:rFonts w:asciiTheme="minorHAnsi" w:hAnsiTheme="minorHAnsi" w:cstheme="minorHAnsi"/>
          <w:szCs w:val="24"/>
        </w:rPr>
        <w:t>“</w:t>
      </w:r>
      <w:r w:rsidRPr="003A3282">
        <w:rPr>
          <w:rFonts w:asciiTheme="minorHAnsi" w:hAnsiTheme="minorHAnsi" w:cstheme="minorHAnsi"/>
          <w:szCs w:val="24"/>
        </w:rPr>
        <w:t>Space2030</w:t>
      </w:r>
      <w:r>
        <w:rPr>
          <w:rFonts w:asciiTheme="minorHAnsi" w:hAnsiTheme="minorHAnsi" w:cstheme="minorHAnsi"/>
          <w:szCs w:val="24"/>
        </w:rPr>
        <w:t>”</w:t>
      </w:r>
      <w:r w:rsidRPr="003A3282">
        <w:rPr>
          <w:rFonts w:asciiTheme="minorHAnsi" w:hAnsiTheme="minorHAnsi" w:cstheme="minorHAnsi"/>
          <w:szCs w:val="24"/>
        </w:rPr>
        <w:t xml:space="preserve"> agenda objective 4.5 </w:t>
      </w:r>
      <w:r>
        <w:rPr>
          <w:rFonts w:asciiTheme="minorHAnsi" w:hAnsiTheme="minorHAnsi" w:cstheme="minorHAnsi"/>
          <w:szCs w:val="24"/>
        </w:rPr>
        <w:t>“</w:t>
      </w:r>
      <w:r w:rsidRPr="003A3282">
        <w:rPr>
          <w:rFonts w:asciiTheme="minorHAnsi" w:hAnsiTheme="minorHAnsi" w:cstheme="minorHAnsi"/>
          <w:szCs w:val="24"/>
        </w:rPr>
        <w:t>Ensure the long-term sustainability of outer space activities and the preservation of the outer space environment for peaceful uses, including through the implementation on a voluntary basis of the adopted preamble and the guidelines for the long-term sustainability of outer space activities and the sharing of experiences in implementing the guidelines, and address new challenges, risks and threats posed to the long-term sustainability of outer space activities</w:t>
      </w:r>
      <w:r>
        <w:rPr>
          <w:rFonts w:asciiTheme="minorHAnsi" w:hAnsiTheme="minorHAnsi" w:cstheme="minorHAnsi"/>
          <w:szCs w:val="24"/>
        </w:rPr>
        <w:t>”</w:t>
      </w:r>
      <w:r w:rsidRPr="003A3282">
        <w:rPr>
          <w:rFonts w:asciiTheme="minorHAnsi" w:hAnsiTheme="minorHAnsi" w:cstheme="minorHAnsi"/>
          <w:szCs w:val="24"/>
        </w:rPr>
        <w:t xml:space="preserve">, work on </w:t>
      </w:r>
      <w:hyperlink r:id="rId25" w:history="1">
        <w:r w:rsidRPr="003A3282">
          <w:rPr>
            <w:rStyle w:val="Hyperlink"/>
            <w:rFonts w:asciiTheme="minorHAnsi" w:hAnsiTheme="minorHAnsi" w:cstheme="minorHAnsi"/>
            <w:szCs w:val="24"/>
          </w:rPr>
          <w:t>Resolution ITU-R 74</w:t>
        </w:r>
      </w:hyperlink>
      <w:r w:rsidRPr="003A3282">
        <w:rPr>
          <w:rFonts w:asciiTheme="minorHAnsi" w:hAnsiTheme="minorHAnsi" w:cstheme="minorHAnsi"/>
          <w:szCs w:val="24"/>
        </w:rPr>
        <w:t xml:space="preserve"> </w:t>
      </w:r>
      <w:r>
        <w:rPr>
          <w:rFonts w:asciiTheme="minorHAnsi" w:hAnsiTheme="minorHAnsi" w:cstheme="minorHAnsi"/>
          <w:szCs w:val="24"/>
        </w:rPr>
        <w:t>“</w:t>
      </w:r>
      <w:r w:rsidRPr="003A3282">
        <w:rPr>
          <w:rFonts w:asciiTheme="minorHAnsi" w:hAnsiTheme="minorHAnsi" w:cstheme="minorHAnsi"/>
          <w:szCs w:val="24"/>
        </w:rPr>
        <w:t xml:space="preserve">Activities related to the sustainable use of radio-frequency spectrum and associated satellite-orbit </w:t>
      </w:r>
      <w:r w:rsidRPr="007052F4">
        <w:t>resources</w:t>
      </w:r>
      <w:r w:rsidRPr="003A3282">
        <w:rPr>
          <w:rFonts w:asciiTheme="minorHAnsi" w:hAnsiTheme="minorHAnsi" w:cstheme="minorHAnsi"/>
          <w:szCs w:val="24"/>
        </w:rPr>
        <w:t xml:space="preserve"> used by space services</w:t>
      </w:r>
      <w:r>
        <w:rPr>
          <w:rFonts w:asciiTheme="minorHAnsi" w:hAnsiTheme="minorHAnsi" w:cstheme="minorHAnsi"/>
          <w:szCs w:val="24"/>
        </w:rPr>
        <w:t>”</w:t>
      </w:r>
      <w:r w:rsidRPr="003A3282">
        <w:rPr>
          <w:rFonts w:asciiTheme="minorHAnsi" w:hAnsiTheme="minorHAnsi" w:cstheme="minorHAnsi"/>
          <w:szCs w:val="24"/>
        </w:rPr>
        <w:t xml:space="preserve"> has started in ITU-R Working Party 4A</w:t>
      </w:r>
      <w:r>
        <w:rPr>
          <w:rFonts w:asciiTheme="minorHAnsi" w:hAnsiTheme="minorHAnsi" w:cstheme="minorHAnsi"/>
          <w:szCs w:val="24"/>
        </w:rPr>
        <w:t xml:space="preserve"> with the development of an </w:t>
      </w:r>
      <w:hyperlink r:id="rId26" w:history="1">
        <w:r w:rsidRPr="003602D7">
          <w:rPr>
            <w:rStyle w:val="Hyperlink"/>
            <w:rFonts w:asciiTheme="minorHAnsi" w:hAnsiTheme="minorHAnsi" w:cstheme="minorHAnsi"/>
            <w:szCs w:val="24"/>
          </w:rPr>
          <w:t>ITU-R Handbook on best practices for the sustainable use of frequencies and associated non-GSO orbits by space radiocommunication services</w:t>
        </w:r>
      </w:hyperlink>
      <w:r w:rsidRPr="003A3282">
        <w:rPr>
          <w:rFonts w:asciiTheme="minorHAnsi" w:hAnsiTheme="minorHAnsi" w:cstheme="minorHAnsi"/>
          <w:szCs w:val="24"/>
        </w:rPr>
        <w:t xml:space="preserve">. ITU also organized </w:t>
      </w:r>
      <w:r>
        <w:rPr>
          <w:rFonts w:asciiTheme="minorHAnsi" w:hAnsiTheme="minorHAnsi" w:cstheme="minorHAnsi"/>
          <w:szCs w:val="24"/>
        </w:rPr>
        <w:t xml:space="preserve">the first edition of the </w:t>
      </w:r>
      <w:hyperlink r:id="rId27" w:history="1">
        <w:r w:rsidRPr="00EE495B">
          <w:rPr>
            <w:rStyle w:val="Hyperlink"/>
            <w:rFonts w:asciiTheme="minorHAnsi" w:hAnsiTheme="minorHAnsi" w:cstheme="minorHAnsi"/>
            <w:szCs w:val="24"/>
          </w:rPr>
          <w:t>Space Sustainability Forum</w:t>
        </w:r>
      </w:hyperlink>
      <w:r>
        <w:rPr>
          <w:rFonts w:asciiTheme="minorHAnsi" w:hAnsiTheme="minorHAnsi" w:cstheme="minorHAnsi"/>
          <w:szCs w:val="24"/>
        </w:rPr>
        <w:t xml:space="preserve">, which concluded with </w:t>
      </w:r>
      <w:hyperlink r:id="rId28" w:history="1">
        <w:r w:rsidRPr="00F14255">
          <w:rPr>
            <w:rStyle w:val="Hyperlink"/>
            <w:rFonts w:asciiTheme="minorHAnsi" w:hAnsiTheme="minorHAnsi" w:cstheme="minorHAnsi"/>
            <w:szCs w:val="24"/>
          </w:rPr>
          <w:t>a set of proposed actions</w:t>
        </w:r>
      </w:hyperlink>
      <w:r>
        <w:rPr>
          <w:rFonts w:asciiTheme="minorHAnsi" w:hAnsiTheme="minorHAnsi" w:cstheme="minorHAnsi"/>
          <w:szCs w:val="24"/>
        </w:rPr>
        <w:t xml:space="preserve"> that could support the achievement of </w:t>
      </w:r>
      <w:r w:rsidRPr="003A3282">
        <w:rPr>
          <w:rFonts w:asciiTheme="minorHAnsi" w:hAnsiTheme="minorHAnsi" w:cstheme="minorHAnsi"/>
          <w:szCs w:val="24"/>
        </w:rPr>
        <w:t xml:space="preserve">the </w:t>
      </w:r>
      <w:r>
        <w:rPr>
          <w:rFonts w:asciiTheme="minorHAnsi" w:hAnsiTheme="minorHAnsi" w:cstheme="minorHAnsi"/>
          <w:szCs w:val="24"/>
        </w:rPr>
        <w:t>“</w:t>
      </w:r>
      <w:r w:rsidRPr="003A3282">
        <w:rPr>
          <w:rFonts w:asciiTheme="minorHAnsi" w:hAnsiTheme="minorHAnsi" w:cstheme="minorHAnsi"/>
          <w:szCs w:val="24"/>
        </w:rPr>
        <w:t>Space2030</w:t>
      </w:r>
      <w:r>
        <w:rPr>
          <w:rFonts w:asciiTheme="minorHAnsi" w:hAnsiTheme="minorHAnsi" w:cstheme="minorHAnsi"/>
          <w:szCs w:val="24"/>
        </w:rPr>
        <w:t>”</w:t>
      </w:r>
      <w:r w:rsidRPr="003A3282">
        <w:rPr>
          <w:rFonts w:asciiTheme="minorHAnsi" w:hAnsiTheme="minorHAnsi" w:cstheme="minorHAnsi"/>
          <w:szCs w:val="24"/>
        </w:rPr>
        <w:t xml:space="preserve"> </w:t>
      </w:r>
      <w:r>
        <w:rPr>
          <w:rFonts w:asciiTheme="minorHAnsi" w:hAnsiTheme="minorHAnsi" w:cstheme="minorHAnsi"/>
          <w:szCs w:val="24"/>
        </w:rPr>
        <w:t>a</w:t>
      </w:r>
      <w:r w:rsidRPr="003A3282">
        <w:rPr>
          <w:rFonts w:asciiTheme="minorHAnsi" w:hAnsiTheme="minorHAnsi" w:cstheme="minorHAnsi"/>
          <w:szCs w:val="24"/>
        </w:rPr>
        <w:t>genda</w:t>
      </w:r>
      <w:r>
        <w:rPr>
          <w:rFonts w:asciiTheme="minorHAnsi" w:hAnsiTheme="minorHAnsi" w:cstheme="minorHAnsi"/>
          <w:szCs w:val="24"/>
        </w:rPr>
        <w:t xml:space="preserve"> objective 4.5</w:t>
      </w:r>
      <w:r w:rsidRPr="003A3282">
        <w:rPr>
          <w:rFonts w:asciiTheme="minorHAnsi" w:hAnsiTheme="minorHAnsi" w:cstheme="minorHAnsi"/>
          <w:szCs w:val="24"/>
        </w:rPr>
        <w:t>.</w:t>
      </w:r>
    </w:p>
    <w:p w14:paraId="3AFD0A43" w14:textId="77777777" w:rsidR="001259BF" w:rsidRPr="00CD41B0" w:rsidRDefault="001259BF" w:rsidP="001259BF">
      <w:pPr>
        <w:pStyle w:val="Heading2"/>
      </w:pPr>
      <w:r w:rsidRPr="00CD41B0">
        <w:t>3.2</w:t>
      </w:r>
      <w:r w:rsidRPr="00CD41B0">
        <w:tab/>
        <w:t>Thematic Priority 2 – International telecommunication numbering resources</w:t>
      </w:r>
    </w:p>
    <w:p w14:paraId="187F80A3" w14:textId="77777777" w:rsidR="001259BF" w:rsidRPr="00CD41B0" w:rsidRDefault="001259BF" w:rsidP="001259BF">
      <w:pPr>
        <w:jc w:val="both"/>
        <w:rPr>
          <w:rFonts w:asciiTheme="minorHAnsi" w:hAnsiTheme="minorHAnsi" w:cstheme="minorHAnsi"/>
          <w:szCs w:val="24"/>
        </w:rPr>
      </w:pPr>
      <w:r w:rsidRPr="00CD41B0">
        <w:rPr>
          <w:rFonts w:asciiTheme="minorHAnsi" w:hAnsiTheme="minorHAnsi" w:cstheme="minorHAnsi"/>
          <w:szCs w:val="24"/>
        </w:rPr>
        <w:t xml:space="preserve">This </w:t>
      </w:r>
      <w:r w:rsidRPr="007052F4">
        <w:t>thematic</w:t>
      </w:r>
      <w:r w:rsidRPr="00CD41B0">
        <w:rPr>
          <w:rFonts w:asciiTheme="minorHAnsi" w:hAnsiTheme="minorHAnsi" w:cstheme="minorHAnsi"/>
          <w:szCs w:val="24"/>
        </w:rPr>
        <w:t xml:space="preserve"> priority is supporting the access of satellite communication systems, that are inherently international, to the indispensable </w:t>
      </w:r>
      <w:hyperlink r:id="rId29" w:history="1">
        <w:r w:rsidRPr="006016AB">
          <w:rPr>
            <w:rStyle w:val="Hyperlink"/>
            <w:rFonts w:asciiTheme="minorHAnsi" w:hAnsiTheme="minorHAnsi" w:cstheme="minorHAnsi"/>
            <w:szCs w:val="24"/>
          </w:rPr>
          <w:t>international telecommunication numbering resources</w:t>
        </w:r>
      </w:hyperlink>
      <w:r w:rsidRPr="00CD41B0">
        <w:rPr>
          <w:rFonts w:asciiTheme="minorHAnsi" w:hAnsiTheme="minorHAnsi" w:cstheme="minorHAnsi"/>
          <w:szCs w:val="24"/>
        </w:rPr>
        <w:t xml:space="preserve">, on which they rely to deliver international communication services. </w:t>
      </w:r>
    </w:p>
    <w:p w14:paraId="6E76ADF3" w14:textId="77777777" w:rsidR="001259BF" w:rsidRPr="00CD41B0" w:rsidRDefault="001259BF" w:rsidP="001259BF">
      <w:pPr>
        <w:jc w:val="both"/>
        <w:rPr>
          <w:rFonts w:asciiTheme="minorHAnsi" w:hAnsiTheme="minorHAnsi" w:cstheme="minorHAnsi"/>
          <w:szCs w:val="24"/>
          <w:lang w:val="en-US"/>
        </w:rPr>
      </w:pPr>
      <w:r w:rsidRPr="00CD41B0">
        <w:rPr>
          <w:rFonts w:asciiTheme="minorHAnsi" w:hAnsiTheme="minorHAnsi" w:cstheme="minorHAnsi"/>
          <w:szCs w:val="24"/>
          <w:lang w:val="en-US"/>
        </w:rPr>
        <w:t xml:space="preserve">Beyond geostationary satellites, there has been an expansion in numbering assignments to services offered via Low Earth Orbit (LEO) Satellites in recent years. Access to satellite connectivity is instrumental in enabling communication services in maritime and aerial domains, as well as remote and geographically dispersed areas not covered by land mobile </w:t>
      </w:r>
      <w:r w:rsidRPr="007052F4">
        <w:t>networks</w:t>
      </w:r>
      <w:r w:rsidRPr="00CD41B0">
        <w:rPr>
          <w:rFonts w:asciiTheme="minorHAnsi" w:hAnsiTheme="minorHAnsi" w:cstheme="minorHAnsi"/>
          <w:szCs w:val="24"/>
          <w:lang w:val="en-US"/>
        </w:rPr>
        <w:t>. This ensures that these domains and areas remain connected, underscoring the vital importance of numbering resources in the seamless delivery of international telecommunication services across diverse platforms and environments.</w:t>
      </w:r>
    </w:p>
    <w:p w14:paraId="59FC4115" w14:textId="77777777" w:rsidR="001259BF" w:rsidRPr="00EE495B" w:rsidRDefault="001259BF" w:rsidP="001259BF">
      <w:pPr>
        <w:pStyle w:val="Heading2"/>
      </w:pPr>
      <w:r w:rsidRPr="00EE495B">
        <w:t>3.3</w:t>
      </w:r>
      <w:r w:rsidRPr="00EE495B">
        <w:tab/>
        <w:t>Thematic Priority 3 – Inclusive and secure telecommunication/ICT infrastructure and services</w:t>
      </w:r>
    </w:p>
    <w:p w14:paraId="3D599B92" w14:textId="77777777" w:rsidR="001259BF" w:rsidRPr="00EE495B" w:rsidRDefault="001259BF" w:rsidP="001259BF">
      <w:pPr>
        <w:jc w:val="both"/>
      </w:pPr>
      <w:r w:rsidRPr="00EE495B">
        <w:t xml:space="preserve">In the context of the </w:t>
      </w:r>
      <w:proofErr w:type="gramStart"/>
      <w:r w:rsidRPr="00EE495B">
        <w:t>Agenda</w:t>
      </w:r>
      <w:proofErr w:type="gramEnd"/>
      <w:r w:rsidRPr="00EE495B">
        <w:t xml:space="preserve">, this thematic priority aims at providing enhanced connectivity and access for all to fixed and mobile broadband services </w:t>
      </w:r>
      <w:proofErr w:type="gramStart"/>
      <w:r w:rsidRPr="00EE495B">
        <w:t>through the use of</w:t>
      </w:r>
      <w:proofErr w:type="gramEnd"/>
      <w:r w:rsidRPr="00EE495B">
        <w:t xml:space="preserve"> satellite </w:t>
      </w:r>
      <w:r w:rsidRPr="007052F4">
        <w:t>communication</w:t>
      </w:r>
      <w:r w:rsidRPr="00EE495B">
        <w:t xml:space="preserve"> systems when they are best suited to deliver such services in an inclusive, secure and resilient manner.</w:t>
      </w:r>
    </w:p>
    <w:p w14:paraId="31B1FAD2" w14:textId="010F591B" w:rsidR="001259BF" w:rsidRPr="00EE495B" w:rsidRDefault="001259BF" w:rsidP="001259BF">
      <w:pPr>
        <w:jc w:val="both"/>
        <w:rPr>
          <w:lang w:val="en-US"/>
        </w:rPr>
      </w:pPr>
      <w:r w:rsidRPr="00EE495B">
        <w:rPr>
          <w:lang w:val="en-US"/>
        </w:rPr>
        <w:t xml:space="preserve">The convergence of terrestrial fixed and mobile networks and satellite systems raises the need to </w:t>
      </w:r>
      <w:r w:rsidRPr="007052F4">
        <w:t>consider</w:t>
      </w:r>
      <w:r w:rsidRPr="00EE495B">
        <w:rPr>
          <w:lang w:val="en-US"/>
        </w:rPr>
        <w:t xml:space="preserve"> </w:t>
      </w:r>
      <w:r w:rsidRPr="007052F4">
        <w:t>various</w:t>
      </w:r>
      <w:r w:rsidRPr="00EE495B">
        <w:rPr>
          <w:lang w:val="en-US"/>
        </w:rPr>
        <w:t xml:space="preserve"> requirements for user equipment, network capabilities, and applications. These are </w:t>
      </w:r>
      <w:r w:rsidR="000663A4">
        <w:rPr>
          <w:lang w:val="en-US"/>
        </w:rPr>
        <w:t>necessary steps</w:t>
      </w:r>
      <w:r w:rsidRPr="00EE495B">
        <w:rPr>
          <w:lang w:val="en-US"/>
        </w:rPr>
        <w:t xml:space="preserve"> towards providing full access to enhanced connectivity and innovative use cases and services.</w:t>
      </w:r>
    </w:p>
    <w:p w14:paraId="13F00868" w14:textId="4AD48B9E" w:rsidR="001259BF" w:rsidRPr="00AC3E35" w:rsidRDefault="001259BF" w:rsidP="001259BF">
      <w:pPr>
        <w:jc w:val="both"/>
        <w:rPr>
          <w:szCs w:val="22"/>
          <w:shd w:val="clear" w:color="auto" w:fill="FFFFFF"/>
        </w:rPr>
      </w:pPr>
      <w:r w:rsidRPr="00AC3E35">
        <w:rPr>
          <w:szCs w:val="22"/>
          <w:shd w:val="clear" w:color="auto" w:fill="FFFFFF"/>
        </w:rPr>
        <w:lastRenderedPageBreak/>
        <w:t>ITU is particularly involved in the UN Initiative on</w:t>
      </w:r>
      <w:r w:rsidRPr="00AC3E35">
        <w:rPr>
          <w:color w:val="000000"/>
        </w:rPr>
        <w:t xml:space="preserve"> </w:t>
      </w:r>
      <w:hyperlink r:id="rId30" w:tooltip="http://earlywarningsforall.org/" w:history="1">
        <w:r w:rsidRPr="00AC3E35">
          <w:rPr>
            <w:rStyle w:val="Hyperlink"/>
          </w:rPr>
          <w:t>Early Warnings for All (EW4All),</w:t>
        </w:r>
      </w:hyperlink>
      <w:r w:rsidRPr="00AC3E35">
        <w:rPr>
          <w:rFonts w:hint="eastAsia"/>
          <w:szCs w:val="22"/>
          <w:shd w:val="clear" w:color="auto" w:fill="FFFFFF"/>
        </w:rPr>
        <w:t xml:space="preserve"> and in l</w:t>
      </w:r>
      <w:r w:rsidRPr="00AC3E35">
        <w:rPr>
          <w:szCs w:val="22"/>
          <w:shd w:val="clear" w:color="auto" w:fill="FFFFFF"/>
        </w:rPr>
        <w:t>ine with PP Resolution 136</w:t>
      </w:r>
      <w:r w:rsidRPr="00AC3E35">
        <w:rPr>
          <w:color w:val="444444"/>
          <w:szCs w:val="22"/>
        </w:rPr>
        <w:t xml:space="preserve"> (</w:t>
      </w:r>
      <w:hyperlink r:id="rId31" w:tgtFrame="_blank" w:history="1">
        <w:r w:rsidRPr="00AC3E35">
          <w:rPr>
            <w:rStyle w:val="Hyperlink"/>
            <w:color w:val="3789BD"/>
            <w:szCs w:val="22"/>
            <w:bdr w:val="none" w:sz="0" w:space="0" w:color="auto" w:frame="1"/>
          </w:rPr>
          <w:t>Rev. Bucharest, 2022</w:t>
        </w:r>
      </w:hyperlink>
      <w:r w:rsidRPr="00AC3E35">
        <w:rPr>
          <w:color w:val="444444"/>
          <w:szCs w:val="22"/>
        </w:rPr>
        <w:t>)</w:t>
      </w:r>
      <w:r w:rsidR="0094783C" w:rsidRPr="0094783C">
        <w:rPr>
          <w:rStyle w:val="FootnoteReference"/>
        </w:rPr>
        <w:footnoteReference w:id="3"/>
      </w:r>
      <w:r w:rsidRPr="00AC3E35">
        <w:rPr>
          <w:color w:val="444444"/>
          <w:szCs w:val="22"/>
        </w:rPr>
        <w:t xml:space="preserve"> </w:t>
      </w:r>
      <w:r w:rsidRPr="00AC3E35">
        <w:rPr>
          <w:szCs w:val="22"/>
          <w:shd w:val="clear" w:color="auto" w:fill="FFFFFF"/>
        </w:rPr>
        <w:t>and WTDC Resolution 34</w:t>
      </w:r>
      <w:r w:rsidRPr="00AC3E35">
        <w:rPr>
          <w:color w:val="444444"/>
          <w:szCs w:val="22"/>
        </w:rPr>
        <w:t xml:space="preserve"> (</w:t>
      </w:r>
      <w:hyperlink r:id="rId32" w:tgtFrame="_blank" w:history="1">
        <w:r w:rsidRPr="00AC3E35">
          <w:rPr>
            <w:rStyle w:val="Hyperlink"/>
            <w:color w:val="3789BD"/>
            <w:szCs w:val="22"/>
            <w:bdr w:val="none" w:sz="0" w:space="0" w:color="auto" w:frame="1"/>
          </w:rPr>
          <w:t>Rev. Kigali, 2022</w:t>
        </w:r>
      </w:hyperlink>
      <w:r w:rsidRPr="00AC3E35">
        <w:rPr>
          <w:color w:val="444444"/>
          <w:szCs w:val="22"/>
        </w:rPr>
        <w:t>)</w:t>
      </w:r>
      <w:r w:rsidR="0094783C" w:rsidRPr="0094783C">
        <w:rPr>
          <w:rStyle w:val="FootnoteReference"/>
        </w:rPr>
        <w:footnoteReference w:id="4"/>
      </w:r>
      <w:r w:rsidRPr="00AC3E35">
        <w:rPr>
          <w:szCs w:val="22"/>
          <w:shd w:val="clear" w:color="auto" w:fill="FFFFFF"/>
        </w:rPr>
        <w:t xml:space="preserve">, has increased its support to countries in implementing early warning systems (EWS). Launched </w:t>
      </w:r>
      <w:proofErr w:type="gramStart"/>
      <w:r w:rsidRPr="00AC3E35">
        <w:rPr>
          <w:szCs w:val="22"/>
          <w:shd w:val="clear" w:color="auto" w:fill="FFFFFF"/>
        </w:rPr>
        <w:t>2022, and</w:t>
      </w:r>
      <w:proofErr w:type="gramEnd"/>
      <w:r w:rsidRPr="00AC3E35">
        <w:rPr>
          <w:szCs w:val="22"/>
          <w:shd w:val="clear" w:color="auto" w:fill="FFFFFF"/>
        </w:rPr>
        <w:t xml:space="preserve"> spearheaded by WMO and the United Nations Office for Disaster Risk Reduction (UNDRR), this new climate adaptation initiative, </w:t>
      </w:r>
      <w:r w:rsidRPr="00AC3E35">
        <w:rPr>
          <w:color w:val="000000"/>
        </w:rPr>
        <w:t>stipulates that by 2027, every person in the world should be protected by an early warning system. ITU is leading</w:t>
      </w:r>
      <w:r w:rsidRPr="00AC3E35">
        <w:rPr>
          <w:rStyle w:val="apple-converted-space"/>
          <w:rFonts w:eastAsiaTheme="minorEastAsia"/>
          <w:color w:val="000000"/>
          <w:bdr w:val="none" w:sz="0" w:space="0" w:color="auto" w:frame="1"/>
        </w:rPr>
        <w:t xml:space="preserve"> </w:t>
      </w:r>
      <w:r w:rsidRPr="00AC3E35">
        <w:rPr>
          <w:color w:val="000000"/>
          <w:bdr w:val="none" w:sz="0" w:space="0" w:color="auto" w:frame="1"/>
        </w:rPr>
        <w:t>the</w:t>
      </w:r>
      <w:r w:rsidRPr="00AC3E35">
        <w:rPr>
          <w:rStyle w:val="apple-converted-space"/>
          <w:rFonts w:eastAsiaTheme="minorEastAsia"/>
          <w:color w:val="000000"/>
          <w:bdr w:val="none" w:sz="0" w:space="0" w:color="auto" w:frame="1"/>
        </w:rPr>
        <w:t xml:space="preserve"> </w:t>
      </w:r>
      <w:r>
        <w:rPr>
          <w:color w:val="444444"/>
          <w:bdr w:val="none" w:sz="0" w:space="0" w:color="auto" w:frame="1"/>
        </w:rPr>
        <w:t>“</w:t>
      </w:r>
      <w:hyperlink r:id="rId33" w:tgtFrame="_blank" w:tooltip="https://www.itu.int/hub/2023/01/early-warning-systems-mobile-connectivity" w:history="1">
        <w:r w:rsidRPr="00AC3E35">
          <w:rPr>
            <w:rStyle w:val="Hyperlink"/>
            <w:color w:val="3789BD"/>
            <w:bdr w:val="none" w:sz="0" w:space="0" w:color="auto" w:frame="1"/>
          </w:rPr>
          <w:t>Warning Dissemination and Communication</w:t>
        </w:r>
      </w:hyperlink>
      <w:r>
        <w:rPr>
          <w:color w:val="444444"/>
          <w:bdr w:val="none" w:sz="0" w:space="0" w:color="auto" w:frame="1"/>
        </w:rPr>
        <w:t>“</w:t>
      </w:r>
      <w:r w:rsidRPr="00AC3E35">
        <w:rPr>
          <w:rStyle w:val="apple-converted-space"/>
          <w:rFonts w:eastAsiaTheme="minorEastAsia"/>
          <w:color w:val="444444"/>
          <w:bdr w:val="none" w:sz="0" w:space="0" w:color="auto" w:frame="1"/>
        </w:rPr>
        <w:t xml:space="preserve"> </w:t>
      </w:r>
      <w:r w:rsidRPr="00AC3E35">
        <w:rPr>
          <w:color w:val="000000"/>
          <w:bdr w:val="none" w:sz="0" w:space="0" w:color="auto" w:frame="1"/>
        </w:rPr>
        <w:t>pillar (3) of the EW4All initiative to look at last-mile connectivity and to ensure that warnings reach the people at risk in time to take action.</w:t>
      </w:r>
    </w:p>
    <w:p w14:paraId="7A7F4782" w14:textId="77777777" w:rsidR="001259BF" w:rsidRPr="009C4BA3" w:rsidRDefault="001259BF" w:rsidP="001259BF">
      <w:pPr>
        <w:jc w:val="both"/>
        <w:rPr>
          <w:color w:val="000000"/>
          <w:bdr w:val="none" w:sz="0" w:space="0" w:color="auto" w:frame="1"/>
        </w:rPr>
      </w:pPr>
      <w:r w:rsidRPr="009C4BA3">
        <w:rPr>
          <w:color w:val="000000"/>
          <w:bdr w:val="none" w:sz="0" w:space="0" w:color="auto" w:frame="1"/>
        </w:rPr>
        <w:t xml:space="preserve">To achieve this critical climate adaptation initiative, ITU promotes a multi-channel approach to ensure that countries employ a wide range of communication channels and both traditional and cutting-edge technologies to disseminate alerts, including radio and television, mobile networks and satellites. To leverage the great spread of mobile networks, services and handsets but also advances in emerging alerting services via satellite systems, ITU is working closely with ITU’s public and private sector members, including the mobile and satellite industry, as well as academia and civil society, to build on existing solutions and explore innovative approaches to bridge the last mile. ITU also promotes the use of the </w:t>
      </w:r>
      <w:hyperlink r:id="rId34" w:history="1">
        <w:r w:rsidRPr="006D4720">
          <w:rPr>
            <w:rStyle w:val="Hyperlink"/>
            <w:bdr w:val="none" w:sz="0" w:space="0" w:color="auto" w:frame="1"/>
          </w:rPr>
          <w:t>common alerting protocol (CAP)</w:t>
        </w:r>
      </w:hyperlink>
      <w:r w:rsidRPr="009C4BA3">
        <w:rPr>
          <w:color w:val="000000"/>
          <w:bdr w:val="none" w:sz="0" w:space="0" w:color="auto" w:frame="1"/>
        </w:rPr>
        <w:t xml:space="preserve"> to ensure that warning messages are sent in a harmonized format, and can be understood by populations at risk, and actionable. </w:t>
      </w:r>
    </w:p>
    <w:p w14:paraId="7FE73C3C" w14:textId="597FC97B" w:rsidR="001259BF" w:rsidRDefault="001259BF" w:rsidP="001259BF">
      <w:pPr>
        <w:jc w:val="both"/>
        <w:rPr>
          <w:color w:val="000000" w:themeColor="text1"/>
        </w:rPr>
      </w:pPr>
      <w:r w:rsidRPr="0078062C">
        <w:rPr>
          <w:color w:val="000000" w:themeColor="text1"/>
        </w:rPr>
        <w:t>In September 2024, an</w:t>
      </w:r>
      <w:r>
        <w:rPr>
          <w:color w:val="000000" w:themeColor="text1"/>
        </w:rPr>
        <w:t xml:space="preserve"> </w:t>
      </w:r>
      <w:hyperlink r:id="rId35" w:history="1">
        <w:r w:rsidRPr="00AD31BD">
          <w:rPr>
            <w:rStyle w:val="Hyperlink"/>
          </w:rPr>
          <w:t>ATU-ITU Joint Workshop on EW4All</w:t>
        </w:r>
      </w:hyperlink>
      <w:r>
        <w:rPr>
          <w:color w:val="000000" w:themeColor="text1"/>
        </w:rPr>
        <w:t xml:space="preserve"> ra</w:t>
      </w:r>
      <w:r w:rsidRPr="00AD31BD">
        <w:rPr>
          <w:color w:val="000000" w:themeColor="text1"/>
        </w:rPr>
        <w:t>ise</w:t>
      </w:r>
      <w:r>
        <w:rPr>
          <w:color w:val="000000" w:themeColor="text1"/>
        </w:rPr>
        <w:t>d</w:t>
      </w:r>
      <w:r w:rsidRPr="00AD31BD">
        <w:rPr>
          <w:color w:val="000000" w:themeColor="text1"/>
        </w:rPr>
        <w:t xml:space="preserve"> awareness about the EW4All initiative</w:t>
      </w:r>
      <w:r>
        <w:rPr>
          <w:color w:val="000000" w:themeColor="text1"/>
        </w:rPr>
        <w:t xml:space="preserve"> among ATU members</w:t>
      </w:r>
      <w:r w:rsidRPr="00AD31BD">
        <w:rPr>
          <w:color w:val="000000" w:themeColor="text1"/>
        </w:rPr>
        <w:t xml:space="preserve">, and provide an in-depth understanding of Pillar 3 objectives and ITU work. </w:t>
      </w:r>
      <w:r>
        <w:rPr>
          <w:color w:val="000000" w:themeColor="text1"/>
        </w:rPr>
        <w:t xml:space="preserve">The workshop was also aiming at </w:t>
      </w:r>
      <w:r w:rsidRPr="00AD31BD">
        <w:rPr>
          <w:color w:val="000000" w:themeColor="text1"/>
        </w:rPr>
        <w:t>equip</w:t>
      </w:r>
      <w:r>
        <w:rPr>
          <w:color w:val="000000" w:themeColor="text1"/>
        </w:rPr>
        <w:t>ping</w:t>
      </w:r>
      <w:r w:rsidRPr="00AD31BD">
        <w:rPr>
          <w:color w:val="000000" w:themeColor="text1"/>
        </w:rPr>
        <w:t xml:space="preserve"> participants with the knowledge and tools necessary to implement effective early warning systems within their respective </w:t>
      </w:r>
      <w:r>
        <w:rPr>
          <w:color w:val="000000" w:themeColor="text1"/>
        </w:rPr>
        <w:t>countries</w:t>
      </w:r>
      <w:r w:rsidRPr="00AD31BD">
        <w:rPr>
          <w:color w:val="000000" w:themeColor="text1"/>
        </w:rPr>
        <w:t xml:space="preserve"> and provide them with a detailed understanding of the role of telecommunication/ICT stakeholders in EW4All.</w:t>
      </w:r>
    </w:p>
    <w:p w14:paraId="64FECD4B" w14:textId="77777777" w:rsidR="001259BF" w:rsidRPr="004809A1" w:rsidRDefault="001259BF" w:rsidP="001259BF">
      <w:pPr>
        <w:jc w:val="both"/>
        <w:rPr>
          <w:color w:val="000000"/>
        </w:rPr>
      </w:pPr>
      <w:r w:rsidRPr="004809A1">
        <w:rPr>
          <w:color w:val="000000"/>
        </w:rPr>
        <w:t xml:space="preserve">The ITU work for this initiative is related to </w:t>
      </w:r>
      <w:r>
        <w:rPr>
          <w:color w:val="000000"/>
        </w:rPr>
        <w:t>“</w:t>
      </w:r>
      <w:r w:rsidRPr="004809A1">
        <w:rPr>
          <w:color w:val="000000"/>
        </w:rPr>
        <w:t>Space2030</w:t>
      </w:r>
      <w:r>
        <w:rPr>
          <w:color w:val="000000"/>
        </w:rPr>
        <w:t>”</w:t>
      </w:r>
      <w:r w:rsidRPr="004809A1">
        <w:rPr>
          <w:color w:val="000000"/>
        </w:rPr>
        <w:t xml:space="preserve"> agenda objectives 2.3 </w:t>
      </w:r>
      <w:r>
        <w:rPr>
          <w:color w:val="000000"/>
        </w:rPr>
        <w:t>“</w:t>
      </w:r>
      <w:r w:rsidRPr="004809A1">
        <w:rPr>
          <w:color w:val="000000"/>
        </w:rPr>
        <w:t>Strengthen the use of integrated space applications to facilitate the observation of the climate and the assessment of disaster risks, improve early warning disaster systems and provide data for the indicators used to track progress in the implementation of the 2030 Agenda for Sustainable Development, the Sendai Framework and commitments by States parties to the Paris Agreement</w:t>
      </w:r>
      <w:r>
        <w:rPr>
          <w:color w:val="000000"/>
        </w:rPr>
        <w:t>”</w:t>
      </w:r>
      <w:r w:rsidRPr="004809A1">
        <w:rPr>
          <w:color w:val="000000"/>
        </w:rPr>
        <w:t xml:space="preserve"> and 2.5 </w:t>
      </w:r>
      <w:r>
        <w:rPr>
          <w:color w:val="000000"/>
        </w:rPr>
        <w:t>“</w:t>
      </w:r>
      <w:r w:rsidRPr="004809A1">
        <w:rPr>
          <w:color w:val="000000"/>
        </w:rPr>
        <w:t>Promote the use of space-based technologies in all phases of the disaster management cycle, applicable to both natural and man-made disasters, including prevention, mitigation, preparedness, response, recovery, reconstruction and rehabilitation; monitor and assess elements such as exposure, hazards, disaster risk and damage in different regions of the world; and promote the sharing of disaster monitoring data.</w:t>
      </w:r>
      <w:r>
        <w:rPr>
          <w:color w:val="000000"/>
        </w:rPr>
        <w:t>”</w:t>
      </w:r>
    </w:p>
    <w:p w14:paraId="1E16AE0F" w14:textId="77777777" w:rsidR="001259BF" w:rsidRPr="009A2D7B" w:rsidRDefault="001259BF" w:rsidP="001259BF">
      <w:pPr>
        <w:pStyle w:val="Heading2"/>
      </w:pPr>
      <w:r w:rsidRPr="009A2D7B">
        <w:lastRenderedPageBreak/>
        <w:t>3.4</w:t>
      </w:r>
      <w:r w:rsidRPr="009A2D7B">
        <w:tab/>
        <w:t>Thematic Priority 4 – Digital applications</w:t>
      </w:r>
    </w:p>
    <w:p w14:paraId="672039EE" w14:textId="77777777" w:rsidR="001259BF" w:rsidRPr="009A2D7B" w:rsidRDefault="001259BF" w:rsidP="001259BF">
      <w:pPr>
        <w:jc w:val="both"/>
      </w:pPr>
      <w:r w:rsidRPr="009A2D7B">
        <w:t xml:space="preserve">Under this thematic priority, the enhanced adoption and use of telecommunication/ICT applications made possible by an increased deployment of space-based networks and services needed for such applications is planned to deliver an improved capacity for Member States to leverage innovation and entrepreneurship for sustainable development in line with the objectives set forth in the Overarching objective 1 of the </w:t>
      </w:r>
      <w:proofErr w:type="gramStart"/>
      <w:r w:rsidRPr="009A2D7B">
        <w:t>Agenda</w:t>
      </w:r>
      <w:proofErr w:type="gramEnd"/>
      <w:r w:rsidRPr="009A2D7B">
        <w:t xml:space="preserve">. </w:t>
      </w:r>
    </w:p>
    <w:p w14:paraId="5A5B6069" w14:textId="77777777" w:rsidR="001259BF" w:rsidRPr="00A34A9D" w:rsidRDefault="001259BF" w:rsidP="001259BF">
      <w:pPr>
        <w:pStyle w:val="Heading2"/>
      </w:pPr>
      <w:r w:rsidRPr="00A34A9D">
        <w:t>3.5</w:t>
      </w:r>
      <w:r w:rsidRPr="00A34A9D">
        <w:tab/>
        <w:t>Thematic Priority 5 – Enabling environment</w:t>
      </w:r>
    </w:p>
    <w:p w14:paraId="7E8E8D22" w14:textId="77777777" w:rsidR="001259BF" w:rsidRPr="00A34A9D" w:rsidRDefault="001259BF" w:rsidP="001259BF">
      <w:pPr>
        <w:jc w:val="both"/>
      </w:pPr>
      <w:r w:rsidRPr="00A34A9D">
        <w:t xml:space="preserve">Policy and regulatory environments designed under this thematic priority by </w:t>
      </w:r>
      <w:proofErr w:type="gramStart"/>
      <w:r w:rsidRPr="00A34A9D">
        <w:t>taking into account</w:t>
      </w:r>
      <w:proofErr w:type="gramEnd"/>
      <w:r w:rsidRPr="00A34A9D">
        <w:t xml:space="preserve"> the specificities of space technologies should ensure that the advantages of these technologies are available to Member States when relevant, thereby increasing the number of policy options for delivering universal connectivity and implementing a sustainable digital transformation.</w:t>
      </w:r>
    </w:p>
    <w:p w14:paraId="3DC94E42" w14:textId="77777777" w:rsidR="001259BF" w:rsidRPr="00A34A9D" w:rsidRDefault="001259BF" w:rsidP="001259BF">
      <w:pPr>
        <w:jc w:val="both"/>
        <w:rPr>
          <w:rFonts w:cstheme="minorHAnsi"/>
          <w:szCs w:val="24"/>
        </w:rPr>
      </w:pPr>
      <w:r w:rsidRPr="00A34A9D">
        <w:rPr>
          <w:rFonts w:cstheme="minorHAnsi"/>
          <w:szCs w:val="24"/>
        </w:rPr>
        <w:t xml:space="preserve">Activities under this thematic priority are specifically related to </w:t>
      </w:r>
      <w:r>
        <w:rPr>
          <w:rFonts w:cstheme="minorHAnsi"/>
          <w:szCs w:val="24"/>
        </w:rPr>
        <w:t>“</w:t>
      </w:r>
      <w:r w:rsidRPr="00A34A9D">
        <w:rPr>
          <w:rFonts w:cstheme="minorHAnsi"/>
          <w:szCs w:val="24"/>
        </w:rPr>
        <w:t>Space2030</w:t>
      </w:r>
      <w:r>
        <w:rPr>
          <w:rFonts w:cstheme="minorHAnsi"/>
          <w:szCs w:val="24"/>
        </w:rPr>
        <w:t>”</w:t>
      </w:r>
      <w:r w:rsidRPr="00A34A9D">
        <w:rPr>
          <w:rFonts w:cstheme="minorHAnsi"/>
          <w:szCs w:val="24"/>
        </w:rPr>
        <w:t xml:space="preserve"> agenda objectives 3.4 </w:t>
      </w:r>
      <w:r>
        <w:rPr>
          <w:rFonts w:cstheme="minorHAnsi"/>
          <w:szCs w:val="24"/>
        </w:rPr>
        <w:t>“</w:t>
      </w:r>
      <w:r w:rsidRPr="00A34A9D">
        <w:rPr>
          <w:rFonts w:cstheme="minorHAnsi"/>
          <w:szCs w:val="24"/>
        </w:rPr>
        <w:t>Enhance capacity-building, education and training in space science and applications, in particular for developing countries</w:t>
      </w:r>
      <w:r>
        <w:rPr>
          <w:rFonts w:cstheme="minorHAnsi"/>
          <w:szCs w:val="24"/>
        </w:rPr>
        <w:t>”</w:t>
      </w:r>
      <w:r w:rsidRPr="00A34A9D">
        <w:rPr>
          <w:rFonts w:cstheme="minorHAnsi"/>
          <w:szCs w:val="24"/>
        </w:rPr>
        <w:t xml:space="preserve"> and 4.3 </w:t>
      </w:r>
      <w:r>
        <w:rPr>
          <w:rFonts w:cstheme="minorHAnsi"/>
          <w:szCs w:val="24"/>
        </w:rPr>
        <w:t>“</w:t>
      </w:r>
      <w:r w:rsidRPr="00A34A9D">
        <w:rPr>
          <w:rFonts w:cstheme="minorHAnsi"/>
          <w:szCs w:val="24"/>
        </w:rPr>
        <w:t>Strengthen capacity-building and technical assistance, including that provided by the Office for Outer Space Affairs, for Member States, in particular in the field of international space law and policy</w:t>
      </w:r>
      <w:r>
        <w:rPr>
          <w:rFonts w:cstheme="minorHAnsi"/>
          <w:szCs w:val="24"/>
        </w:rPr>
        <w:t>”</w:t>
      </w:r>
      <w:r w:rsidRPr="00A34A9D">
        <w:rPr>
          <w:rFonts w:cstheme="minorHAnsi"/>
          <w:szCs w:val="24"/>
        </w:rPr>
        <w:t xml:space="preserve">: </w:t>
      </w:r>
    </w:p>
    <w:p w14:paraId="6ECC0C05" w14:textId="77777777" w:rsidR="001259BF" w:rsidRPr="00B032AC" w:rsidRDefault="001259BF" w:rsidP="001259BF">
      <w:pPr>
        <w:pStyle w:val="enumlev1"/>
        <w:jc w:val="both"/>
      </w:pPr>
      <w:r>
        <w:t>–</w:t>
      </w:r>
      <w:r>
        <w:tab/>
      </w:r>
      <w:r w:rsidRPr="00B032AC">
        <w:t xml:space="preserve">ITU Academy continued to deliver the ITU Spectrum Management Training Programme (SMTP) in collaboration with AFRALTI, an ITU Academy Training Centre. The SMTP is a comprehensive programme, designed for Member States and Sector Members, offering high-level training in all aspects of spectrum management, featuring both basic and advanced levels covering a wide range of topics from legal frameworks to technical specializations. </w:t>
      </w:r>
    </w:p>
    <w:p w14:paraId="24F6180D" w14:textId="77777777" w:rsidR="001259BF" w:rsidRPr="00B032AC" w:rsidRDefault="001259BF" w:rsidP="001259BF">
      <w:pPr>
        <w:pStyle w:val="enumlev1"/>
        <w:jc w:val="both"/>
        <w:rPr>
          <w:rFonts w:asciiTheme="minorHAnsi" w:hAnsiTheme="minorHAnsi" w:cstheme="minorBidi"/>
        </w:rPr>
      </w:pPr>
      <w:r>
        <w:t>–</w:t>
      </w:r>
      <w:r>
        <w:tab/>
      </w:r>
      <w:r w:rsidRPr="00B032AC">
        <w:rPr>
          <w:rFonts w:asciiTheme="minorHAnsi" w:hAnsiTheme="minorHAnsi" w:cstheme="minorBidi"/>
        </w:rPr>
        <w:t xml:space="preserve">ITU continued to provide in-person and remote trainings for administrations having specific requests. </w:t>
      </w:r>
    </w:p>
    <w:p w14:paraId="1005647F" w14:textId="77777777" w:rsidR="001259BF" w:rsidRPr="00B032AC" w:rsidRDefault="001259BF" w:rsidP="001259BF">
      <w:pPr>
        <w:pStyle w:val="enumlev1"/>
        <w:jc w:val="both"/>
        <w:rPr>
          <w:rFonts w:asciiTheme="minorHAnsi" w:hAnsiTheme="minorHAnsi" w:cstheme="minorBidi"/>
        </w:rPr>
      </w:pPr>
      <w:r>
        <w:t>–</w:t>
      </w:r>
      <w:r>
        <w:tab/>
      </w:r>
      <w:r w:rsidRPr="00B032AC">
        <w:rPr>
          <w:rFonts w:asciiTheme="minorHAnsi" w:hAnsiTheme="minorHAnsi" w:cstheme="minorBidi"/>
        </w:rPr>
        <w:t xml:space="preserve">ITU staff actively participated in various seminars and workshops, including those organized by UNOOSA and the European Space Agency (ESA), to provide capacity building to Member States </w:t>
      </w:r>
      <w:proofErr w:type="gramStart"/>
      <w:r w:rsidRPr="00B032AC">
        <w:rPr>
          <w:rFonts w:asciiTheme="minorHAnsi" w:hAnsiTheme="minorHAnsi" w:cstheme="minorBidi"/>
        </w:rPr>
        <w:t>in the area of</w:t>
      </w:r>
      <w:proofErr w:type="gramEnd"/>
      <w:r w:rsidRPr="00B032AC">
        <w:rPr>
          <w:rFonts w:asciiTheme="minorHAnsi" w:hAnsiTheme="minorHAnsi" w:cstheme="minorBidi"/>
        </w:rPr>
        <w:t xml:space="preserve"> ITU frequency registration procedures for small satellites.</w:t>
      </w:r>
    </w:p>
    <w:p w14:paraId="39ED1156" w14:textId="77777777" w:rsidR="001259BF" w:rsidRPr="008776F6" w:rsidRDefault="001259BF" w:rsidP="001259BF">
      <w:pPr>
        <w:pStyle w:val="enumlev1"/>
      </w:pPr>
    </w:p>
    <w:p w14:paraId="56BEE8BB" w14:textId="77777777" w:rsidR="001259BF" w:rsidRDefault="001259BF" w:rsidP="001259BF">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19" w:name="Annex3"/>
      <w:r>
        <w:br w:type="page"/>
      </w:r>
    </w:p>
    <w:p w14:paraId="74F33BA0" w14:textId="77777777" w:rsidR="001259BF" w:rsidRPr="00B130B1" w:rsidRDefault="001259BF" w:rsidP="001259BF">
      <w:pPr>
        <w:pStyle w:val="AnnexNo"/>
      </w:pPr>
      <w:r w:rsidRPr="00B130B1">
        <w:lastRenderedPageBreak/>
        <w:t>Annex 3</w:t>
      </w:r>
      <w:bookmarkEnd w:id="19"/>
    </w:p>
    <w:p w14:paraId="32436655" w14:textId="77777777" w:rsidR="001259BF" w:rsidRPr="00BD0D0D" w:rsidRDefault="001259BF" w:rsidP="001259BF">
      <w:pPr>
        <w:pStyle w:val="Annextitle"/>
      </w:pPr>
      <w:bookmarkStart w:id="20" w:name="_Hlk132818415"/>
      <w:r w:rsidRPr="00BD0D0D">
        <w:t xml:space="preserve">UN Inter-Agency </w:t>
      </w:r>
      <w:r>
        <w:t>M</w:t>
      </w:r>
      <w:r w:rsidRPr="00BD0D0D">
        <w:t xml:space="preserve">eetings on Outer </w:t>
      </w:r>
      <w:r w:rsidRPr="00B130B1">
        <w:t>Space</w:t>
      </w:r>
      <w:r w:rsidRPr="00BD0D0D">
        <w:t xml:space="preserve"> Activities (UN-Space)</w:t>
      </w:r>
      <w:bookmarkEnd w:id="20"/>
    </w:p>
    <w:p w14:paraId="5EB9926F" w14:textId="2C2E532E" w:rsidR="001259BF" w:rsidRPr="00C21B1B" w:rsidRDefault="001259BF" w:rsidP="001259BF">
      <w:pPr>
        <w:pStyle w:val="Normalaftertitle"/>
        <w:jc w:val="both"/>
      </w:pPr>
      <w:r w:rsidRPr="00C21B1B">
        <w:t xml:space="preserve">The UN Inter-Agency meetings on Outer Space Activities started in the mid-1970s before being referred to as </w:t>
      </w:r>
      <w:r>
        <w:t>“</w:t>
      </w:r>
      <w:r w:rsidRPr="00C21B1B">
        <w:t>UN-Space</w:t>
      </w:r>
      <w:r>
        <w:t>”</w:t>
      </w:r>
      <w:r w:rsidRPr="00C21B1B">
        <w:t xml:space="preserve"> by the General Assembly </w:t>
      </w:r>
      <w:r w:rsidR="000663A4" w:rsidRPr="00C21B1B">
        <w:t xml:space="preserve">Resolution </w:t>
      </w:r>
      <w:r w:rsidRPr="00C21B1B">
        <w:t>68/75a of December 2013.</w:t>
      </w:r>
    </w:p>
    <w:p w14:paraId="10339813" w14:textId="77777777" w:rsidR="001259BF" w:rsidRPr="00C21B1B" w:rsidRDefault="001259BF" w:rsidP="001259BF">
      <w:pPr>
        <w:jc w:val="both"/>
      </w:pPr>
      <w:r w:rsidRPr="00C21B1B">
        <w:t xml:space="preserve">UN-Space is a mechanism to promote collaboration, synergy, exchange of information and coordination of plans and programmes of United Nations entities (departments, offices, funds, programmes and specialized agencies) in the implementation of activities involving the use of space technology and its applications. </w:t>
      </w:r>
    </w:p>
    <w:p w14:paraId="265DCC06" w14:textId="77777777" w:rsidR="001259BF" w:rsidRPr="00C21B1B" w:rsidRDefault="001259BF" w:rsidP="001259BF">
      <w:pPr>
        <w:jc w:val="both"/>
      </w:pPr>
      <w:r w:rsidRPr="00C21B1B">
        <w:t>The Office for Outer Space Affairs leads UN-Space and acts as its secretariat. Thirty-</w:t>
      </w:r>
      <w:r>
        <w:t>five</w:t>
      </w:r>
      <w:r w:rsidRPr="00C21B1B">
        <w:t xml:space="preserve"> United Nations entities are participating (</w:t>
      </w:r>
      <w:hyperlink r:id="rId36" w:history="1">
        <w:r w:rsidRPr="00C21B1B">
          <w:rPr>
            <w:rStyle w:val="Hyperlink"/>
            <w:bCs/>
            <w:szCs w:val="24"/>
          </w:rPr>
          <w:t>https://www.unoosa.org/oosa/en/ourwork/un-space/po.html</w:t>
        </w:r>
      </w:hyperlink>
      <w:r w:rsidRPr="00C21B1B">
        <w:t>)</w:t>
      </w:r>
      <w:r>
        <w:t>.</w:t>
      </w:r>
    </w:p>
    <w:p w14:paraId="7768C1B7" w14:textId="77777777" w:rsidR="001259BF" w:rsidRDefault="001259BF" w:rsidP="001259BF">
      <w:pPr>
        <w:jc w:val="both"/>
      </w:pPr>
      <w:r w:rsidRPr="009A049F">
        <w:t xml:space="preserve">At its </w:t>
      </w:r>
      <w:hyperlink r:id="rId37" w:history="1">
        <w:r w:rsidRPr="009A049F">
          <w:rPr>
            <w:rStyle w:val="Hyperlink"/>
            <w:rFonts w:cstheme="minorHAnsi"/>
            <w:szCs w:val="24"/>
          </w:rPr>
          <w:t>67</w:t>
        </w:r>
        <w:r w:rsidRPr="009A049F">
          <w:rPr>
            <w:rStyle w:val="Hyperlink"/>
            <w:rFonts w:cstheme="minorHAnsi"/>
            <w:szCs w:val="24"/>
            <w:vertAlign w:val="superscript"/>
          </w:rPr>
          <w:t>th</w:t>
        </w:r>
        <w:r w:rsidRPr="009A049F">
          <w:rPr>
            <w:rStyle w:val="Hyperlink"/>
            <w:rFonts w:cstheme="minorHAnsi"/>
            <w:szCs w:val="24"/>
          </w:rPr>
          <w:t xml:space="preserve"> session</w:t>
        </w:r>
      </w:hyperlink>
      <w:r w:rsidRPr="009A049F">
        <w:t xml:space="preserve"> in June 2024</w:t>
      </w:r>
      <w:r>
        <w:t xml:space="preserve">, the </w:t>
      </w:r>
      <w:r w:rsidRPr="00734A82">
        <w:t>Committee on the Peaceful Uses of Outer Space</w:t>
      </w:r>
      <w:r>
        <w:t xml:space="preserve"> (COPUOS) continued to </w:t>
      </w:r>
      <w:r w:rsidRPr="00020BF0">
        <w:t xml:space="preserve">encourage entities of the </w:t>
      </w:r>
      <w:r>
        <w:t>UN</w:t>
      </w:r>
      <w:r w:rsidRPr="00020BF0">
        <w:t xml:space="preserve"> system to participate, as appropriate, in the coordination efforts of UN-Space</w:t>
      </w:r>
      <w:r>
        <w:t>.</w:t>
      </w:r>
    </w:p>
    <w:p w14:paraId="08DC8AE3" w14:textId="77777777" w:rsidR="001259BF" w:rsidRPr="00A342A9" w:rsidRDefault="001259BF" w:rsidP="001259BF">
      <w:pPr>
        <w:jc w:val="both"/>
        <w:rPr>
          <w:rFonts w:cstheme="minorBidi"/>
        </w:rPr>
      </w:pPr>
      <w:r w:rsidRPr="004C55AF">
        <w:t xml:space="preserve">The </w:t>
      </w:r>
      <w:hyperlink r:id="rId38" w:history="1">
        <w:r w:rsidRPr="009A049F">
          <w:rPr>
            <w:rStyle w:val="Hyperlink"/>
            <w:rFonts w:cstheme="minorHAnsi"/>
            <w:szCs w:val="24"/>
          </w:rPr>
          <w:t>43</w:t>
        </w:r>
        <w:r w:rsidRPr="009A049F">
          <w:rPr>
            <w:rStyle w:val="Hyperlink"/>
            <w:rFonts w:cstheme="minorHAnsi"/>
            <w:szCs w:val="24"/>
            <w:vertAlign w:val="superscript"/>
          </w:rPr>
          <w:t>rd</w:t>
        </w:r>
        <w:r w:rsidRPr="009A049F">
          <w:rPr>
            <w:rStyle w:val="Hyperlink"/>
            <w:rFonts w:cstheme="minorHAnsi"/>
            <w:szCs w:val="24"/>
          </w:rPr>
          <w:t xml:space="preserve"> session of </w:t>
        </w:r>
        <w:r w:rsidRPr="009A049F">
          <w:rPr>
            <w:rStyle w:val="Hyperlink"/>
            <w:rFonts w:cstheme="minorHAnsi"/>
          </w:rPr>
          <w:t>UN-Space</w:t>
        </w:r>
      </w:hyperlink>
      <w:r w:rsidRPr="009A049F">
        <w:t xml:space="preserve"> was held on </w:t>
      </w:r>
      <w:r>
        <w:t>31</w:t>
      </w:r>
      <w:r w:rsidRPr="004C55AF">
        <w:t xml:space="preserve"> October 202</w:t>
      </w:r>
      <w:r>
        <w:t xml:space="preserve">4 at UN New York in </w:t>
      </w:r>
      <w:r w:rsidRPr="009A049F">
        <w:t>partner</w:t>
      </w:r>
      <w:r>
        <w:t>ship</w:t>
      </w:r>
      <w:r w:rsidRPr="009A049F">
        <w:t xml:space="preserve"> with</w:t>
      </w:r>
      <w:r>
        <w:t xml:space="preserve"> the Capacity Development and Operational Training Service</w:t>
      </w:r>
      <w:r w:rsidRPr="009A049F">
        <w:t xml:space="preserve"> </w:t>
      </w:r>
      <w:hyperlink r:id="rId39" w:history="1">
        <w:r w:rsidRPr="00C1326D">
          <w:rPr>
            <w:rStyle w:val="Hyperlink"/>
            <w:rFonts w:cstheme="minorHAnsi"/>
            <w:szCs w:val="24"/>
          </w:rPr>
          <w:t>CDOTS</w:t>
        </w:r>
      </w:hyperlink>
      <w:r>
        <w:t xml:space="preserve"> of the Department of Operational Support</w:t>
      </w:r>
      <w:r w:rsidRPr="004C55AF">
        <w:t xml:space="preserve">. </w:t>
      </w:r>
      <w:r>
        <w:rPr>
          <w:rFonts w:cstheme="minorBidi"/>
        </w:rPr>
        <w:t>D</w:t>
      </w:r>
      <w:r w:rsidRPr="00A342A9">
        <w:rPr>
          <w:rFonts w:cstheme="minorBidi"/>
        </w:rPr>
        <w:t xml:space="preserve">uring </w:t>
      </w:r>
      <w:r>
        <w:rPr>
          <w:rFonts w:cstheme="minorBidi"/>
        </w:rPr>
        <w:t>the meeting</w:t>
      </w:r>
      <w:r w:rsidRPr="00A342A9">
        <w:rPr>
          <w:rFonts w:cstheme="minorBidi"/>
        </w:rPr>
        <w:t xml:space="preserve"> </w:t>
      </w:r>
      <w:r>
        <w:rPr>
          <w:rFonts w:cstheme="minorBidi"/>
        </w:rPr>
        <w:t>UN</w:t>
      </w:r>
      <w:r w:rsidRPr="00A342A9">
        <w:rPr>
          <w:rFonts w:cstheme="minorBidi"/>
        </w:rPr>
        <w:t xml:space="preserve"> </w:t>
      </w:r>
      <w:r>
        <w:rPr>
          <w:rFonts w:cstheme="minorBidi"/>
        </w:rPr>
        <w:t>entities</w:t>
      </w:r>
      <w:r w:rsidRPr="00A342A9">
        <w:rPr>
          <w:rFonts w:cstheme="minorBidi"/>
        </w:rPr>
        <w:t xml:space="preserve"> reported on their advancements in </w:t>
      </w:r>
      <w:r>
        <w:rPr>
          <w:rFonts w:cstheme="minorBidi"/>
        </w:rPr>
        <w:t>ensuring</w:t>
      </w:r>
      <w:r w:rsidRPr="00A342A9">
        <w:rPr>
          <w:rFonts w:cstheme="minorBidi"/>
        </w:rPr>
        <w:t xml:space="preserve"> the sustainable </w:t>
      </w:r>
      <w:r>
        <w:rPr>
          <w:rFonts w:cstheme="minorBidi"/>
        </w:rPr>
        <w:t>use</w:t>
      </w:r>
      <w:r w:rsidRPr="00A342A9">
        <w:rPr>
          <w:rFonts w:cstheme="minorBidi"/>
        </w:rPr>
        <w:t xml:space="preserve"> of space. The </w:t>
      </w:r>
      <w:r>
        <w:rPr>
          <w:rFonts w:cstheme="minorBidi"/>
        </w:rPr>
        <w:t>entities</w:t>
      </w:r>
      <w:r w:rsidRPr="00A342A9">
        <w:rPr>
          <w:rFonts w:cstheme="minorBidi"/>
        </w:rPr>
        <w:t xml:space="preserve"> </w:t>
      </w:r>
      <w:r>
        <w:rPr>
          <w:rFonts w:cstheme="minorBidi"/>
        </w:rPr>
        <w:t>focussed</w:t>
      </w:r>
      <w:r w:rsidRPr="00A342A9">
        <w:rPr>
          <w:rFonts w:cstheme="minorBidi"/>
        </w:rPr>
        <w:t xml:space="preserve"> </w:t>
      </w:r>
      <w:r>
        <w:rPr>
          <w:rFonts w:cstheme="minorBidi"/>
        </w:rPr>
        <w:t xml:space="preserve">on </w:t>
      </w:r>
      <w:r w:rsidRPr="00A342A9">
        <w:rPr>
          <w:rFonts w:cstheme="minorBidi"/>
        </w:rPr>
        <w:t xml:space="preserve">three </w:t>
      </w:r>
      <w:r>
        <w:rPr>
          <w:rFonts w:cstheme="minorBidi"/>
        </w:rPr>
        <w:t>topics</w:t>
      </w:r>
      <w:r w:rsidRPr="00A342A9">
        <w:rPr>
          <w:rFonts w:cstheme="minorBidi"/>
        </w:rPr>
        <w:t>:</w:t>
      </w:r>
    </w:p>
    <w:p w14:paraId="0FC8CE41" w14:textId="77777777" w:rsidR="001259BF" w:rsidRPr="00A342A9" w:rsidRDefault="001259BF" w:rsidP="001259BF">
      <w:pPr>
        <w:pStyle w:val="enumlev1"/>
        <w:jc w:val="both"/>
      </w:pPr>
      <w:r w:rsidRPr="00A342A9">
        <w:t>1</w:t>
      </w:r>
      <w:r w:rsidRPr="00A342A9">
        <w:tab/>
        <w:t>The Role of UN in Space Traffic Management</w:t>
      </w:r>
      <w:r>
        <w:t xml:space="preserve"> and Coordination</w:t>
      </w:r>
      <w:r w:rsidRPr="00A342A9">
        <w:t xml:space="preserve">: The </w:t>
      </w:r>
      <w:r>
        <w:t>entities</w:t>
      </w:r>
      <w:r w:rsidRPr="00A342A9">
        <w:t xml:space="preserve"> </w:t>
      </w:r>
      <w:r>
        <w:t>recognised</w:t>
      </w:r>
      <w:r w:rsidRPr="00A342A9">
        <w:t xml:space="preserve"> the necessity for enhanced transparency and coordination in sharing data pertaining to space traffic</w:t>
      </w:r>
      <w:r>
        <w:t xml:space="preserve">, and that UN entities </w:t>
      </w:r>
      <w:proofErr w:type="gramStart"/>
      <w:r>
        <w:t>has</w:t>
      </w:r>
      <w:proofErr w:type="gramEnd"/>
      <w:r>
        <w:t xml:space="preserve"> a unique role to play.</w:t>
      </w:r>
    </w:p>
    <w:p w14:paraId="259D5866" w14:textId="77777777" w:rsidR="001259BF" w:rsidRPr="00A342A9" w:rsidRDefault="001259BF" w:rsidP="001259BF">
      <w:pPr>
        <w:pStyle w:val="enumlev1"/>
        <w:jc w:val="both"/>
      </w:pPr>
      <w:r w:rsidRPr="00A342A9">
        <w:t>2</w:t>
      </w:r>
      <w:r w:rsidRPr="00A342A9">
        <w:tab/>
        <w:t xml:space="preserve">The </w:t>
      </w:r>
      <w:r>
        <w:t>importance</w:t>
      </w:r>
      <w:r w:rsidRPr="00A342A9">
        <w:t xml:space="preserve"> of Satellite Imagery for UN </w:t>
      </w:r>
      <w:r>
        <w:t>Programmes and Missions</w:t>
      </w:r>
      <w:r w:rsidRPr="00A342A9">
        <w:t xml:space="preserve">: The UNOOSA </w:t>
      </w:r>
      <w:r>
        <w:t>presented</w:t>
      </w:r>
      <w:r w:rsidRPr="00A342A9">
        <w:t xml:space="preserve"> the </w:t>
      </w:r>
      <w:r>
        <w:rPr>
          <w:rFonts w:cstheme="minorHAnsi"/>
          <w:szCs w:val="24"/>
        </w:rPr>
        <w:t>UN</w:t>
      </w:r>
      <w:r w:rsidRPr="007A12F9">
        <w:rPr>
          <w:rFonts w:cstheme="minorHAnsi"/>
          <w:szCs w:val="24"/>
        </w:rPr>
        <w:t xml:space="preserve"> Platform for Space-based Information for Disaster Management and Emergency Response </w:t>
      </w:r>
      <w:r>
        <w:rPr>
          <w:rFonts w:cstheme="minorHAnsi"/>
          <w:szCs w:val="24"/>
        </w:rPr>
        <w:t>(</w:t>
      </w:r>
      <w:r w:rsidRPr="00A342A9">
        <w:t>UN-SPIDER</w:t>
      </w:r>
      <w:r>
        <w:t>)</w:t>
      </w:r>
      <w:r w:rsidRPr="00A342A9">
        <w:t xml:space="preserve">. </w:t>
      </w:r>
      <w:r>
        <w:t xml:space="preserve">It was proposed to resume </w:t>
      </w:r>
      <w:r w:rsidRPr="00A342A9">
        <w:t xml:space="preserve">the </w:t>
      </w:r>
      <w:r>
        <w:t xml:space="preserve">UNOOSA initiative to </w:t>
      </w:r>
      <w:r w:rsidRPr="00A342A9">
        <w:t xml:space="preserve">establish of a unified approach for the procurement of satellite imagery to support </w:t>
      </w:r>
      <w:r>
        <w:t>UN</w:t>
      </w:r>
      <w:r w:rsidRPr="00A342A9">
        <w:t xml:space="preserve"> operations.</w:t>
      </w:r>
    </w:p>
    <w:p w14:paraId="20551128" w14:textId="77777777" w:rsidR="001259BF" w:rsidRPr="00A342A9" w:rsidRDefault="001259BF" w:rsidP="001259BF">
      <w:pPr>
        <w:pStyle w:val="enumlev1"/>
        <w:jc w:val="both"/>
      </w:pPr>
      <w:r w:rsidRPr="00A342A9">
        <w:t>3</w:t>
      </w:r>
      <w:r w:rsidRPr="00A342A9">
        <w:tab/>
      </w:r>
      <w:r>
        <w:t>New</w:t>
      </w:r>
      <w:r w:rsidRPr="00A342A9">
        <w:t xml:space="preserve"> </w:t>
      </w:r>
      <w:r>
        <w:t xml:space="preserve">allocation of radio frequency spectrum to International </w:t>
      </w:r>
      <w:r w:rsidRPr="00A342A9">
        <w:t>Mobile Telecommunications</w:t>
      </w:r>
      <w:r>
        <w:t xml:space="preserve"> (IMT)</w:t>
      </w:r>
      <w:r w:rsidRPr="00A342A9">
        <w:t xml:space="preserve"> in </w:t>
      </w:r>
      <w:r>
        <w:t>frequency b</w:t>
      </w:r>
      <w:r w:rsidRPr="00A342A9">
        <w:t>ands</w:t>
      </w:r>
      <w:r>
        <w:t xml:space="preserve"> already allocated to satellite services</w:t>
      </w:r>
      <w:r w:rsidRPr="00A342A9">
        <w:t xml:space="preserve">: The ITU </w:t>
      </w:r>
      <w:r>
        <w:t xml:space="preserve">presented information about </w:t>
      </w:r>
      <w:r w:rsidRPr="00A342A9">
        <w:t xml:space="preserve">agenda item </w:t>
      </w:r>
      <w:r>
        <w:t xml:space="preserve">1.7 of </w:t>
      </w:r>
      <w:r w:rsidRPr="00A342A9">
        <w:t xml:space="preserve">the World Radiocommunication Conference 2027, which </w:t>
      </w:r>
      <w:r>
        <w:t>deals with the possible identification for IMT</w:t>
      </w:r>
      <w:r w:rsidRPr="00A342A9">
        <w:t xml:space="preserve"> systems </w:t>
      </w:r>
      <w:r>
        <w:t xml:space="preserve">of some </w:t>
      </w:r>
      <w:r w:rsidRPr="00A342A9">
        <w:t xml:space="preserve">frequency bands currently </w:t>
      </w:r>
      <w:r>
        <w:t>used</w:t>
      </w:r>
      <w:r w:rsidRPr="00A342A9">
        <w:t xml:space="preserve"> by Earth observation and meteorological satellites. </w:t>
      </w:r>
      <w:r>
        <w:t>UN entities</w:t>
      </w:r>
      <w:r w:rsidRPr="00A342A9">
        <w:t xml:space="preserve"> such as the World Meteorological Organization (WMO) </w:t>
      </w:r>
      <w:r>
        <w:t xml:space="preserve">explained </w:t>
      </w:r>
      <w:r w:rsidRPr="00A342A9">
        <w:t xml:space="preserve">their involvement in the </w:t>
      </w:r>
      <w:r>
        <w:t>current</w:t>
      </w:r>
      <w:r w:rsidRPr="00A342A9">
        <w:t xml:space="preserve"> ITU-R studies.</w:t>
      </w:r>
    </w:p>
    <w:p w14:paraId="7A7FE5AC" w14:textId="77777777" w:rsidR="001259BF" w:rsidRPr="00C21B1B" w:rsidRDefault="001259BF" w:rsidP="001259BF">
      <w:pPr>
        <w:jc w:val="both"/>
      </w:pPr>
      <w:r>
        <w:t>The UN-Space</w:t>
      </w:r>
      <w:r w:rsidRPr="00D520CA">
        <w:t xml:space="preserve"> will report to the UN Secretary-General on the coordination of space-related activities within the </w:t>
      </w:r>
      <w:r>
        <w:t>UN</w:t>
      </w:r>
      <w:r w:rsidRPr="00D520CA">
        <w:t xml:space="preserve"> system. This report will be also submitted to the </w:t>
      </w:r>
      <w:r>
        <w:t>COPUOS</w:t>
      </w:r>
      <w:r w:rsidRPr="008B3F0E">
        <w:t xml:space="preserve"> </w:t>
      </w:r>
      <w:r>
        <w:t xml:space="preserve">session </w:t>
      </w:r>
      <w:r w:rsidRPr="008B3F0E">
        <w:t>in June 202</w:t>
      </w:r>
      <w:r>
        <w:t>5</w:t>
      </w:r>
      <w:r w:rsidRPr="008B3F0E">
        <w:t>.</w:t>
      </w:r>
    </w:p>
    <w:p w14:paraId="179AF5E4" w14:textId="77777777" w:rsidR="001259BF" w:rsidRDefault="001259BF" w:rsidP="001259BF">
      <w:pPr>
        <w:jc w:val="both"/>
        <w:rPr>
          <w:rFonts w:cstheme="minorBidi"/>
        </w:rPr>
      </w:pPr>
      <w:r w:rsidRPr="794AFA46">
        <w:rPr>
          <w:rFonts w:cstheme="minorBidi"/>
        </w:rPr>
        <w:t xml:space="preserve">To summarise thematic activities carried out by </w:t>
      </w:r>
      <w:r>
        <w:rPr>
          <w:rFonts w:cstheme="minorBidi"/>
        </w:rPr>
        <w:t>UN</w:t>
      </w:r>
      <w:r w:rsidRPr="794AFA46">
        <w:rPr>
          <w:rFonts w:cstheme="minorBidi"/>
        </w:rPr>
        <w:t xml:space="preserve"> entities, UN-Space produces, on biennial basis, </w:t>
      </w:r>
      <w:hyperlink r:id="rId40" w:history="1">
        <w:r w:rsidRPr="794AFA46">
          <w:rPr>
            <w:rStyle w:val="Hyperlink"/>
            <w:rFonts w:cstheme="minorBidi"/>
          </w:rPr>
          <w:t>special reports</w:t>
        </w:r>
      </w:hyperlink>
      <w:r w:rsidRPr="794AFA46">
        <w:rPr>
          <w:rFonts w:cstheme="minorBidi"/>
        </w:rPr>
        <w:t xml:space="preserve"> for submission to the COPUOS. ITU contributes to these special reports on initiatives and applications for space-related inter-agency cooperation. </w:t>
      </w:r>
    </w:p>
    <w:p w14:paraId="2ED7EFCA" w14:textId="77777777" w:rsidR="001259BF" w:rsidRDefault="001259BF" w:rsidP="001259BF">
      <w:pPr>
        <w:jc w:val="both"/>
        <w:rPr>
          <w:rFonts w:cstheme="minorBidi"/>
        </w:rPr>
      </w:pPr>
      <w:r w:rsidRPr="794AFA46">
        <w:rPr>
          <w:rFonts w:cstheme="minorBidi"/>
        </w:rPr>
        <w:t>The last report was released in 202</w:t>
      </w:r>
      <w:r>
        <w:rPr>
          <w:rFonts w:cstheme="minorBidi"/>
        </w:rPr>
        <w:t>4</w:t>
      </w:r>
      <w:r w:rsidRPr="794AFA46">
        <w:rPr>
          <w:rFonts w:cstheme="minorBidi"/>
        </w:rPr>
        <w:t xml:space="preserve"> </w:t>
      </w:r>
      <w:r>
        <w:rPr>
          <w:rFonts w:cstheme="minorBidi"/>
        </w:rPr>
        <w:t>on</w:t>
      </w:r>
      <w:r w:rsidRPr="794AFA46">
        <w:rPr>
          <w:rFonts w:cstheme="minorBidi"/>
        </w:rPr>
        <w:t xml:space="preserve"> the topic of </w:t>
      </w:r>
      <w:r>
        <w:rPr>
          <w:rFonts w:cstheme="minorBidi"/>
        </w:rPr>
        <w:t>“</w:t>
      </w:r>
      <w:hyperlink r:id="rId41" w:history="1">
        <w:r w:rsidRPr="007A12F9">
          <w:rPr>
            <w:rStyle w:val="Hyperlink"/>
          </w:rPr>
          <w:t>Space debris</w:t>
        </w:r>
      </w:hyperlink>
      <w:r>
        <w:rPr>
          <w:rFonts w:cstheme="minorBidi"/>
        </w:rPr>
        <w:t>“</w:t>
      </w:r>
      <w:r w:rsidRPr="794AFA46">
        <w:rPr>
          <w:rFonts w:cstheme="minorBidi"/>
        </w:rPr>
        <w:t>.</w:t>
      </w:r>
      <w:r>
        <w:rPr>
          <w:rFonts w:cstheme="minorBidi"/>
        </w:rPr>
        <w:t xml:space="preserve"> Ten UN</w:t>
      </w:r>
      <w:r w:rsidRPr="000D2FD5">
        <w:rPr>
          <w:rFonts w:cstheme="minorBidi"/>
        </w:rPr>
        <w:t xml:space="preserve"> entities had contributed emphasiz</w:t>
      </w:r>
      <w:r>
        <w:rPr>
          <w:rFonts w:cstheme="minorBidi"/>
        </w:rPr>
        <w:t>ing</w:t>
      </w:r>
      <w:r w:rsidRPr="000D2FD5">
        <w:rPr>
          <w:rFonts w:cstheme="minorBidi"/>
        </w:rPr>
        <w:t xml:space="preserve"> the need for a multifaceted approach to address the challenges </w:t>
      </w:r>
      <w:r w:rsidRPr="000D2FD5">
        <w:rPr>
          <w:rFonts w:cstheme="minorBidi"/>
        </w:rPr>
        <w:lastRenderedPageBreak/>
        <w:t>posed by space debris. That approach should involve not only technical but also regulatory, policy, legal and cooperative measures</w:t>
      </w:r>
      <w:r>
        <w:rPr>
          <w:rFonts w:cstheme="minorBidi"/>
        </w:rPr>
        <w:t>.</w:t>
      </w:r>
      <w:r w:rsidRPr="794AFA46">
        <w:rPr>
          <w:rFonts w:cstheme="minorBidi"/>
        </w:rPr>
        <w:t xml:space="preserve"> </w:t>
      </w:r>
    </w:p>
    <w:p w14:paraId="2D16E88F" w14:textId="77777777" w:rsidR="001259BF" w:rsidRDefault="001259BF" w:rsidP="001259BF">
      <w:pPr>
        <w:jc w:val="both"/>
        <w:rPr>
          <w:rFonts w:cstheme="minorBidi"/>
          <w:lang w:eastAsia="en-GB"/>
        </w:rPr>
      </w:pPr>
      <w:r>
        <w:rPr>
          <w:rFonts w:cstheme="minorBidi"/>
        </w:rPr>
        <w:t xml:space="preserve">In the Chapter K about </w:t>
      </w:r>
      <w:r w:rsidRPr="007A12F9">
        <w:rPr>
          <w:rFonts w:cstheme="minorBidi"/>
        </w:rPr>
        <w:t>Radio frequency spectrum and associated satellite orbit resources</w:t>
      </w:r>
      <w:r>
        <w:rPr>
          <w:rFonts w:cstheme="minorBidi"/>
        </w:rPr>
        <w:t xml:space="preserve">, </w:t>
      </w:r>
      <w:r>
        <w:rPr>
          <w:rFonts w:cstheme="minorBidi"/>
          <w:lang w:eastAsia="en-GB"/>
        </w:rPr>
        <w:t>the</w:t>
      </w:r>
      <w:r w:rsidRPr="00642D49">
        <w:rPr>
          <w:rFonts w:cstheme="minorBidi"/>
          <w:lang w:eastAsia="en-GB"/>
        </w:rPr>
        <w:t xml:space="preserve"> enabling role</w:t>
      </w:r>
      <w:r>
        <w:rPr>
          <w:rFonts w:cstheme="minorBidi"/>
          <w:lang w:eastAsia="en-GB"/>
        </w:rPr>
        <w:t xml:space="preserve"> of ITU</w:t>
      </w:r>
      <w:r w:rsidRPr="00642D49">
        <w:rPr>
          <w:rFonts w:cstheme="minorBidi"/>
          <w:lang w:eastAsia="en-GB"/>
        </w:rPr>
        <w:t xml:space="preserve"> in facilitating access to outer space activities</w:t>
      </w:r>
      <w:r>
        <w:rPr>
          <w:rFonts w:cstheme="minorBidi"/>
          <w:lang w:eastAsia="en-GB"/>
        </w:rPr>
        <w:t xml:space="preserve"> in</w:t>
      </w:r>
      <w:r w:rsidRPr="00642D49">
        <w:rPr>
          <w:rFonts w:cstheme="minorBidi"/>
          <w:lang w:eastAsia="en-GB"/>
        </w:rPr>
        <w:t xml:space="preserve"> an increasingly congested space environment</w:t>
      </w:r>
      <w:r>
        <w:rPr>
          <w:rFonts w:cstheme="minorBidi"/>
          <w:lang w:eastAsia="en-GB"/>
        </w:rPr>
        <w:t xml:space="preserve"> is reminded as a</w:t>
      </w:r>
      <w:r w:rsidRPr="00642D49">
        <w:rPr>
          <w:rFonts w:cstheme="minorBidi"/>
          <w:lang w:eastAsia="en-GB"/>
        </w:rPr>
        <w:t xml:space="preserve"> contribut</w:t>
      </w:r>
      <w:r>
        <w:rPr>
          <w:rFonts w:cstheme="minorBidi"/>
          <w:lang w:eastAsia="en-GB"/>
        </w:rPr>
        <w:t>ion</w:t>
      </w:r>
      <w:r w:rsidRPr="00642D49">
        <w:rPr>
          <w:rFonts w:cstheme="minorBidi"/>
          <w:lang w:eastAsia="en-GB"/>
        </w:rPr>
        <w:t xml:space="preserve"> to the global response to the challenges caused by space debris. While such objects may not actively transmit signals, the associated risks include physical collisions or signal disruption, especially if the objects deviate from their orbital locations as recorded by ITU. </w:t>
      </w:r>
    </w:p>
    <w:p w14:paraId="62E4770F" w14:textId="77777777" w:rsidR="001259BF" w:rsidRDefault="001259BF" w:rsidP="001259BF">
      <w:pPr>
        <w:jc w:val="both"/>
        <w:rPr>
          <w:rFonts w:cstheme="minorBidi"/>
          <w:lang w:eastAsia="en-GB"/>
        </w:rPr>
      </w:pPr>
      <w:r>
        <w:rPr>
          <w:rFonts w:cstheme="minorBidi"/>
          <w:lang w:eastAsia="en-GB"/>
        </w:rPr>
        <w:t>T</w:t>
      </w:r>
      <w:r w:rsidRPr="00642D49">
        <w:rPr>
          <w:rFonts w:cstheme="minorBidi"/>
          <w:lang w:eastAsia="en-GB"/>
        </w:rPr>
        <w:t xml:space="preserve">he </w:t>
      </w:r>
      <w:r>
        <w:rPr>
          <w:rFonts w:cstheme="minorBidi"/>
          <w:lang w:eastAsia="en-GB"/>
        </w:rPr>
        <w:t>ITU-R R</w:t>
      </w:r>
      <w:r w:rsidRPr="00642D49">
        <w:rPr>
          <w:rFonts w:cstheme="minorBidi"/>
          <w:lang w:eastAsia="en-GB"/>
        </w:rPr>
        <w:t xml:space="preserve">ecommendation entitled </w:t>
      </w:r>
      <w:r>
        <w:rPr>
          <w:rFonts w:cstheme="minorBidi"/>
          <w:lang w:eastAsia="en-GB"/>
        </w:rPr>
        <w:t>“</w:t>
      </w:r>
      <w:r w:rsidRPr="00642D49">
        <w:rPr>
          <w:rFonts w:cstheme="minorBidi"/>
          <w:lang w:eastAsia="en-GB"/>
        </w:rPr>
        <w:t>Environmental protection of the geostationary satellite orbit</w:t>
      </w:r>
      <w:r>
        <w:rPr>
          <w:rFonts w:cstheme="minorBidi"/>
          <w:lang w:eastAsia="en-GB"/>
        </w:rPr>
        <w:t>”</w:t>
      </w:r>
      <w:r w:rsidRPr="00642D49">
        <w:rPr>
          <w:rFonts w:cstheme="minorBidi"/>
          <w:lang w:eastAsia="en-GB"/>
        </w:rPr>
        <w:t xml:space="preserve"> (ITU-R S.1003.2), </w:t>
      </w:r>
      <w:r>
        <w:rPr>
          <w:rFonts w:cstheme="minorBidi"/>
          <w:lang w:eastAsia="en-GB"/>
        </w:rPr>
        <w:t>the</w:t>
      </w:r>
      <w:r w:rsidRPr="00642D49">
        <w:rPr>
          <w:rFonts w:cstheme="minorBidi"/>
          <w:lang w:eastAsia="en-GB"/>
        </w:rPr>
        <w:t xml:space="preserve"> </w:t>
      </w:r>
      <w:r>
        <w:rPr>
          <w:rFonts w:cstheme="minorBidi"/>
          <w:lang w:eastAsia="en-GB"/>
        </w:rPr>
        <w:t>PP-22 R</w:t>
      </w:r>
      <w:r w:rsidRPr="00642D49">
        <w:rPr>
          <w:rFonts w:cstheme="minorBidi"/>
          <w:lang w:eastAsia="en-GB"/>
        </w:rPr>
        <w:t>esolution on the sustainability of the radio frequency spectrum and associated satellite orbit resources used by space services (Resolution 219</w:t>
      </w:r>
      <w:r>
        <w:rPr>
          <w:rFonts w:cstheme="minorBidi"/>
          <w:lang w:eastAsia="en-GB"/>
        </w:rPr>
        <w:t xml:space="preserve">, </w:t>
      </w:r>
      <w:r w:rsidRPr="00642D49">
        <w:rPr>
          <w:rFonts w:cstheme="minorBidi"/>
          <w:lang w:eastAsia="en-GB"/>
        </w:rPr>
        <w:t>Bucharest, 2022)</w:t>
      </w:r>
      <w:r>
        <w:rPr>
          <w:rFonts w:cstheme="minorBidi"/>
          <w:lang w:eastAsia="en-GB"/>
        </w:rPr>
        <w:t>, the RA-23 R</w:t>
      </w:r>
      <w:r w:rsidRPr="00642D49">
        <w:rPr>
          <w:rFonts w:cstheme="minorBidi"/>
          <w:lang w:eastAsia="en-GB"/>
        </w:rPr>
        <w:t>esolution on activities related to the sustainable use of radio frequency spectrum and associated satellite orbit resources used by space services (</w:t>
      </w:r>
      <w:r>
        <w:rPr>
          <w:rFonts w:cstheme="minorBidi"/>
          <w:lang w:eastAsia="en-GB"/>
        </w:rPr>
        <w:t xml:space="preserve">RA-23 </w:t>
      </w:r>
      <w:r w:rsidRPr="00642D49">
        <w:rPr>
          <w:rFonts w:cstheme="minorBidi"/>
          <w:lang w:eastAsia="en-GB"/>
        </w:rPr>
        <w:t>Resolution ITU-R 74</w:t>
      </w:r>
      <w:r>
        <w:rPr>
          <w:rFonts w:cstheme="minorBidi"/>
          <w:lang w:eastAsia="en-GB"/>
        </w:rPr>
        <w:t>, Dubai, 2023</w:t>
      </w:r>
      <w:r w:rsidRPr="00642D49">
        <w:rPr>
          <w:rFonts w:cstheme="minorBidi"/>
          <w:lang w:eastAsia="en-GB"/>
        </w:rPr>
        <w:t>)</w:t>
      </w:r>
      <w:r>
        <w:rPr>
          <w:rFonts w:cstheme="minorBidi"/>
          <w:lang w:eastAsia="en-GB"/>
        </w:rPr>
        <w:t xml:space="preserve">, the </w:t>
      </w:r>
      <w:r w:rsidRPr="00642D49">
        <w:rPr>
          <w:rFonts w:cstheme="minorBidi"/>
          <w:lang w:eastAsia="en-GB"/>
        </w:rPr>
        <w:t>World Radiocommunication Conference (WRC-23</w:t>
      </w:r>
      <w:r>
        <w:rPr>
          <w:rFonts w:cstheme="minorBidi"/>
          <w:lang w:eastAsia="en-GB"/>
        </w:rPr>
        <w:t>, Dubai, 2023</w:t>
      </w:r>
      <w:r w:rsidRPr="00642D49">
        <w:rPr>
          <w:rFonts w:cstheme="minorBidi"/>
          <w:lang w:eastAsia="en-GB"/>
        </w:rPr>
        <w:t>)</w:t>
      </w:r>
      <w:r>
        <w:rPr>
          <w:rFonts w:cstheme="minorBidi"/>
          <w:lang w:eastAsia="en-GB"/>
        </w:rPr>
        <w:t xml:space="preserve"> decisions are also recalled among the </w:t>
      </w:r>
      <w:r w:rsidRPr="00642D49">
        <w:rPr>
          <w:rFonts w:cstheme="minorBidi"/>
          <w:lang w:eastAsia="en-GB"/>
        </w:rPr>
        <w:t xml:space="preserve">ITU </w:t>
      </w:r>
      <w:r>
        <w:rPr>
          <w:rFonts w:cstheme="minorBidi"/>
          <w:lang w:eastAsia="en-GB"/>
        </w:rPr>
        <w:t xml:space="preserve">contributions to the sustainability of space activities. </w:t>
      </w:r>
    </w:p>
    <w:p w14:paraId="71B874BB" w14:textId="77777777" w:rsidR="001259BF" w:rsidRDefault="001259BF" w:rsidP="001259BF">
      <w:pPr>
        <w:jc w:val="both"/>
        <w:rPr>
          <w:rFonts w:cstheme="minorBidi"/>
          <w:lang w:eastAsia="en-GB"/>
        </w:rPr>
      </w:pPr>
      <w:r>
        <w:rPr>
          <w:rFonts w:cstheme="minorBidi"/>
          <w:lang w:eastAsia="en-GB"/>
        </w:rPr>
        <w:t>In the report, t</w:t>
      </w:r>
      <w:r w:rsidRPr="00642D49">
        <w:rPr>
          <w:rFonts w:cstheme="minorBidi"/>
          <w:lang w:eastAsia="en-GB"/>
        </w:rPr>
        <w:t xml:space="preserve">he importance of ITU maintaining good coordination with the </w:t>
      </w:r>
      <w:r>
        <w:rPr>
          <w:rFonts w:cstheme="minorBidi"/>
          <w:lang w:eastAsia="en-GB"/>
        </w:rPr>
        <w:t>COPUOS</w:t>
      </w:r>
      <w:r w:rsidRPr="00642D49">
        <w:rPr>
          <w:rFonts w:cstheme="minorBidi"/>
          <w:lang w:eastAsia="en-GB"/>
        </w:rPr>
        <w:t xml:space="preserve"> and with </w:t>
      </w:r>
      <w:r>
        <w:rPr>
          <w:rFonts w:cstheme="minorBidi"/>
          <w:lang w:eastAsia="en-GB"/>
        </w:rPr>
        <w:t xml:space="preserve">UNOOSA </w:t>
      </w:r>
      <w:proofErr w:type="gramStart"/>
      <w:r w:rsidRPr="00642D49">
        <w:rPr>
          <w:rFonts w:cstheme="minorBidi"/>
          <w:lang w:eastAsia="en-GB"/>
        </w:rPr>
        <w:t>in order to</w:t>
      </w:r>
      <w:proofErr w:type="gramEnd"/>
      <w:r w:rsidRPr="00642D49">
        <w:rPr>
          <w:rFonts w:cstheme="minorBidi"/>
          <w:lang w:eastAsia="en-GB"/>
        </w:rPr>
        <w:t xml:space="preserve"> advance the long-term sustainability of outer space</w:t>
      </w:r>
      <w:r>
        <w:rPr>
          <w:rFonts w:cstheme="minorBidi"/>
          <w:lang w:eastAsia="en-GB"/>
        </w:rPr>
        <w:t xml:space="preserve"> is stressed</w:t>
      </w:r>
      <w:r w:rsidRPr="00642D49">
        <w:rPr>
          <w:rFonts w:cstheme="minorBidi"/>
          <w:lang w:eastAsia="en-GB"/>
        </w:rPr>
        <w:t xml:space="preserve">. </w:t>
      </w:r>
    </w:p>
    <w:p w14:paraId="4C63148E" w14:textId="77777777" w:rsidR="001259BF" w:rsidRDefault="001259BF" w:rsidP="001259BF">
      <w:pPr>
        <w:jc w:val="both"/>
        <w:rPr>
          <w:rFonts w:cstheme="minorBidi"/>
          <w:lang w:eastAsia="en-GB"/>
        </w:rPr>
      </w:pPr>
    </w:p>
    <w:p w14:paraId="6513180A" w14:textId="77777777" w:rsidR="007A3FCD" w:rsidRPr="00C0458D" w:rsidRDefault="007A3FCD" w:rsidP="007A3FCD">
      <w:pPr>
        <w:jc w:val="center"/>
      </w:pPr>
      <w:r>
        <w:t>______________</w:t>
      </w:r>
    </w:p>
    <w:sectPr w:rsidR="007A3FCD" w:rsidRPr="00C0458D" w:rsidSect="00AD3606">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D96B" w14:textId="77777777" w:rsidR="00D84B15" w:rsidRDefault="00D84B15">
      <w:r>
        <w:separator/>
      </w:r>
    </w:p>
  </w:endnote>
  <w:endnote w:type="continuationSeparator" w:id="0">
    <w:p w14:paraId="208502B3" w14:textId="77777777" w:rsidR="00D84B15" w:rsidRDefault="00D8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EBFDB35" w14:textId="77777777" w:rsidTr="0042469C">
      <w:trPr>
        <w:jc w:val="center"/>
      </w:trPr>
      <w:tc>
        <w:tcPr>
          <w:tcW w:w="1803" w:type="dxa"/>
          <w:vAlign w:val="center"/>
        </w:tcPr>
        <w:p w14:paraId="10735917" w14:textId="699F27CB" w:rsidR="00EE49E8" w:rsidRDefault="00EE49E8" w:rsidP="00EE49E8">
          <w:pPr>
            <w:pStyle w:val="Header"/>
            <w:jc w:val="left"/>
            <w:rPr>
              <w:noProof/>
            </w:rPr>
          </w:pPr>
        </w:p>
      </w:tc>
      <w:tc>
        <w:tcPr>
          <w:tcW w:w="8261" w:type="dxa"/>
        </w:tcPr>
        <w:p w14:paraId="342D73CA" w14:textId="1030C60E"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259BF">
            <w:rPr>
              <w:bCs/>
            </w:rPr>
            <w:t>INF/3</w:t>
          </w:r>
          <w:r w:rsidRPr="00623AE3">
            <w:rPr>
              <w:bCs/>
            </w:rPr>
            <w:t>-E</w:t>
          </w:r>
          <w:r>
            <w:rPr>
              <w:bCs/>
            </w:rPr>
            <w:tab/>
          </w:r>
          <w:r>
            <w:fldChar w:fldCharType="begin"/>
          </w:r>
          <w:r>
            <w:instrText>PAGE</w:instrText>
          </w:r>
          <w:r>
            <w:fldChar w:fldCharType="separate"/>
          </w:r>
          <w:r>
            <w:t>1</w:t>
          </w:r>
          <w:r>
            <w:rPr>
              <w:noProof/>
            </w:rPr>
            <w:fldChar w:fldCharType="end"/>
          </w:r>
        </w:p>
      </w:tc>
    </w:tr>
  </w:tbl>
  <w:p w14:paraId="31495D64"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25E81AC8" w14:textId="77777777" w:rsidTr="006B77F1">
      <w:trPr>
        <w:jc w:val="center"/>
      </w:trPr>
      <w:tc>
        <w:tcPr>
          <w:tcW w:w="1803" w:type="dxa"/>
          <w:vAlign w:val="center"/>
        </w:tcPr>
        <w:p w14:paraId="3F3CB750"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175152F4" w14:textId="00105F08"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B37B5">
            <w:rPr>
              <w:bCs/>
            </w:rPr>
            <w:t>INF/3</w:t>
          </w:r>
          <w:r w:rsidRPr="00623AE3">
            <w:rPr>
              <w:bCs/>
            </w:rPr>
            <w:t>-E</w:t>
          </w:r>
          <w:r>
            <w:rPr>
              <w:bCs/>
            </w:rPr>
            <w:tab/>
          </w:r>
          <w:r>
            <w:fldChar w:fldCharType="begin"/>
          </w:r>
          <w:r>
            <w:instrText>PAGE</w:instrText>
          </w:r>
          <w:r>
            <w:fldChar w:fldCharType="separate"/>
          </w:r>
          <w:r>
            <w:t>1</w:t>
          </w:r>
          <w:r>
            <w:rPr>
              <w:noProof/>
            </w:rPr>
            <w:fldChar w:fldCharType="end"/>
          </w:r>
        </w:p>
      </w:tc>
    </w:tr>
  </w:tbl>
  <w:p w14:paraId="545830B7"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4A2E" w14:textId="77777777" w:rsidR="00D84B15" w:rsidRDefault="00D84B15">
      <w:r>
        <w:t>____________________</w:t>
      </w:r>
    </w:p>
  </w:footnote>
  <w:footnote w:type="continuationSeparator" w:id="0">
    <w:p w14:paraId="1DD5007B" w14:textId="77777777" w:rsidR="00D84B15" w:rsidRDefault="00D84B15">
      <w:r>
        <w:continuationSeparator/>
      </w:r>
    </w:p>
  </w:footnote>
  <w:footnote w:id="1">
    <w:p w14:paraId="101877B6" w14:textId="77777777" w:rsidR="001259BF" w:rsidRPr="00B130B1" w:rsidRDefault="001259BF" w:rsidP="001259BF">
      <w:pPr>
        <w:pStyle w:val="FootnoteText"/>
        <w:jc w:val="both"/>
      </w:pPr>
      <w:r>
        <w:rPr>
          <w:rStyle w:val="FootnoteReference"/>
        </w:rPr>
        <w:footnoteRef/>
      </w:r>
      <w:r>
        <w:tab/>
      </w:r>
      <w:r w:rsidRPr="000B4D1B">
        <w:t>See Resolution 99 (Rev. Antalya, 2006) of the Plenipotentiary Conference.</w:t>
      </w:r>
    </w:p>
  </w:footnote>
  <w:footnote w:id="2">
    <w:p w14:paraId="15B538B8" w14:textId="77777777" w:rsidR="001259BF" w:rsidRPr="00B130B1" w:rsidRDefault="001259BF" w:rsidP="001259BF">
      <w:pPr>
        <w:pStyle w:val="FootnoteText"/>
        <w:jc w:val="both"/>
      </w:pPr>
      <w:r>
        <w:rPr>
          <w:rStyle w:val="FootnoteReference"/>
        </w:rPr>
        <w:footnoteRef/>
      </w:r>
      <w:r>
        <w:t xml:space="preserve"> </w:t>
      </w:r>
      <w:r>
        <w:tab/>
      </w:r>
      <w:r w:rsidRPr="003757D7">
        <w:t>The 2030 Agenda for Sustainable Development, the Sendai Framework for Disaster Risk Reduction</w:t>
      </w:r>
      <w:r w:rsidRPr="000B4D1B">
        <w:t xml:space="preserve"> 2015</w:t>
      </w:r>
      <w:r>
        <w:t>-</w:t>
      </w:r>
      <w:r w:rsidRPr="000B4D1B">
        <w:t>2030 and the Paris Agreement.</w:t>
      </w:r>
    </w:p>
  </w:footnote>
  <w:footnote w:id="3">
    <w:p w14:paraId="2AC905EE" w14:textId="77777777" w:rsidR="0094783C" w:rsidRDefault="0094783C" w:rsidP="0094783C">
      <w:pPr>
        <w:pStyle w:val="FootnoteText"/>
        <w:jc w:val="both"/>
      </w:pPr>
      <w:r w:rsidRPr="00B826E3">
        <w:rPr>
          <w:rStyle w:val="FootnoteReference"/>
        </w:rPr>
        <w:footnoteRef/>
      </w:r>
      <w:r w:rsidRPr="00B826E3">
        <w:rPr>
          <w:rFonts w:hint="eastAsia"/>
        </w:rPr>
        <w:t xml:space="preserve"> </w:t>
      </w:r>
      <w:r>
        <w:tab/>
      </w:r>
      <w:r w:rsidRPr="003139DB">
        <w:rPr>
          <w:szCs w:val="22"/>
          <w:shd w:val="clear" w:color="auto" w:fill="FFFFFF"/>
        </w:rPr>
        <w:t>PP Resolution 136 (</w:t>
      </w:r>
      <w:r w:rsidRPr="003139DB">
        <w:rPr>
          <w:szCs w:val="22"/>
        </w:rPr>
        <w:t>Rev</w:t>
      </w:r>
      <w:r w:rsidRPr="003139DB">
        <w:rPr>
          <w:szCs w:val="22"/>
          <w:shd w:val="clear" w:color="auto" w:fill="FFFFFF"/>
        </w:rPr>
        <w:t>. Bucharest, 2022)</w:t>
      </w:r>
      <w:r w:rsidRPr="003139DB">
        <w:rPr>
          <w:rFonts w:hint="eastAsia"/>
          <w:szCs w:val="22"/>
          <w:shd w:val="clear" w:color="auto" w:fill="FFFFFF"/>
        </w:rPr>
        <w:t>:</w:t>
      </w:r>
      <w:r w:rsidRPr="003139DB">
        <w:rPr>
          <w:rFonts w:hint="eastAsia"/>
          <w:color w:val="444444"/>
          <w:szCs w:val="22"/>
        </w:rPr>
        <w:t xml:space="preserve"> </w:t>
      </w:r>
      <w:r w:rsidRPr="003139DB">
        <w:rPr>
          <w:rFonts w:hint="eastAsia"/>
          <w:szCs w:val="22"/>
          <w:shd w:val="clear" w:color="auto" w:fill="FFFFFF"/>
        </w:rPr>
        <w:t>T</w:t>
      </w:r>
      <w:r w:rsidRPr="003139DB">
        <w:rPr>
          <w:szCs w:val="22"/>
          <w:shd w:val="clear" w:color="auto" w:fill="FFFFFF"/>
        </w:rPr>
        <w:t>he use of telecommunications/information and communication technologies for humanitarian assistance and for monitoring and management in emergency and disaster situations, including health-related emergencies, for early warning, prevention, mitigation, and relief</w:t>
      </w:r>
      <w:r w:rsidRPr="003139DB">
        <w:rPr>
          <w:rFonts w:hint="eastAsia"/>
          <w:szCs w:val="22"/>
          <w:shd w:val="clear" w:color="auto" w:fill="FFFFFF"/>
        </w:rPr>
        <w:t>,</w:t>
      </w:r>
      <w:r w:rsidRPr="003139DB">
        <w:rPr>
          <w:rFonts w:hint="eastAsia"/>
          <w:color w:val="444444"/>
          <w:szCs w:val="22"/>
        </w:rPr>
        <w:t xml:space="preserve"> </w:t>
      </w:r>
      <w:r w:rsidRPr="003139DB">
        <w:rPr>
          <w:rFonts w:hint="eastAsia"/>
          <w:szCs w:val="22"/>
        </w:rPr>
        <w:t xml:space="preserve">available at: </w:t>
      </w:r>
      <w:hyperlink r:id="rId1" w:history="1">
        <w:r w:rsidRPr="003139DB">
          <w:rPr>
            <w:rStyle w:val="Hyperlink"/>
            <w:szCs w:val="22"/>
          </w:rPr>
          <w:t>https://www.itu.int/en/council/Documents/basic-texts-2023/RES-136-E.pdf</w:t>
        </w:r>
      </w:hyperlink>
      <w:r w:rsidRPr="003139DB">
        <w:rPr>
          <w:szCs w:val="22"/>
        </w:rPr>
        <w:t>.</w:t>
      </w:r>
    </w:p>
  </w:footnote>
  <w:footnote w:id="4">
    <w:p w14:paraId="311F95D4" w14:textId="77777777" w:rsidR="0094783C" w:rsidRPr="00B826E3" w:rsidRDefault="0094783C" w:rsidP="0094783C">
      <w:pPr>
        <w:pStyle w:val="FootnoteText"/>
        <w:jc w:val="both"/>
        <w:rPr>
          <w:szCs w:val="22"/>
          <w:shd w:val="clear" w:color="auto" w:fill="FFFFFF"/>
        </w:rPr>
      </w:pPr>
      <w:r>
        <w:rPr>
          <w:rStyle w:val="FootnoteReference"/>
        </w:rPr>
        <w:footnoteRef/>
      </w:r>
      <w:r>
        <w:t xml:space="preserve"> </w:t>
      </w:r>
      <w:r>
        <w:tab/>
      </w:r>
      <w:r w:rsidRPr="003139DB">
        <w:rPr>
          <w:szCs w:val="22"/>
          <w:shd w:val="clear" w:color="auto" w:fill="FFFFFF"/>
        </w:rPr>
        <w:t>WTDC Resolution 34</w:t>
      </w:r>
      <w:r w:rsidRPr="003139DB">
        <w:rPr>
          <w:color w:val="444444"/>
          <w:szCs w:val="22"/>
        </w:rPr>
        <w:t xml:space="preserve"> (</w:t>
      </w:r>
      <w:r w:rsidRPr="003139DB">
        <w:rPr>
          <w:szCs w:val="22"/>
          <w:bdr w:val="none" w:sz="0" w:space="0" w:color="auto" w:frame="1"/>
        </w:rPr>
        <w:t>Rev. Kigali, 2022</w:t>
      </w:r>
      <w:r w:rsidRPr="003139DB">
        <w:rPr>
          <w:color w:val="444444"/>
          <w:szCs w:val="22"/>
        </w:rPr>
        <w:t>)</w:t>
      </w:r>
      <w:r w:rsidRPr="003139DB">
        <w:rPr>
          <w:rFonts w:hint="eastAsia"/>
          <w:szCs w:val="22"/>
          <w:shd w:val="clear" w:color="auto" w:fill="FFFFFF"/>
        </w:rPr>
        <w:t>:</w:t>
      </w:r>
      <w:r w:rsidRPr="003139DB">
        <w:rPr>
          <w:szCs w:val="22"/>
          <w:shd w:val="clear" w:color="auto" w:fill="FFFFFF"/>
        </w:rPr>
        <w:t xml:space="preserve"> </w:t>
      </w:r>
      <w:r w:rsidRPr="003139DB">
        <w:rPr>
          <w:rFonts w:hint="eastAsia"/>
          <w:szCs w:val="22"/>
          <w:shd w:val="clear" w:color="auto" w:fill="FFFFFF"/>
        </w:rPr>
        <w:t>T</w:t>
      </w:r>
      <w:r w:rsidRPr="003139DB">
        <w:rPr>
          <w:szCs w:val="22"/>
          <w:shd w:val="clear" w:color="auto" w:fill="FFFFFF"/>
        </w:rPr>
        <w:t xml:space="preserve">he role of telecommunications/information and communication technology in disaster preparedness, early </w:t>
      </w:r>
      <w:r w:rsidRPr="003139DB">
        <w:rPr>
          <w:szCs w:val="22"/>
        </w:rPr>
        <w:t>warning</w:t>
      </w:r>
      <w:r w:rsidRPr="003139DB">
        <w:rPr>
          <w:szCs w:val="22"/>
          <w:shd w:val="clear" w:color="auto" w:fill="FFFFFF"/>
        </w:rPr>
        <w:t>, rescue, mitigation, relief and response</w:t>
      </w:r>
      <w:r w:rsidRPr="003139DB">
        <w:rPr>
          <w:rFonts w:hint="eastAsia"/>
          <w:szCs w:val="22"/>
          <w:shd w:val="clear" w:color="auto" w:fill="FFFFFF"/>
        </w:rPr>
        <w:t xml:space="preserve">, available at </w:t>
      </w:r>
      <w:hyperlink r:id="rId2" w:history="1">
        <w:r w:rsidRPr="003139DB">
          <w:rPr>
            <w:rStyle w:val="Hyperlink"/>
            <w:szCs w:val="22"/>
            <w:shd w:val="clear" w:color="auto" w:fill="FFFFFF"/>
          </w:rPr>
          <w:t>https://www.itu.int/dms_pub/itu-d/opb/tdc/D-TDC-WTDC-2022-PDF-E.pdf</w:t>
        </w:r>
      </w:hyperlink>
      <w:r w:rsidRPr="003139DB">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B395B63" w14:textId="77777777" w:rsidTr="00C91CFC">
      <w:trPr>
        <w:trHeight w:val="1104"/>
        <w:jc w:val="center"/>
      </w:trPr>
      <w:tc>
        <w:tcPr>
          <w:tcW w:w="4390" w:type="dxa"/>
          <w:vAlign w:val="center"/>
        </w:tcPr>
        <w:p w14:paraId="53F234E8" w14:textId="77777777" w:rsidR="00AD3606" w:rsidRPr="009621F8" w:rsidRDefault="003936D3" w:rsidP="00CF4A2B">
          <w:pPr>
            <w:pStyle w:val="Header"/>
            <w:jc w:val="left"/>
            <w:rPr>
              <w:rFonts w:ascii="Arial" w:hAnsi="Arial" w:cs="Arial"/>
              <w:b/>
              <w:bCs/>
              <w:color w:val="009CD6"/>
              <w:sz w:val="36"/>
              <w:szCs w:val="36"/>
            </w:rPr>
          </w:pPr>
          <w:bookmarkStart w:id="21" w:name="_Hlk133422111"/>
          <w:r>
            <w:rPr>
              <w:rFonts w:ascii="Arial" w:hAnsi="Arial" w:cs="Arial"/>
              <w:b/>
              <w:bCs/>
              <w:noProof/>
              <w:color w:val="009CD6"/>
              <w:sz w:val="36"/>
              <w:szCs w:val="36"/>
            </w:rPr>
            <w:drawing>
              <wp:inline distT="0" distB="0" distL="0" distR="0" wp14:anchorId="7364148C" wp14:editId="617539F7">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DE486FE" w14:textId="77777777" w:rsidR="00AD3606" w:rsidRDefault="00AD3606" w:rsidP="00AD3606">
          <w:pPr>
            <w:pStyle w:val="Header"/>
            <w:jc w:val="right"/>
            <w:rPr>
              <w:rFonts w:ascii="Arial" w:hAnsi="Arial" w:cs="Arial"/>
              <w:b/>
              <w:bCs/>
              <w:color w:val="009CD6"/>
              <w:szCs w:val="18"/>
            </w:rPr>
          </w:pPr>
        </w:p>
        <w:p w14:paraId="131B8888" w14:textId="77777777" w:rsidR="00AD3606" w:rsidRDefault="00AD3606" w:rsidP="00AD3606">
          <w:pPr>
            <w:pStyle w:val="Header"/>
            <w:jc w:val="right"/>
            <w:rPr>
              <w:rFonts w:ascii="Arial" w:hAnsi="Arial" w:cs="Arial"/>
              <w:b/>
              <w:bCs/>
              <w:color w:val="009CD6"/>
              <w:szCs w:val="18"/>
            </w:rPr>
          </w:pPr>
        </w:p>
        <w:p w14:paraId="22517D1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5273B1FE"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93DA35A" wp14:editId="7CB09FBD">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2C1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multilevel"/>
    <w:tmpl w:val="ED8242E2"/>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 w15:restartNumberingAfterBreak="0">
    <w:nsid w:val="125C0243"/>
    <w:multiLevelType w:val="multilevel"/>
    <w:tmpl w:val="C620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55EF3"/>
    <w:multiLevelType w:val="hybridMultilevel"/>
    <w:tmpl w:val="FE1C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5E57D6"/>
    <w:multiLevelType w:val="hybridMultilevel"/>
    <w:tmpl w:val="0908D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044062745">
    <w:abstractNumId w:val="6"/>
  </w:num>
  <w:num w:numId="3" w16cid:durableId="1157578773">
    <w:abstractNumId w:val="5"/>
  </w:num>
  <w:num w:numId="4" w16cid:durableId="1723747666">
    <w:abstractNumId w:val="2"/>
  </w:num>
  <w:num w:numId="5" w16cid:durableId="354234235">
    <w:abstractNumId w:val="8"/>
  </w:num>
  <w:num w:numId="6" w16cid:durableId="1231306502">
    <w:abstractNumId w:val="1"/>
  </w:num>
  <w:num w:numId="7" w16cid:durableId="67968676">
    <w:abstractNumId w:val="7"/>
  </w:num>
  <w:num w:numId="8" w16cid:durableId="1128746488">
    <w:abstractNumId w:val="9"/>
  </w:num>
  <w:num w:numId="9" w16cid:durableId="934754066">
    <w:abstractNumId w:val="10"/>
  </w:num>
  <w:num w:numId="10" w16cid:durableId="2143452449">
    <w:abstractNumId w:val="4"/>
  </w:num>
  <w:num w:numId="11" w16cid:durableId="51295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15"/>
    <w:rsid w:val="000210D4"/>
    <w:rsid w:val="0006007D"/>
    <w:rsid w:val="00063016"/>
    <w:rsid w:val="000663A4"/>
    <w:rsid w:val="00066795"/>
    <w:rsid w:val="00076AF6"/>
    <w:rsid w:val="00085CF2"/>
    <w:rsid w:val="000B1705"/>
    <w:rsid w:val="000C4057"/>
    <w:rsid w:val="000D75B2"/>
    <w:rsid w:val="000F5DDB"/>
    <w:rsid w:val="001121F5"/>
    <w:rsid w:val="00114C42"/>
    <w:rsid w:val="001259BF"/>
    <w:rsid w:val="001400DC"/>
    <w:rsid w:val="00140CE1"/>
    <w:rsid w:val="00146E66"/>
    <w:rsid w:val="0017539C"/>
    <w:rsid w:val="00175AC2"/>
    <w:rsid w:val="0017609F"/>
    <w:rsid w:val="00176F47"/>
    <w:rsid w:val="001A3154"/>
    <w:rsid w:val="001A7D1D"/>
    <w:rsid w:val="001B51DD"/>
    <w:rsid w:val="001C628E"/>
    <w:rsid w:val="001E0F7B"/>
    <w:rsid w:val="001F5569"/>
    <w:rsid w:val="002119FD"/>
    <w:rsid w:val="00211A27"/>
    <w:rsid w:val="00212EED"/>
    <w:rsid w:val="002130E0"/>
    <w:rsid w:val="00221F46"/>
    <w:rsid w:val="00264425"/>
    <w:rsid w:val="00265875"/>
    <w:rsid w:val="0027303B"/>
    <w:rsid w:val="0028109B"/>
    <w:rsid w:val="002A2188"/>
    <w:rsid w:val="002B1F58"/>
    <w:rsid w:val="002B79D9"/>
    <w:rsid w:val="002C1C7A"/>
    <w:rsid w:val="002C3F32"/>
    <w:rsid w:val="002C54E2"/>
    <w:rsid w:val="0030160F"/>
    <w:rsid w:val="00320223"/>
    <w:rsid w:val="00322D0D"/>
    <w:rsid w:val="00361465"/>
    <w:rsid w:val="003877F5"/>
    <w:rsid w:val="003936D3"/>
    <w:rsid w:val="003942D4"/>
    <w:rsid w:val="003958A8"/>
    <w:rsid w:val="003A4EB3"/>
    <w:rsid w:val="003B29C2"/>
    <w:rsid w:val="003B4FAF"/>
    <w:rsid w:val="003C2533"/>
    <w:rsid w:val="003D5A7F"/>
    <w:rsid w:val="003E12F7"/>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599D"/>
    <w:rsid w:val="004E2EA5"/>
    <w:rsid w:val="004E3AEB"/>
    <w:rsid w:val="0050223C"/>
    <w:rsid w:val="00511358"/>
    <w:rsid w:val="005243FF"/>
    <w:rsid w:val="00564FBC"/>
    <w:rsid w:val="0057698A"/>
    <w:rsid w:val="005800BC"/>
    <w:rsid w:val="00582442"/>
    <w:rsid w:val="005D52D0"/>
    <w:rsid w:val="005F3269"/>
    <w:rsid w:val="00623AE3"/>
    <w:rsid w:val="0064737F"/>
    <w:rsid w:val="006535F1"/>
    <w:rsid w:val="0065557D"/>
    <w:rsid w:val="00660D50"/>
    <w:rsid w:val="00662984"/>
    <w:rsid w:val="006716BB"/>
    <w:rsid w:val="00693AEC"/>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70546"/>
    <w:rsid w:val="00876660"/>
    <w:rsid w:val="008B4A6A"/>
    <w:rsid w:val="008B51AB"/>
    <w:rsid w:val="008C7E27"/>
    <w:rsid w:val="008F7448"/>
    <w:rsid w:val="0090147A"/>
    <w:rsid w:val="009173EF"/>
    <w:rsid w:val="00932906"/>
    <w:rsid w:val="0094783C"/>
    <w:rsid w:val="00961B0B"/>
    <w:rsid w:val="00962D33"/>
    <w:rsid w:val="009B38C3"/>
    <w:rsid w:val="009E17BD"/>
    <w:rsid w:val="009E485A"/>
    <w:rsid w:val="00A04CEC"/>
    <w:rsid w:val="00A27F92"/>
    <w:rsid w:val="00A31A7B"/>
    <w:rsid w:val="00A32257"/>
    <w:rsid w:val="00A33051"/>
    <w:rsid w:val="00A36D20"/>
    <w:rsid w:val="00A514A4"/>
    <w:rsid w:val="00A54294"/>
    <w:rsid w:val="00A55622"/>
    <w:rsid w:val="00A556A3"/>
    <w:rsid w:val="00A83502"/>
    <w:rsid w:val="00A94BAB"/>
    <w:rsid w:val="00A97FBF"/>
    <w:rsid w:val="00AD15B3"/>
    <w:rsid w:val="00AD3606"/>
    <w:rsid w:val="00AD4A3D"/>
    <w:rsid w:val="00AF6E49"/>
    <w:rsid w:val="00B04A67"/>
    <w:rsid w:val="00B0583C"/>
    <w:rsid w:val="00B22FE1"/>
    <w:rsid w:val="00B33A35"/>
    <w:rsid w:val="00B40A81"/>
    <w:rsid w:val="00B44910"/>
    <w:rsid w:val="00B72267"/>
    <w:rsid w:val="00B76EB6"/>
    <w:rsid w:val="00B7737B"/>
    <w:rsid w:val="00B824C8"/>
    <w:rsid w:val="00B84B9D"/>
    <w:rsid w:val="00B9131F"/>
    <w:rsid w:val="00BB0646"/>
    <w:rsid w:val="00BB37B5"/>
    <w:rsid w:val="00BC0262"/>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22C42"/>
    <w:rsid w:val="00D65041"/>
    <w:rsid w:val="00D84B15"/>
    <w:rsid w:val="00DB1936"/>
    <w:rsid w:val="00DB384B"/>
    <w:rsid w:val="00DB62A3"/>
    <w:rsid w:val="00DF0189"/>
    <w:rsid w:val="00E06FD5"/>
    <w:rsid w:val="00E10E80"/>
    <w:rsid w:val="00E124F0"/>
    <w:rsid w:val="00E227F3"/>
    <w:rsid w:val="00E545C6"/>
    <w:rsid w:val="00E60F04"/>
    <w:rsid w:val="00E627F5"/>
    <w:rsid w:val="00E65B24"/>
    <w:rsid w:val="00E854E4"/>
    <w:rsid w:val="00E86DBF"/>
    <w:rsid w:val="00E969AF"/>
    <w:rsid w:val="00EB0D6F"/>
    <w:rsid w:val="00EB2232"/>
    <w:rsid w:val="00EC0195"/>
    <w:rsid w:val="00EC5337"/>
    <w:rsid w:val="00ED68E0"/>
    <w:rsid w:val="00EE155C"/>
    <w:rsid w:val="00EE219F"/>
    <w:rsid w:val="00EE49E8"/>
    <w:rsid w:val="00F16BAB"/>
    <w:rsid w:val="00F2150A"/>
    <w:rsid w:val="00F231D8"/>
    <w:rsid w:val="00F44C00"/>
    <w:rsid w:val="00F45D2C"/>
    <w:rsid w:val="00F46C5F"/>
    <w:rsid w:val="00F632C0"/>
    <w:rsid w:val="00F641E1"/>
    <w:rsid w:val="00F94A63"/>
    <w:rsid w:val="00F969AB"/>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F55F3"/>
  <w15:docId w15:val="{D4DCD0D6-0508-45CB-848E-05394386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link w:val="Heading3Char"/>
    <w:uiPriority w:val="9"/>
    <w:qFormat/>
    <w:rsid w:val="00B9131F"/>
    <w:pPr>
      <w:spacing w:before="200"/>
      <w:outlineLvl w:val="2"/>
    </w:pPr>
    <w:rPr>
      <w:sz w:val="24"/>
    </w:rPr>
  </w:style>
  <w:style w:type="paragraph" w:styleId="Heading4">
    <w:name w:val="heading 4"/>
    <w:basedOn w:val="Heading3"/>
    <w:next w:val="Normal"/>
    <w:link w:val="Heading4Char"/>
    <w:uiPriority w:val="9"/>
    <w:qFormat/>
    <w:rsid w:val="00B9131F"/>
    <w:pPr>
      <w:ind w:left="1134" w:hanging="1134"/>
      <w:outlineLvl w:val="3"/>
    </w:pPr>
  </w:style>
  <w:style w:type="paragraph" w:styleId="Heading5">
    <w:name w:val="heading 5"/>
    <w:basedOn w:val="Heading4"/>
    <w:next w:val="Normal"/>
    <w:link w:val="Heading5Char"/>
    <w:uiPriority w:val="9"/>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 (Complex) ..."/>
    <w:basedOn w:val="DefaultParagraphFont"/>
    <w:uiPriority w:val="99"/>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Heading4Char">
    <w:name w:val="Heading 4 Char"/>
    <w:basedOn w:val="DefaultParagraphFont"/>
    <w:link w:val="Heading4"/>
    <w:uiPriority w:val="9"/>
    <w:rsid w:val="001259BF"/>
    <w:rPr>
      <w:rFonts w:ascii="Calibri" w:hAnsi="Calibri"/>
      <w:b/>
      <w:sz w:val="24"/>
      <w:lang w:val="en-GB" w:eastAsia="en-US"/>
    </w:rPr>
  </w:style>
  <w:style w:type="paragraph" w:styleId="ListParagraph">
    <w:name w:val="List Paragraph"/>
    <w:basedOn w:val="Normal"/>
    <w:uiPriority w:val="34"/>
    <w:qFormat/>
    <w:rsid w:val="001259BF"/>
    <w:pPr>
      <w:ind w:left="720"/>
      <w:contextualSpacing/>
    </w:pPr>
  </w:style>
  <w:style w:type="paragraph" w:customStyle="1" w:styleId="AppendixNo">
    <w:name w:val="Appendix_No"/>
    <w:basedOn w:val="AnnexNo"/>
    <w:next w:val="Normal"/>
    <w:rsid w:val="001259BF"/>
    <w:pPr>
      <w:keepNext w:val="0"/>
      <w:keepLines w:val="0"/>
    </w:pPr>
  </w:style>
  <w:style w:type="character" w:customStyle="1" w:styleId="Heading3Char">
    <w:name w:val="Heading 3 Char"/>
    <w:basedOn w:val="DefaultParagraphFont"/>
    <w:link w:val="Heading3"/>
    <w:uiPriority w:val="9"/>
    <w:rsid w:val="001259BF"/>
    <w:rPr>
      <w:rFonts w:ascii="Calibri" w:hAnsi="Calibri"/>
      <w:b/>
      <w:sz w:val="24"/>
      <w:lang w:val="en-GB" w:eastAsia="en-US"/>
    </w:rPr>
  </w:style>
  <w:style w:type="paragraph" w:customStyle="1" w:styleId="msonormal0">
    <w:name w:val="msonormal"/>
    <w:basedOn w:val="Normal"/>
    <w:rsid w:val="001259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1259BF"/>
    <w:rPr>
      <w:rFonts w:ascii="Calibri" w:hAnsi="Calibri"/>
      <w:sz w:val="22"/>
      <w:lang w:val="en-GB" w:eastAsia="en-US"/>
    </w:rPr>
  </w:style>
  <w:style w:type="character" w:customStyle="1" w:styleId="Heading5Char">
    <w:name w:val="Heading 5 Char"/>
    <w:basedOn w:val="DefaultParagraphFont"/>
    <w:link w:val="Heading5"/>
    <w:uiPriority w:val="9"/>
    <w:rsid w:val="001259BF"/>
    <w:rPr>
      <w:rFonts w:ascii="Calibri" w:hAnsi="Calibri"/>
      <w:b/>
      <w:sz w:val="24"/>
      <w:lang w:val="en-GB" w:eastAsia="en-US"/>
    </w:rPr>
  </w:style>
  <w:style w:type="character" w:customStyle="1" w:styleId="apple-converted-space">
    <w:name w:val="apple-converted-space"/>
    <w:basedOn w:val="DefaultParagraphFont"/>
    <w:rsid w:val="001259BF"/>
  </w:style>
  <w:style w:type="paragraph" w:customStyle="1" w:styleId="Tablefin">
    <w:name w:val="Table_fin"/>
    <w:basedOn w:val="Tabletext"/>
    <w:rsid w:val="001259BF"/>
    <w:pPr>
      <w:spacing w:before="0" w:after="0"/>
    </w:pPr>
  </w:style>
  <w:style w:type="paragraph" w:styleId="Revision">
    <w:name w:val="Revision"/>
    <w:hidden/>
    <w:uiPriority w:val="99"/>
    <w:semiHidden/>
    <w:rsid w:val="001259B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58/en" TargetMode="External"/><Relationship Id="rId18" Type="http://schemas.openxmlformats.org/officeDocument/2006/relationships/hyperlink" Target="https://www.itu.int/en/council/Documents/2025/Table_8-Reference_situation_12-13_10-11_GHz.pdf" TargetMode="External"/><Relationship Id="rId26" Type="http://schemas.openxmlformats.org/officeDocument/2006/relationships/hyperlink" Target="https://www.itu.int/md/R23-WP4A-C-0343/en" TargetMode="External"/><Relationship Id="rId39" Type="http://schemas.openxmlformats.org/officeDocument/2006/relationships/hyperlink" Target="https://un-two-zero.network/contents/cdots-campus/" TargetMode="External"/><Relationship Id="rId21" Type="http://schemas.openxmlformats.org/officeDocument/2006/relationships/hyperlink" Target="https://www.itu.int/md/S25-CL-C-0055/en" TargetMode="External"/><Relationship Id="rId34" Type="http://schemas.openxmlformats.org/officeDocument/2006/relationships/hyperlink" Target="https://www.itu.int/en/ITU-D/Emergency-Telecommunications/Pages/Common-Alerting-Protocol-and-Call-to-Action.asp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2025/Table_6-OEPM_R2_March_2025.pdf" TargetMode="External"/><Relationship Id="rId29" Type="http://schemas.openxmlformats.org/officeDocument/2006/relationships/hyperlink" Target="https://www.itu.int/en/itu-t/inr/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36/en" TargetMode="External"/><Relationship Id="rId24" Type="http://schemas.openxmlformats.org/officeDocument/2006/relationships/hyperlink" Target="https://www.itu.int/en/ITU-R/study-groups/rcpm/Pages/wrc-27-studies.aspx" TargetMode="External"/><Relationship Id="rId32" Type="http://schemas.openxmlformats.org/officeDocument/2006/relationships/hyperlink" Target="https://www.itu.int/dms_pub/itu-d/opb/tdc/D-TDC-WTDC-2022-PDF-E.pdf" TargetMode="External"/><Relationship Id="rId37" Type="http://schemas.openxmlformats.org/officeDocument/2006/relationships/hyperlink" Target="https://www.unoosa.org/oosa/en/ourwork/copuos/2024/index.html" TargetMode="External"/><Relationship Id="rId40" Type="http://schemas.openxmlformats.org/officeDocument/2006/relationships/hyperlink" Target="https://www.unoosa.org/oosa/en/ourwork/un-space/reports_publications.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council/Documents/2025/Table_1-EPM_DL_March_2025.pdf" TargetMode="External"/><Relationship Id="rId23" Type="http://schemas.openxmlformats.org/officeDocument/2006/relationships/hyperlink" Target="https://www.itu.int/en/ITU-R/study-groups/rcpm/Pages/wrc-27-studies.aspx" TargetMode="External"/><Relationship Id="rId28" Type="http://schemas.openxmlformats.org/officeDocument/2006/relationships/hyperlink" Target="https://www.itu.int/en/ITU-R/space/SSF2024Presentations/SSF%202024%20Summary%20Report%20for%20RRB.pdf/" TargetMode="External"/><Relationship Id="rId36" Type="http://schemas.openxmlformats.org/officeDocument/2006/relationships/hyperlink" Target="https://www.unoosa.org/oosa/en/ourwork/un-space/po.html" TargetMode="External"/><Relationship Id="rId10" Type="http://schemas.openxmlformats.org/officeDocument/2006/relationships/endnotes" Target="endnotes.xml"/><Relationship Id="rId19" Type="http://schemas.openxmlformats.org/officeDocument/2006/relationships/hyperlink" Target="https://www.itu.int/en/council/Documents/2025/Table_9-Networks_in_the_List.pdf" TargetMode="External"/><Relationship Id="rId31" Type="http://schemas.openxmlformats.org/officeDocument/2006/relationships/hyperlink" Target="https://www.itu.int/en/council/Documents/basic-texts-2023/RES-136-E.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6/en" TargetMode="External"/><Relationship Id="rId22" Type="http://schemas.openxmlformats.org/officeDocument/2006/relationships/hyperlink" Target="https://www.itu.int/wrs-24/" TargetMode="External"/><Relationship Id="rId27" Type="http://schemas.openxmlformats.org/officeDocument/2006/relationships/hyperlink" Target="https://www.itu.int/ssf/" TargetMode="External"/><Relationship Id="rId30" Type="http://schemas.openxmlformats.org/officeDocument/2006/relationships/hyperlink" Target="http://earlywarningsforall.org/" TargetMode="External"/><Relationship Id="rId35" Type="http://schemas.openxmlformats.org/officeDocument/2006/relationships/hyperlink" Target="https://www.itu.int/en/ITU-D/Emergency-Telecommunications/Pages/ITU-ATU-Early-Warning-for-All-Initiative-%28Pillar-3%29-Webinar-for-Africa-Region.asp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Documents/basic-texts-2023/RES-218-E.pdf" TargetMode="External"/><Relationship Id="rId17" Type="http://schemas.openxmlformats.org/officeDocument/2006/relationships/hyperlink" Target="https://www.itu.int/en/council/Documents/2025/Table_7-Reference_situation_6_4_GHz.pdf" TargetMode="External"/><Relationship Id="rId25" Type="http://schemas.openxmlformats.org/officeDocument/2006/relationships/hyperlink" Target="https://www.itu.int/pub/R-RES-R.74" TargetMode="External"/><Relationship Id="rId33" Type="http://schemas.openxmlformats.org/officeDocument/2006/relationships/hyperlink" Target="https://www.itu.int/en/ITU-D/Emergency-Telecommunications/Pages/Early-Warnings-for-All-Initiative.aspx" TargetMode="External"/><Relationship Id="rId38" Type="http://schemas.openxmlformats.org/officeDocument/2006/relationships/hyperlink" Target="https://www.unoosa.org/oosa/en/ourwork/un-space/iam/43rd-session.html" TargetMode="External"/><Relationship Id="rId46" Type="http://schemas.openxmlformats.org/officeDocument/2006/relationships/theme" Target="theme/theme1.xml"/><Relationship Id="rId20" Type="http://schemas.openxmlformats.org/officeDocument/2006/relationships/hyperlink" Target="https://www.unoosa.org/oosa/oosadoc/data/resolutions/2021/general_assembly_76th_session/ares763.html" TargetMode="External"/><Relationship Id="rId41" Type="http://schemas.openxmlformats.org/officeDocument/2006/relationships/hyperlink" Target="https://www.unoosa.org/res/oosadoc/data/documents/2024/aac_105/aac_1051317_0_html/AC105_1317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tdc/D-TDC-WTDC-2022-PDF-E.pdf" TargetMode="External"/><Relationship Id="rId1" Type="http://schemas.openxmlformats.org/officeDocument/2006/relationships/hyperlink" Target="https://www.itu.int/en/council/Documents/basic-texts-2023/RES-136-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24E7652-CF2E-4E1E-861E-D8BF690B8ABA}">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a1cf676c-2816-4389-ad5d-0f2e7c7e67c4"/>
    <ds:schemaRef ds:uri="http://purl.org/dc/dcmitype/"/>
  </ds:schemaRefs>
</ds:datastoreItem>
</file>

<file path=customXml/itemProps3.xml><?xml version="1.0" encoding="utf-8"?>
<ds:datastoreItem xmlns:ds="http://schemas.openxmlformats.org/officeDocument/2006/customXml" ds:itemID="{82A22B58-2D68-4ABC-83B4-097606B4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6458E-E6F7-4DF8-81D3-064A5EACC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PE_Council25.dotx</Template>
  <TotalTime>2</TotalTime>
  <Pages>16</Pages>
  <Words>4997</Words>
  <Characters>30725</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35651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2025</dc:title>
  <dc:subject>Council 2025</dc:subject>
  <dc:creator>LRT</dc:creator>
  <cp:keywords>C25; C2025; Council 2025; ITU160</cp:keywords>
  <dc:description/>
  <cp:lastModifiedBy>GBS</cp:lastModifiedBy>
  <cp:revision>3</cp:revision>
  <cp:lastPrinted>2000-07-18T13:30:00Z</cp:lastPrinted>
  <dcterms:created xsi:type="dcterms:W3CDTF">2025-05-16T11:00:00Z</dcterms:created>
  <dcterms:modified xsi:type="dcterms:W3CDTF">2025-05-16T11:21:00Z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