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BB6FD8" w14:paraId="16C8DD02" w14:textId="77777777" w:rsidTr="00C53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80780FF" w14:textId="0721B86B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</w:p>
        </w:tc>
        <w:tc>
          <w:tcPr>
            <w:tcW w:w="5245" w:type="dxa"/>
          </w:tcPr>
          <w:p w14:paraId="12EC8577" w14:textId="7075E21B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B6FD8">
              <w:rPr>
                <w:b/>
              </w:rPr>
              <w:t>Document</w:t>
            </w:r>
            <w:r w:rsidR="00F24B71" w:rsidRPr="00BB6FD8">
              <w:rPr>
                <w:b/>
              </w:rPr>
              <w:t>o</w:t>
            </w:r>
            <w:r w:rsidRPr="00BB6FD8">
              <w:rPr>
                <w:b/>
              </w:rPr>
              <w:t xml:space="preserve"> C2</w:t>
            </w:r>
            <w:r w:rsidR="00BB6FD8" w:rsidRPr="00BB6FD8">
              <w:rPr>
                <w:b/>
              </w:rPr>
              <w:t>5</w:t>
            </w:r>
            <w:r w:rsidRPr="00BB6FD8">
              <w:rPr>
                <w:b/>
              </w:rPr>
              <w:t>/</w:t>
            </w:r>
            <w:r w:rsidR="00B728FC">
              <w:rPr>
                <w:b/>
              </w:rPr>
              <w:t>127</w:t>
            </w:r>
            <w:r w:rsidRPr="00BB6FD8">
              <w:rPr>
                <w:b/>
              </w:rPr>
              <w:t>-</w:t>
            </w:r>
            <w:r w:rsidR="00F24B71" w:rsidRPr="00BB6FD8">
              <w:rPr>
                <w:b/>
              </w:rPr>
              <w:t>S</w:t>
            </w:r>
          </w:p>
        </w:tc>
      </w:tr>
      <w:tr w:rsidR="00FE57F6" w:rsidRPr="00666D09" w14:paraId="2F7BAD0F" w14:textId="77777777" w:rsidTr="00C538FC">
        <w:trPr>
          <w:cantSplit/>
        </w:trPr>
        <w:tc>
          <w:tcPr>
            <w:tcW w:w="3969" w:type="dxa"/>
            <w:vMerge/>
          </w:tcPr>
          <w:p w14:paraId="32D340BD" w14:textId="77777777" w:rsidR="00FE57F6" w:rsidRPr="00BB6FD8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D67502D" w14:textId="2CF46C7F" w:rsidR="00FE57F6" w:rsidRPr="00666D09" w:rsidRDefault="006009F3" w:rsidP="00C538FC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>
              <w:rPr>
                <w:b/>
                <w:lang w:val="es-ES"/>
              </w:rPr>
              <w:t>10</w:t>
            </w:r>
            <w:r w:rsidR="00B728FC">
              <w:rPr>
                <w:b/>
                <w:lang w:val="es-ES"/>
              </w:rPr>
              <w:t xml:space="preserve"> de septiembre de 2025</w:t>
            </w:r>
          </w:p>
        </w:tc>
      </w:tr>
      <w:tr w:rsidR="00FE57F6" w:rsidRPr="00BB6FD8" w14:paraId="14ED61B8" w14:textId="77777777" w:rsidTr="00C538FC">
        <w:trPr>
          <w:cantSplit/>
          <w:trHeight w:val="23"/>
        </w:trPr>
        <w:tc>
          <w:tcPr>
            <w:tcW w:w="3969" w:type="dxa"/>
            <w:vMerge/>
          </w:tcPr>
          <w:p w14:paraId="36AAE2B4" w14:textId="77777777" w:rsidR="00FE57F6" w:rsidRPr="00666D09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54C7ED74" w14:textId="195C2820" w:rsidR="00FE57F6" w:rsidRPr="00BB6FD8" w:rsidRDefault="00F24B71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BB6FD8">
              <w:rPr>
                <w:rFonts w:cstheme="minorHAnsi"/>
                <w:b/>
                <w:bCs/>
              </w:rPr>
              <w:t>Original: inglés</w:t>
            </w:r>
          </w:p>
        </w:tc>
      </w:tr>
      <w:tr w:rsidR="00FE57F6" w:rsidRPr="00BB6FD8" w14:paraId="28C23F0D" w14:textId="77777777" w:rsidTr="00C538FC">
        <w:trPr>
          <w:cantSplit/>
          <w:trHeight w:val="23"/>
        </w:trPr>
        <w:tc>
          <w:tcPr>
            <w:tcW w:w="3969" w:type="dxa"/>
          </w:tcPr>
          <w:p w14:paraId="71CA9CDE" w14:textId="77777777" w:rsidR="00FE57F6" w:rsidRPr="00BB6FD8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4F0E65D" w14:textId="77777777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FE57F6" w:rsidRPr="00BB6FD8" w14:paraId="0744CD5D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F99137" w14:textId="53E80557" w:rsidR="00FE57F6" w:rsidRPr="005C54D3" w:rsidRDefault="00B728FC" w:rsidP="00B447D1">
            <w:pPr>
              <w:pStyle w:val="Source"/>
              <w:spacing w:before="120"/>
              <w:jc w:val="left"/>
              <w:rPr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Nota</w:t>
            </w:r>
            <w:r w:rsidR="00D03F3E" w:rsidRPr="005C54D3">
              <w:rPr>
                <w:rFonts w:cstheme="minorHAnsi"/>
                <w:sz w:val="32"/>
                <w:szCs w:val="32"/>
              </w:rPr>
              <w:t xml:space="preserve"> de la Secretaria General</w:t>
            </w:r>
          </w:p>
        </w:tc>
      </w:tr>
      <w:tr w:rsidR="00FE57F6" w:rsidRPr="00BB6FD8" w14:paraId="5E2B474A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5872F37" w14:textId="51E198C5" w:rsidR="00FE57F6" w:rsidRPr="005C54D3" w:rsidRDefault="00B728FC" w:rsidP="00C538FC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es-ES_tradnl"/>
              </w:rPr>
            </w:pPr>
            <w:r w:rsidRPr="00B728FC">
              <w:rPr>
                <w:rFonts w:cstheme="minorHAnsi"/>
                <w:sz w:val="32"/>
                <w:szCs w:val="32"/>
                <w:lang w:val="es-ES_tradnl"/>
              </w:rPr>
              <w:t>RESOLUCIONES Y ACUERDO</w:t>
            </w:r>
          </w:p>
        </w:tc>
      </w:tr>
    </w:tbl>
    <w:bookmarkEnd w:id="0"/>
    <w:p w14:paraId="7D7C35F7" w14:textId="3213416E" w:rsidR="00B728FC" w:rsidRPr="00B728FC" w:rsidRDefault="00B728FC" w:rsidP="00B728FC">
      <w:pPr>
        <w:jc w:val="both"/>
        <w:rPr>
          <w:szCs w:val="24"/>
        </w:rPr>
      </w:pPr>
      <w:r w:rsidRPr="00B728FC">
        <w:rPr>
          <w:color w:val="000000"/>
          <w:szCs w:val="24"/>
        </w:rPr>
        <w:t>Los textos de las Resoluciones y Acuerdos cuyos títulos figuran a continuación han sido adoptados por el Consejo en su reunión de 202</w:t>
      </w:r>
      <w:r w:rsidR="00525797">
        <w:rPr>
          <w:color w:val="000000"/>
          <w:szCs w:val="24"/>
        </w:rPr>
        <w:t>5</w:t>
      </w:r>
      <w:r w:rsidRPr="00B728FC">
        <w:rPr>
          <w:color w:val="000000"/>
          <w:szCs w:val="24"/>
        </w:rPr>
        <w:t xml:space="preserve"> (</w:t>
      </w:r>
      <w:r w:rsidR="00525797">
        <w:rPr>
          <w:color w:val="000000"/>
          <w:szCs w:val="24"/>
        </w:rPr>
        <w:t>17</w:t>
      </w:r>
      <w:r w:rsidRPr="00B728FC">
        <w:rPr>
          <w:color w:val="000000"/>
          <w:szCs w:val="24"/>
        </w:rPr>
        <w:t>-</w:t>
      </w:r>
      <w:r w:rsidR="00525797">
        <w:rPr>
          <w:color w:val="000000"/>
          <w:szCs w:val="24"/>
        </w:rPr>
        <w:t>27</w:t>
      </w:r>
      <w:r w:rsidRPr="00B728FC">
        <w:rPr>
          <w:color w:val="000000"/>
          <w:szCs w:val="24"/>
        </w:rPr>
        <w:t xml:space="preserve"> de junio de 202</w:t>
      </w:r>
      <w:r w:rsidR="00525797">
        <w:rPr>
          <w:color w:val="000000"/>
          <w:szCs w:val="24"/>
        </w:rPr>
        <w:t>5</w:t>
      </w:r>
      <w:r w:rsidRPr="00B728FC">
        <w:rPr>
          <w:color w:val="000000"/>
          <w:szCs w:val="24"/>
        </w:rPr>
        <w:t>):</w:t>
      </w:r>
    </w:p>
    <w:p w14:paraId="212F4409" w14:textId="77777777" w:rsidR="00B728FC" w:rsidRPr="00B728FC" w:rsidRDefault="00B728FC" w:rsidP="00B728F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7428"/>
        <w:gridCol w:w="928"/>
      </w:tblGrid>
      <w:tr w:rsidR="00B728FC" w:rsidRPr="00B728FC" w14:paraId="35A3F3BA" w14:textId="77777777" w:rsidTr="00B447D1">
        <w:trPr>
          <w:jc w:val="center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51D820" w14:textId="77777777" w:rsidR="00B728FC" w:rsidRPr="00B728FC" w:rsidRDefault="00B728FC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Fonts w:eastAsia="SimSun"/>
                <w:b/>
                <w:sz w:val="22"/>
                <w:lang w:eastAsia="zh-CN"/>
              </w:rPr>
            </w:pPr>
            <w:r w:rsidRPr="00B728FC">
              <w:rPr>
                <w:rFonts w:eastAsia="SimSun"/>
                <w:b/>
                <w:sz w:val="22"/>
                <w:lang w:eastAsia="zh-CN"/>
              </w:rPr>
              <w:t>Resoluciones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DD08B6" w14:textId="77777777" w:rsidR="00B728FC" w:rsidRPr="00B728FC" w:rsidRDefault="00B728FC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B728FC">
              <w:rPr>
                <w:rFonts w:eastAsia="SimSun"/>
                <w:b/>
                <w:sz w:val="22"/>
                <w:szCs w:val="22"/>
                <w:lang w:eastAsia="zh-CN"/>
              </w:rPr>
              <w:t>C24/#</w:t>
            </w:r>
          </w:p>
        </w:tc>
      </w:tr>
      <w:tr w:rsidR="00B447D1" w:rsidRPr="00B728FC" w14:paraId="190B34B7" w14:textId="77777777" w:rsidTr="00B447D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9F8C2" w14:textId="18B60B78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  <w:lang w:eastAsia="zh-CN"/>
              </w:rPr>
            </w:pPr>
            <w:r w:rsidRPr="00B728FC">
              <w:rPr>
                <w:sz w:val="22"/>
                <w:lang w:eastAsia="zh-CN"/>
              </w:rPr>
              <w:t xml:space="preserve">Resolución </w:t>
            </w:r>
            <w:r w:rsidRPr="00B447D1">
              <w:rPr>
                <w:b/>
                <w:bCs/>
                <w:sz w:val="22"/>
                <w:lang w:eastAsia="zh-CN"/>
              </w:rPr>
              <w:t>1431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9F697" w14:textId="41D4B87B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  <w:lang w:eastAsia="zh-CN"/>
              </w:rPr>
            </w:pPr>
            <w:r w:rsidRPr="00B728FC">
              <w:rPr>
                <w:sz w:val="22"/>
                <w:lang w:eastAsia="zh-CN"/>
              </w:rPr>
              <w:t>Plan Operacional de la Unión para 2026-2029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5FEC1" w14:textId="3BED11BE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color w:val="0563C1"/>
                <w:sz w:val="22"/>
                <w:u w:val="single"/>
              </w:rPr>
            </w:pPr>
            <w:hyperlink r:id="rId6" w:history="1">
              <w:r w:rsidRPr="00525797">
                <w:rPr>
                  <w:rStyle w:val="Hyperlink"/>
                  <w:color w:val="4F81BD" w:themeColor="accent1"/>
                  <w:sz w:val="22"/>
                  <w:lang w:val="en-GB"/>
                </w:rPr>
                <w:t>115</w:t>
              </w:r>
            </w:hyperlink>
          </w:p>
        </w:tc>
      </w:tr>
      <w:tr w:rsidR="00B447D1" w:rsidRPr="00B728FC" w14:paraId="2F47EF90" w14:textId="77777777" w:rsidTr="00B447D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A63DC3" w14:textId="1AE2CAB2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  <w:lang w:eastAsia="zh-CN"/>
              </w:rPr>
            </w:pPr>
            <w:r w:rsidRPr="00B728FC">
              <w:rPr>
                <w:sz w:val="22"/>
                <w:lang w:eastAsia="zh-CN"/>
              </w:rPr>
              <w:t xml:space="preserve">Resolución </w:t>
            </w:r>
            <w:r w:rsidRPr="00B447D1">
              <w:rPr>
                <w:b/>
                <w:bCs/>
                <w:sz w:val="22"/>
                <w:lang w:eastAsia="zh-CN"/>
              </w:rPr>
              <w:t>1432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21B08" w14:textId="72B9F17A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  <w:lang w:eastAsia="zh-CN"/>
              </w:rPr>
            </w:pPr>
            <w:r w:rsidRPr="00B728FC">
              <w:rPr>
                <w:sz w:val="22"/>
                <w:lang w:eastAsia="zh-CN"/>
              </w:rPr>
              <w:t xml:space="preserve">Informe de </w:t>
            </w:r>
            <w:proofErr w:type="gramStart"/>
            <w:r w:rsidRPr="00B728FC">
              <w:rPr>
                <w:sz w:val="22"/>
                <w:lang w:eastAsia="zh-CN"/>
              </w:rPr>
              <w:t>gestión financiera y estados financieros</w:t>
            </w:r>
            <w:proofErr w:type="gramEnd"/>
            <w:r w:rsidRPr="00B728FC">
              <w:rPr>
                <w:sz w:val="22"/>
                <w:lang w:eastAsia="zh-CN"/>
              </w:rPr>
              <w:t xml:space="preserve"> auditados para el ejercicio 2024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3F7D8" w14:textId="10CE772D" w:rsidR="00B447D1" w:rsidRPr="00525797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Style w:val="Hyperlink"/>
                <w:color w:val="4F81BD" w:themeColor="accent1"/>
                <w:lang w:val="en-GB"/>
              </w:rPr>
            </w:pPr>
            <w:hyperlink r:id="rId7" w:history="1">
              <w:r w:rsidRPr="00525797">
                <w:rPr>
                  <w:rStyle w:val="Hyperlink"/>
                  <w:color w:val="4F81BD" w:themeColor="accent1"/>
                  <w:sz w:val="22"/>
                  <w:lang w:val="en-GB"/>
                </w:rPr>
                <w:t>116</w:t>
              </w:r>
            </w:hyperlink>
          </w:p>
        </w:tc>
      </w:tr>
      <w:tr w:rsidR="00B447D1" w:rsidRPr="00B728FC" w14:paraId="11E00A15" w14:textId="77777777" w:rsidTr="00B447D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332C08" w14:textId="0986C8D0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  <w:lang w:eastAsia="zh-CN"/>
              </w:rPr>
            </w:pPr>
            <w:r w:rsidRPr="00B728FC">
              <w:rPr>
                <w:sz w:val="22"/>
                <w:lang w:eastAsia="zh-CN"/>
              </w:rPr>
              <w:t xml:space="preserve">Resolución </w:t>
            </w:r>
            <w:r w:rsidRPr="00B447D1">
              <w:rPr>
                <w:b/>
                <w:bCs/>
                <w:sz w:val="22"/>
                <w:lang w:eastAsia="zh-CN"/>
              </w:rPr>
              <w:t>1433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E35D6" w14:textId="6F2F7375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  <w:lang w:eastAsia="zh-CN"/>
              </w:rPr>
            </w:pPr>
            <w:r w:rsidRPr="00B728FC">
              <w:rPr>
                <w:sz w:val="22"/>
                <w:lang w:eastAsia="zh-CN"/>
              </w:rPr>
              <w:t>Condiciones de servicio de los funcionarios de elección de la UIT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43A5F" w14:textId="5BBEA1F5" w:rsidR="00B447D1" w:rsidRPr="00525797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Style w:val="Hyperlink"/>
                <w:color w:val="4F81BD" w:themeColor="accent1"/>
                <w:lang w:val="en-GB"/>
              </w:rPr>
            </w:pPr>
            <w:hyperlink r:id="rId8" w:history="1">
              <w:r w:rsidRPr="00525797">
                <w:rPr>
                  <w:rStyle w:val="Hyperlink"/>
                  <w:color w:val="4F81BD" w:themeColor="accent1"/>
                  <w:sz w:val="22"/>
                  <w:lang w:val="en-GB"/>
                </w:rPr>
                <w:t>117</w:t>
              </w:r>
            </w:hyperlink>
          </w:p>
        </w:tc>
      </w:tr>
      <w:tr w:rsidR="00B447D1" w:rsidRPr="00B728FC" w14:paraId="14D3C371" w14:textId="77777777" w:rsidTr="00B447D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79190" w14:textId="12D2853E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  <w:lang w:eastAsia="zh-CN"/>
              </w:rPr>
            </w:pPr>
            <w:r w:rsidRPr="00B728FC">
              <w:rPr>
                <w:sz w:val="22"/>
                <w:lang w:eastAsia="zh-CN"/>
              </w:rPr>
              <w:t xml:space="preserve">Resolución </w:t>
            </w:r>
            <w:r w:rsidRPr="00B447D1">
              <w:rPr>
                <w:b/>
                <w:bCs/>
                <w:sz w:val="22"/>
                <w:lang w:eastAsia="zh-CN"/>
              </w:rPr>
              <w:t>1434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F8A9D" w14:textId="5BA2788D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  <w:lang w:eastAsia="zh-CN"/>
              </w:rPr>
            </w:pPr>
            <w:r w:rsidRPr="00B728FC">
              <w:rPr>
                <w:sz w:val="22"/>
                <w:lang w:eastAsia="zh-CN"/>
              </w:rPr>
              <w:t>Asignación de ahorros conseguidos en la ejecución del presupuesto de 2024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591B6" w14:textId="3B581F14" w:rsidR="00B447D1" w:rsidRPr="00525797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Style w:val="Hyperlink"/>
                <w:color w:val="4F81BD" w:themeColor="accent1"/>
                <w:lang w:val="en-GB"/>
              </w:rPr>
            </w:pPr>
            <w:hyperlink r:id="rId9" w:history="1">
              <w:r w:rsidRPr="00525797">
                <w:rPr>
                  <w:rStyle w:val="Hyperlink"/>
                  <w:color w:val="4F81BD" w:themeColor="accent1"/>
                  <w:sz w:val="22"/>
                  <w:lang w:val="en-GB"/>
                </w:rPr>
                <w:t>118</w:t>
              </w:r>
            </w:hyperlink>
          </w:p>
        </w:tc>
      </w:tr>
      <w:tr w:rsidR="00B447D1" w:rsidRPr="00B728FC" w14:paraId="36377C1E" w14:textId="77777777" w:rsidTr="00B447D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608D99" w14:textId="314E5F69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  <w:lang w:eastAsia="zh-CN"/>
              </w:rPr>
            </w:pPr>
            <w:r w:rsidRPr="00B728FC">
              <w:rPr>
                <w:sz w:val="22"/>
                <w:lang w:eastAsia="zh-CN"/>
              </w:rPr>
              <w:t xml:space="preserve">Resolución </w:t>
            </w:r>
            <w:r w:rsidRPr="00B447D1">
              <w:rPr>
                <w:b/>
                <w:bCs/>
                <w:sz w:val="22"/>
                <w:lang w:eastAsia="zh-CN"/>
              </w:rPr>
              <w:t>1435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70DBF" w14:textId="69C4D415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  <w:lang w:eastAsia="zh-CN"/>
              </w:rPr>
            </w:pPr>
            <w:r w:rsidRPr="00B728FC">
              <w:rPr>
                <w:sz w:val="22"/>
                <w:lang w:eastAsia="zh-CN"/>
              </w:rPr>
              <w:t>Presupuesto bienal de la Unión para 2026-2027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674E67" w14:textId="3EAD0B65" w:rsidR="00B447D1" w:rsidRPr="00525797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Style w:val="Hyperlink"/>
                <w:color w:val="4F81BD" w:themeColor="accent1"/>
                <w:lang w:val="en-GB"/>
              </w:rPr>
            </w:pPr>
            <w:hyperlink r:id="rId10" w:history="1">
              <w:r w:rsidRPr="00525797">
                <w:rPr>
                  <w:rStyle w:val="Hyperlink"/>
                  <w:color w:val="4F81BD" w:themeColor="accent1"/>
                  <w:sz w:val="22"/>
                  <w:lang w:val="en-GB"/>
                </w:rPr>
                <w:t>119</w:t>
              </w:r>
            </w:hyperlink>
          </w:p>
        </w:tc>
      </w:tr>
    </w:tbl>
    <w:p w14:paraId="739AD058" w14:textId="77777777" w:rsidR="00B728FC" w:rsidRDefault="00B728FC" w:rsidP="00B728F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0"/>
        <w:rPr>
          <w:rFonts w:eastAsia="SimSun"/>
          <w:sz w:val="22"/>
          <w:lang w:eastAsia="zh-C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7428"/>
        <w:gridCol w:w="928"/>
      </w:tblGrid>
      <w:tr w:rsidR="00B728FC" w:rsidRPr="00B728FC" w14:paraId="315F619E" w14:textId="77777777" w:rsidTr="00B447D1">
        <w:trPr>
          <w:jc w:val="center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5113D7" w14:textId="2C53E571" w:rsidR="00B728FC" w:rsidRPr="00B728FC" w:rsidRDefault="00B728FC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Fonts w:eastAsia="SimSun"/>
                <w:b/>
                <w:sz w:val="22"/>
                <w:lang w:eastAsia="zh-CN"/>
              </w:rPr>
            </w:pPr>
            <w:r w:rsidRPr="00B728FC">
              <w:rPr>
                <w:rFonts w:eastAsia="SimSun"/>
                <w:b/>
                <w:sz w:val="22"/>
                <w:lang w:eastAsia="zh-CN"/>
              </w:rPr>
              <w:t>Resoluciones</w:t>
            </w:r>
            <w:r>
              <w:rPr>
                <w:rFonts w:eastAsia="SimSun"/>
                <w:b/>
                <w:sz w:val="22"/>
                <w:lang w:eastAsia="zh-CN"/>
              </w:rPr>
              <w:t xml:space="preserve"> modificadas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732500" w14:textId="77777777" w:rsidR="00B728FC" w:rsidRPr="00B728FC" w:rsidRDefault="00B728FC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B728FC">
              <w:rPr>
                <w:rFonts w:eastAsia="SimSun"/>
                <w:b/>
                <w:sz w:val="22"/>
                <w:szCs w:val="22"/>
                <w:lang w:eastAsia="zh-CN"/>
              </w:rPr>
              <w:t>C24/#</w:t>
            </w:r>
          </w:p>
        </w:tc>
      </w:tr>
      <w:tr w:rsidR="00B447D1" w:rsidRPr="00B728FC" w14:paraId="6D55E770" w14:textId="77777777" w:rsidTr="00B447D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9C3F9" w14:textId="26AF085A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  <w:lang w:eastAsia="zh-CN"/>
              </w:rPr>
            </w:pPr>
            <w:r w:rsidRPr="00B728FC">
              <w:rPr>
                <w:sz w:val="22"/>
                <w:lang w:eastAsia="zh-CN"/>
              </w:rPr>
              <w:t xml:space="preserve">Resolución </w:t>
            </w:r>
            <w:r w:rsidRPr="00B447D1">
              <w:rPr>
                <w:b/>
                <w:bCs/>
                <w:sz w:val="22"/>
                <w:lang w:eastAsia="zh-CN"/>
              </w:rPr>
              <w:t>1333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0C477" w14:textId="544FF0BF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  <w:lang w:eastAsia="zh-CN"/>
              </w:rPr>
            </w:pPr>
            <w:r w:rsidRPr="00B728FC">
              <w:rPr>
                <w:sz w:val="22"/>
                <w:lang w:eastAsia="zh-CN"/>
              </w:rPr>
              <w:t>Principios rectores para la creación, gestión y disolución de grupos de trabajo del Consejo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DC971" w14:textId="3526A517" w:rsidR="00B447D1" w:rsidRPr="00525797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Style w:val="Hyperlink"/>
                <w:color w:val="4F81BD" w:themeColor="accent1"/>
                <w:lang w:val="en-GB"/>
              </w:rPr>
            </w:pPr>
            <w:hyperlink r:id="rId11" w:history="1">
              <w:r w:rsidRPr="00525797">
                <w:rPr>
                  <w:rStyle w:val="Hyperlink"/>
                  <w:color w:val="4F81BD" w:themeColor="accent1"/>
                  <w:sz w:val="22"/>
                  <w:lang w:val="en-GB"/>
                </w:rPr>
                <w:t>120</w:t>
              </w:r>
            </w:hyperlink>
          </w:p>
        </w:tc>
      </w:tr>
      <w:tr w:rsidR="00B447D1" w:rsidRPr="00B728FC" w14:paraId="494A1611" w14:textId="77777777" w:rsidTr="00B447D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17A490" w14:textId="23E029EE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  <w:lang w:eastAsia="zh-CN"/>
              </w:rPr>
            </w:pPr>
            <w:r w:rsidRPr="00B728FC">
              <w:rPr>
                <w:sz w:val="22"/>
                <w:lang w:eastAsia="zh-CN"/>
              </w:rPr>
              <w:t xml:space="preserve">Resolución </w:t>
            </w:r>
            <w:r w:rsidRPr="00B447D1">
              <w:rPr>
                <w:b/>
                <w:bCs/>
                <w:sz w:val="22"/>
                <w:lang w:eastAsia="zh-CN"/>
              </w:rPr>
              <w:t>1386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CA967" w14:textId="456C6D31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  <w:lang w:eastAsia="zh-CN"/>
              </w:rPr>
            </w:pPr>
            <w:r w:rsidRPr="00B728FC">
              <w:rPr>
                <w:sz w:val="22"/>
                <w:lang w:eastAsia="zh-CN"/>
              </w:rPr>
              <w:t>Comité de Coordinación de la Terminología de la UIT (CCT UIT)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B95AD" w14:textId="269828E4" w:rsidR="00B447D1" w:rsidRPr="00525797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Style w:val="Hyperlink"/>
                <w:color w:val="4F81BD" w:themeColor="accent1"/>
                <w:lang w:val="en-GB"/>
              </w:rPr>
            </w:pPr>
            <w:hyperlink r:id="rId12" w:history="1">
              <w:r w:rsidRPr="00525797">
                <w:rPr>
                  <w:rStyle w:val="Hyperlink"/>
                  <w:color w:val="4F81BD" w:themeColor="accent1"/>
                  <w:sz w:val="22"/>
                  <w:lang w:val="en-GB"/>
                </w:rPr>
                <w:t>121</w:t>
              </w:r>
            </w:hyperlink>
          </w:p>
        </w:tc>
      </w:tr>
    </w:tbl>
    <w:p w14:paraId="08EF5AAC" w14:textId="77777777" w:rsidR="00B728FC" w:rsidRPr="00B728FC" w:rsidRDefault="00B728FC" w:rsidP="00B728F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0"/>
        <w:rPr>
          <w:rFonts w:eastAsia="SimSun"/>
          <w:sz w:val="22"/>
          <w:lang w:eastAsia="zh-C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7428"/>
        <w:gridCol w:w="928"/>
      </w:tblGrid>
      <w:tr w:rsidR="00B728FC" w:rsidRPr="00B728FC" w14:paraId="17B6C6AA" w14:textId="77777777" w:rsidTr="00B447D1">
        <w:trPr>
          <w:jc w:val="center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37B862" w14:textId="77777777" w:rsidR="00B728FC" w:rsidRPr="00B728FC" w:rsidRDefault="00B728FC" w:rsidP="00B447D1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Fonts w:eastAsia="SimSun"/>
                <w:b/>
                <w:sz w:val="22"/>
                <w:lang w:eastAsia="zh-CN"/>
              </w:rPr>
            </w:pPr>
            <w:r w:rsidRPr="00B728FC">
              <w:rPr>
                <w:rFonts w:eastAsia="SimSun"/>
                <w:b/>
                <w:sz w:val="22"/>
                <w:lang w:eastAsia="zh-CN"/>
              </w:rPr>
              <w:t>Acuerdos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A9372F" w14:textId="77777777" w:rsidR="00B728FC" w:rsidRPr="00B728FC" w:rsidRDefault="00B728FC" w:rsidP="00B447D1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B728FC">
              <w:rPr>
                <w:rFonts w:eastAsia="SimSun"/>
                <w:b/>
                <w:sz w:val="22"/>
                <w:szCs w:val="22"/>
                <w:lang w:eastAsia="zh-CN"/>
              </w:rPr>
              <w:t>C24/#</w:t>
            </w:r>
          </w:p>
        </w:tc>
      </w:tr>
      <w:tr w:rsidR="00B447D1" w:rsidRPr="00B728FC" w14:paraId="5A16D6D6" w14:textId="77777777" w:rsidTr="00B447D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0EB7B4" w14:textId="69B56301" w:rsidR="00B447D1" w:rsidRPr="00B728FC" w:rsidRDefault="00B447D1" w:rsidP="00B447D1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rFonts w:eastAsia="SimSun"/>
                <w:sz w:val="22"/>
                <w:szCs w:val="22"/>
                <w:lang w:eastAsia="zh-CN"/>
              </w:rPr>
            </w:pPr>
            <w:r w:rsidRPr="00B728FC">
              <w:rPr>
                <w:sz w:val="22"/>
              </w:rPr>
              <w:t xml:space="preserve">Acuerdo </w:t>
            </w:r>
            <w:r w:rsidRPr="00B447D1">
              <w:rPr>
                <w:b/>
                <w:bCs/>
                <w:sz w:val="22"/>
              </w:rPr>
              <w:t>643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03143" w14:textId="405AF1C6" w:rsidR="00B447D1" w:rsidRPr="00B728FC" w:rsidRDefault="00B447D1" w:rsidP="00B447D1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rFonts w:eastAsia="SimSun"/>
                <w:sz w:val="22"/>
                <w:szCs w:val="22"/>
                <w:lang w:eastAsia="zh-CN"/>
              </w:rPr>
            </w:pPr>
            <w:r w:rsidRPr="00B728FC">
              <w:rPr>
                <w:sz w:val="22"/>
              </w:rPr>
              <w:t>Fechas y duración propuestas para las reuniones de 2026, 2027 y 2028 del Consejo y fechas propuestas para las series de reuniones de los Grupos de Trabajo y Grupos de Expertos del Consejo para el mismo period</w:t>
            </w:r>
            <w:r>
              <w:rPr>
                <w:sz w:val="22"/>
              </w:rPr>
              <w:t>o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EB872" w14:textId="73AF96F4" w:rsidR="00B447D1" w:rsidRPr="00525797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Style w:val="Hyperlink"/>
                <w:color w:val="4F81BD" w:themeColor="accent1"/>
                <w:lang w:val="en-GB"/>
              </w:rPr>
            </w:pPr>
            <w:hyperlink r:id="rId13" w:history="1">
              <w:r w:rsidRPr="00525797">
                <w:rPr>
                  <w:rStyle w:val="Hyperlink"/>
                  <w:color w:val="4F81BD" w:themeColor="accent1"/>
                  <w:sz w:val="22"/>
                  <w:lang w:val="en-GB"/>
                </w:rPr>
                <w:t>122</w:t>
              </w:r>
            </w:hyperlink>
          </w:p>
        </w:tc>
      </w:tr>
      <w:tr w:rsidR="00B447D1" w:rsidRPr="00B728FC" w14:paraId="47247BF0" w14:textId="77777777" w:rsidTr="00B447D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67D6E1" w14:textId="6EA40B81" w:rsidR="00B447D1" w:rsidRPr="00B728FC" w:rsidRDefault="00B447D1" w:rsidP="00B447D1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rFonts w:eastAsia="SimSun"/>
                <w:sz w:val="22"/>
                <w:szCs w:val="22"/>
                <w:lang w:eastAsia="zh-CN"/>
              </w:rPr>
            </w:pPr>
            <w:r w:rsidRPr="00B728FC">
              <w:rPr>
                <w:sz w:val="22"/>
              </w:rPr>
              <w:t xml:space="preserve">Acuerdo </w:t>
            </w:r>
            <w:r w:rsidRPr="00B447D1">
              <w:rPr>
                <w:b/>
                <w:bCs/>
                <w:sz w:val="22"/>
              </w:rPr>
              <w:t>644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CBF76" w14:textId="507305E3" w:rsidR="00B447D1" w:rsidRPr="00B728FC" w:rsidRDefault="00B447D1" w:rsidP="00B447D1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rFonts w:eastAsia="SimSun"/>
                <w:sz w:val="22"/>
                <w:szCs w:val="22"/>
                <w:lang w:eastAsia="zh-CN"/>
              </w:rPr>
            </w:pPr>
            <w:r w:rsidRPr="00B728FC">
              <w:rPr>
                <w:sz w:val="22"/>
              </w:rPr>
              <w:t>Renovación del mandato del Auditor Externo (Oficina Nacional de Auditoría (NAO) del Reino Unido) por un periodo de dos años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9E509" w14:textId="323EFEA9" w:rsidR="00B447D1" w:rsidRPr="00525797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Style w:val="Hyperlink"/>
                <w:color w:val="4F81BD" w:themeColor="accent1"/>
                <w:lang w:val="en-GB"/>
              </w:rPr>
            </w:pPr>
            <w:hyperlink r:id="rId14" w:history="1">
              <w:r w:rsidRPr="00525797">
                <w:rPr>
                  <w:rStyle w:val="Hyperlink"/>
                  <w:color w:val="4F81BD" w:themeColor="accent1"/>
                  <w:sz w:val="22"/>
                  <w:lang w:val="en-GB"/>
                </w:rPr>
                <w:t>123</w:t>
              </w:r>
            </w:hyperlink>
          </w:p>
        </w:tc>
      </w:tr>
      <w:tr w:rsidR="00B447D1" w:rsidRPr="00B728FC" w14:paraId="13F8B0A1" w14:textId="77777777" w:rsidTr="00B447D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9D905E" w14:textId="265A5484" w:rsidR="00B447D1" w:rsidRPr="00B728FC" w:rsidRDefault="00B447D1" w:rsidP="00B447D1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rFonts w:eastAsia="SimSun"/>
                <w:sz w:val="22"/>
                <w:szCs w:val="22"/>
                <w:lang w:eastAsia="zh-CN"/>
              </w:rPr>
            </w:pPr>
            <w:r w:rsidRPr="00B728FC">
              <w:rPr>
                <w:sz w:val="22"/>
              </w:rPr>
              <w:t xml:space="preserve">Acuerdo </w:t>
            </w:r>
            <w:r w:rsidRPr="00B447D1">
              <w:rPr>
                <w:b/>
                <w:bCs/>
                <w:sz w:val="22"/>
              </w:rPr>
              <w:t>645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36EB7" w14:textId="51C36D8D" w:rsidR="00B447D1" w:rsidRPr="00B728FC" w:rsidRDefault="00B447D1" w:rsidP="00B447D1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rFonts w:eastAsia="SimSun"/>
                <w:sz w:val="22"/>
                <w:szCs w:val="22"/>
                <w:lang w:eastAsia="zh-CN"/>
              </w:rPr>
            </w:pPr>
            <w:r w:rsidRPr="00B728FC">
              <w:rPr>
                <w:sz w:val="22"/>
              </w:rPr>
              <w:t>Registro en pérdidas y ganancias de los intereses de mora y las cantidades adeudadas incobrables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AB5C17" w14:textId="35BC6227" w:rsidR="00B447D1" w:rsidRPr="00525797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Style w:val="Hyperlink"/>
                <w:color w:val="4F81BD" w:themeColor="accent1"/>
                <w:lang w:val="en-GB"/>
              </w:rPr>
            </w:pPr>
            <w:hyperlink r:id="rId15" w:history="1">
              <w:r w:rsidRPr="00525797">
                <w:rPr>
                  <w:rStyle w:val="Hyperlink"/>
                  <w:color w:val="4F81BD" w:themeColor="accent1"/>
                  <w:sz w:val="22"/>
                  <w:lang w:val="en-GB"/>
                </w:rPr>
                <w:t>124</w:t>
              </w:r>
            </w:hyperlink>
          </w:p>
        </w:tc>
      </w:tr>
    </w:tbl>
    <w:p w14:paraId="48EC2FB9" w14:textId="77777777" w:rsidR="00B728FC" w:rsidRPr="00B728FC" w:rsidRDefault="00B728FC" w:rsidP="00B728F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0"/>
        <w:rPr>
          <w:rFonts w:eastAsia="SimSun"/>
          <w:sz w:val="22"/>
          <w:lang w:eastAsia="zh-C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7428"/>
        <w:gridCol w:w="928"/>
      </w:tblGrid>
      <w:tr w:rsidR="00B728FC" w:rsidRPr="00B728FC" w14:paraId="470B3C9D" w14:textId="77777777" w:rsidTr="00B447D1">
        <w:trPr>
          <w:jc w:val="center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EFB389" w14:textId="77777777" w:rsidR="00B728FC" w:rsidRPr="00B728FC" w:rsidRDefault="00B728FC" w:rsidP="00B447D1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Fonts w:eastAsia="SimSun"/>
                <w:b/>
                <w:sz w:val="22"/>
                <w:lang w:eastAsia="zh-CN"/>
              </w:rPr>
            </w:pPr>
            <w:r w:rsidRPr="00B728FC">
              <w:rPr>
                <w:rFonts w:eastAsia="SimSun"/>
                <w:b/>
                <w:sz w:val="22"/>
                <w:lang w:eastAsia="zh-CN"/>
              </w:rPr>
              <w:t>Acuerdos modificados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C754C1" w14:textId="77777777" w:rsidR="00B728FC" w:rsidRPr="00B728FC" w:rsidRDefault="00B728FC" w:rsidP="00B447D1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B728FC">
              <w:rPr>
                <w:rFonts w:eastAsia="SimSun"/>
                <w:b/>
                <w:sz w:val="22"/>
                <w:szCs w:val="22"/>
                <w:lang w:eastAsia="zh-CN"/>
              </w:rPr>
              <w:t>C24/#</w:t>
            </w:r>
          </w:p>
        </w:tc>
      </w:tr>
      <w:tr w:rsidR="00B447D1" w:rsidRPr="00B728FC" w14:paraId="24388946" w14:textId="77777777" w:rsidTr="00B447D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0AE2A6" w14:textId="72692125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  <w:lang w:eastAsia="zh-CN"/>
              </w:rPr>
            </w:pPr>
            <w:r w:rsidRPr="00B728FC">
              <w:rPr>
                <w:sz w:val="22"/>
              </w:rPr>
              <w:t xml:space="preserve">Acuerdo </w:t>
            </w:r>
            <w:r w:rsidRPr="00B447D1">
              <w:rPr>
                <w:b/>
                <w:bCs/>
                <w:sz w:val="22"/>
              </w:rPr>
              <w:t>482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13E56" w14:textId="7E7DBA9E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  <w:lang w:eastAsia="zh-CN"/>
              </w:rPr>
            </w:pPr>
            <w:r w:rsidRPr="00B728FC">
              <w:rPr>
                <w:sz w:val="22"/>
              </w:rPr>
              <w:t>Aplicación de la recuperación de costes a la tramitación de las notificaciones de redes de satélite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6120EA" w14:textId="71B126EB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color w:val="0563C1"/>
                <w:sz w:val="22"/>
                <w:u w:val="single"/>
              </w:rPr>
            </w:pPr>
            <w:hyperlink r:id="rId16" w:history="1">
              <w:r w:rsidRPr="00525797">
                <w:rPr>
                  <w:rStyle w:val="Hyperlink"/>
                  <w:color w:val="4F81BD" w:themeColor="accent1"/>
                  <w:sz w:val="22"/>
                  <w:lang w:val="en-GB"/>
                </w:rPr>
                <w:t>125</w:t>
              </w:r>
            </w:hyperlink>
          </w:p>
        </w:tc>
      </w:tr>
      <w:tr w:rsidR="00B447D1" w:rsidRPr="00B728FC" w14:paraId="4E3D8FC5" w14:textId="77777777" w:rsidTr="00B447D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D629FE" w14:textId="46297670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</w:rPr>
            </w:pPr>
            <w:r w:rsidRPr="00B728FC">
              <w:rPr>
                <w:sz w:val="22"/>
              </w:rPr>
              <w:t xml:space="preserve">Acuerdo </w:t>
            </w:r>
            <w:r w:rsidRPr="00B447D1">
              <w:rPr>
                <w:b/>
                <w:bCs/>
                <w:sz w:val="22"/>
              </w:rPr>
              <w:t>641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27ED6" w14:textId="0A6BE7C8" w:rsidR="00B447D1" w:rsidRPr="00B728FC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rPr>
                <w:sz w:val="22"/>
              </w:rPr>
            </w:pPr>
            <w:r w:rsidRPr="00B728FC">
              <w:rPr>
                <w:sz w:val="22"/>
              </w:rPr>
              <w:t>Séptimo Foro Mundial de Política de las Telecomunicaciones y Tecnologías de la Información y la Comunicación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8A0CD" w14:textId="342EFE88" w:rsidR="00B447D1" w:rsidRPr="00525797" w:rsidRDefault="00B447D1" w:rsidP="00B447D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60"/>
              <w:jc w:val="center"/>
              <w:rPr>
                <w:rStyle w:val="Hyperlink"/>
                <w:color w:val="4F81BD" w:themeColor="accent1"/>
                <w:lang w:val="en-GB"/>
              </w:rPr>
            </w:pPr>
            <w:hyperlink r:id="rId17" w:history="1">
              <w:r w:rsidRPr="00525797">
                <w:rPr>
                  <w:rStyle w:val="Hyperlink"/>
                  <w:color w:val="4F81BD" w:themeColor="accent1"/>
                  <w:sz w:val="22"/>
                  <w:lang w:val="en-GB"/>
                </w:rPr>
                <w:t>126</w:t>
              </w:r>
            </w:hyperlink>
          </w:p>
        </w:tc>
      </w:tr>
    </w:tbl>
    <w:p w14:paraId="5C3CF93F" w14:textId="0BBA7E3B" w:rsidR="002A4DA5" w:rsidRPr="002A4DA5" w:rsidRDefault="00B728FC" w:rsidP="00B447D1">
      <w:pPr>
        <w:spacing w:before="240"/>
        <w:jc w:val="center"/>
      </w:pPr>
      <w:r w:rsidRPr="00B728FC">
        <w:t>______________</w:t>
      </w:r>
    </w:p>
    <w:sectPr w:rsidR="002A4DA5" w:rsidRPr="002A4DA5" w:rsidSect="00C538FC">
      <w:footerReference w:type="default" r:id="rId18"/>
      <w:headerReference w:type="first" r:id="rId19"/>
      <w:footerReference w:type="first" r:id="rId2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0CF1" w14:textId="77777777" w:rsidR="0064481D" w:rsidRDefault="0064481D">
      <w:r>
        <w:separator/>
      </w:r>
    </w:p>
  </w:endnote>
  <w:endnote w:type="continuationSeparator" w:id="0">
    <w:p w14:paraId="0F717ED5" w14:textId="77777777" w:rsidR="0064481D" w:rsidRDefault="0064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79DB5C18" w14:textId="77777777" w:rsidTr="00E31DCE">
      <w:trPr>
        <w:jc w:val="center"/>
      </w:trPr>
      <w:tc>
        <w:tcPr>
          <w:tcW w:w="1803" w:type="dxa"/>
          <w:vAlign w:val="center"/>
        </w:tcPr>
        <w:p w14:paraId="06DEECE3" w14:textId="7DD5E019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31328314" w14:textId="7F695DE6" w:rsidR="003273A4" w:rsidRPr="00E06FD5" w:rsidRDefault="003273A4" w:rsidP="005C54D3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proofErr w:type="spellStart"/>
          <w:r w:rsidRPr="00623AE3">
            <w:rPr>
              <w:bCs/>
            </w:rPr>
            <w:t>xx</w:t>
          </w:r>
          <w:proofErr w:type="spellEnd"/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F691002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4A8F164E" w14:textId="77777777" w:rsidTr="00E31DCE">
      <w:trPr>
        <w:jc w:val="center"/>
      </w:trPr>
      <w:tc>
        <w:tcPr>
          <w:tcW w:w="1803" w:type="dxa"/>
          <w:vAlign w:val="center"/>
        </w:tcPr>
        <w:p w14:paraId="00FA64BD" w14:textId="446DBF3A" w:rsidR="00F24B71" w:rsidRPr="002946E2" w:rsidRDefault="002946E2" w:rsidP="00F24B71">
          <w:pPr>
            <w:pStyle w:val="Header"/>
            <w:jc w:val="left"/>
            <w:rPr>
              <w:noProof/>
            </w:rPr>
          </w:pPr>
          <w:hyperlink r:id="rId1" w:history="1">
            <w:r w:rsidRPr="002946E2">
              <w:rPr>
                <w:rStyle w:val="Hyperlink"/>
                <w:noProof/>
                <w:color w:val="4F81BD" w:themeColor="accent1"/>
                <w:u w:val="none"/>
              </w:rPr>
              <w:t>council.itu.int/2025</w:t>
            </w:r>
          </w:hyperlink>
          <w:r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20F74E99" w14:textId="3B8545FD" w:rsidR="00F24B71" w:rsidRPr="00E06FD5" w:rsidRDefault="00F24B71" w:rsidP="005C54D3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525797">
            <w:rPr>
              <w:bCs/>
            </w:rPr>
            <w:t>127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E5781B1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3CA7" w14:textId="77777777" w:rsidR="0064481D" w:rsidRDefault="0064481D">
      <w:r>
        <w:t>____________________</w:t>
      </w:r>
    </w:p>
  </w:footnote>
  <w:footnote w:type="continuationSeparator" w:id="0">
    <w:p w14:paraId="2A38DB86" w14:textId="77777777" w:rsidR="0064481D" w:rsidRDefault="00644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8"/>
      <w:gridCol w:w="4022"/>
    </w:tblGrid>
    <w:tr w:rsidR="00666D09" w:rsidRPr="00784011" w14:paraId="4004442A" w14:textId="77777777" w:rsidTr="00666D09">
      <w:trPr>
        <w:trHeight w:val="1104"/>
        <w:jc w:val="center"/>
      </w:trPr>
      <w:tc>
        <w:tcPr>
          <w:tcW w:w="5998" w:type="dxa"/>
          <w:vAlign w:val="center"/>
        </w:tcPr>
        <w:p w14:paraId="47173BAF" w14:textId="6F805533" w:rsidR="00666D09" w:rsidRDefault="00666D09" w:rsidP="001559F5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95168A9" wp14:editId="2102CD75">
                <wp:extent cx="3672000" cy="612867"/>
                <wp:effectExtent l="0" t="0" r="0" b="0"/>
                <wp:docPr id="1200703869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0703869" name="Picture 1" descr="A black background with blu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00" cy="612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2" w:type="dxa"/>
        </w:tcPr>
        <w:p w14:paraId="615975AC" w14:textId="77777777" w:rsidR="00666D09" w:rsidRDefault="00666D09" w:rsidP="001559F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509D6472" w14:textId="77777777" w:rsidR="001559F5" w:rsidRDefault="001559F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78359" wp14:editId="57BAE115">
              <wp:simplePos x="0" y="0"/>
              <wp:positionH relativeFrom="page">
                <wp:posOffset>5525</wp:posOffset>
              </wp:positionH>
              <wp:positionV relativeFrom="topMargin">
                <wp:posOffset>602615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C0FC8" id="Rectangle 5" o:spid="_x0000_s1026" style="position:absolute;margin-left:.45pt;margin-top:47.45pt;width:8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" fillcolor="#009cd5" stroked="f">
              <w10:wrap anchorx="page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1D"/>
    <w:rsid w:val="000007D1"/>
    <w:rsid w:val="0006007D"/>
    <w:rsid w:val="00093EEB"/>
    <w:rsid w:val="000B0D00"/>
    <w:rsid w:val="000B7C15"/>
    <w:rsid w:val="000D1D0F"/>
    <w:rsid w:val="000F5290"/>
    <w:rsid w:val="0010165C"/>
    <w:rsid w:val="001212A8"/>
    <w:rsid w:val="00145128"/>
    <w:rsid w:val="00146BFB"/>
    <w:rsid w:val="001559F5"/>
    <w:rsid w:val="0016169C"/>
    <w:rsid w:val="001F14A2"/>
    <w:rsid w:val="002801AA"/>
    <w:rsid w:val="002946E2"/>
    <w:rsid w:val="002A4DA5"/>
    <w:rsid w:val="002B290D"/>
    <w:rsid w:val="002C3F32"/>
    <w:rsid w:val="002C4676"/>
    <w:rsid w:val="002C70B0"/>
    <w:rsid w:val="002F3CC4"/>
    <w:rsid w:val="003032E2"/>
    <w:rsid w:val="0031300A"/>
    <w:rsid w:val="003273A4"/>
    <w:rsid w:val="0034796E"/>
    <w:rsid w:val="003B41E4"/>
    <w:rsid w:val="003E79E7"/>
    <w:rsid w:val="00473962"/>
    <w:rsid w:val="004B5D49"/>
    <w:rsid w:val="004D3A3C"/>
    <w:rsid w:val="0050274F"/>
    <w:rsid w:val="00513630"/>
    <w:rsid w:val="00525797"/>
    <w:rsid w:val="00560125"/>
    <w:rsid w:val="00585553"/>
    <w:rsid w:val="005B34D9"/>
    <w:rsid w:val="005B68DF"/>
    <w:rsid w:val="005C54D3"/>
    <w:rsid w:val="005D0CCF"/>
    <w:rsid w:val="005F3BCB"/>
    <w:rsid w:val="005F410F"/>
    <w:rsid w:val="006009F3"/>
    <w:rsid w:val="0060149A"/>
    <w:rsid w:val="00601924"/>
    <w:rsid w:val="006447EA"/>
    <w:rsid w:val="0064481D"/>
    <w:rsid w:val="00644EC6"/>
    <w:rsid w:val="0064731F"/>
    <w:rsid w:val="00664572"/>
    <w:rsid w:val="00666D09"/>
    <w:rsid w:val="006710F6"/>
    <w:rsid w:val="00677A97"/>
    <w:rsid w:val="006C1B56"/>
    <w:rsid w:val="006D4761"/>
    <w:rsid w:val="00726872"/>
    <w:rsid w:val="00760F1C"/>
    <w:rsid w:val="007657F0"/>
    <w:rsid w:val="0077110E"/>
    <w:rsid w:val="0077252D"/>
    <w:rsid w:val="007844C0"/>
    <w:rsid w:val="00793700"/>
    <w:rsid w:val="007955DA"/>
    <w:rsid w:val="007D20B3"/>
    <w:rsid w:val="007E5DD3"/>
    <w:rsid w:val="007F350B"/>
    <w:rsid w:val="00820BE4"/>
    <w:rsid w:val="008451E8"/>
    <w:rsid w:val="008F6ABC"/>
    <w:rsid w:val="00913B9C"/>
    <w:rsid w:val="00927F93"/>
    <w:rsid w:val="00956E77"/>
    <w:rsid w:val="009A338E"/>
    <w:rsid w:val="009D49B9"/>
    <w:rsid w:val="009E4383"/>
    <w:rsid w:val="009F4811"/>
    <w:rsid w:val="00A073DC"/>
    <w:rsid w:val="00AA390C"/>
    <w:rsid w:val="00B0200A"/>
    <w:rsid w:val="00B447D1"/>
    <w:rsid w:val="00B574DB"/>
    <w:rsid w:val="00B728FC"/>
    <w:rsid w:val="00B826C2"/>
    <w:rsid w:val="00B8298E"/>
    <w:rsid w:val="00BB6FD8"/>
    <w:rsid w:val="00BD0723"/>
    <w:rsid w:val="00BD2518"/>
    <w:rsid w:val="00BF1D1C"/>
    <w:rsid w:val="00C20C59"/>
    <w:rsid w:val="00C2727F"/>
    <w:rsid w:val="00C462D1"/>
    <w:rsid w:val="00C538FC"/>
    <w:rsid w:val="00C55B1F"/>
    <w:rsid w:val="00CF1A67"/>
    <w:rsid w:val="00D03F3E"/>
    <w:rsid w:val="00D2750E"/>
    <w:rsid w:val="00D375E0"/>
    <w:rsid w:val="00D50A36"/>
    <w:rsid w:val="00D62446"/>
    <w:rsid w:val="00DA4EA2"/>
    <w:rsid w:val="00DC20B0"/>
    <w:rsid w:val="00DC3D3E"/>
    <w:rsid w:val="00DE2C90"/>
    <w:rsid w:val="00DE3B24"/>
    <w:rsid w:val="00E06947"/>
    <w:rsid w:val="00E21444"/>
    <w:rsid w:val="00E34072"/>
    <w:rsid w:val="00E3592D"/>
    <w:rsid w:val="00E50D76"/>
    <w:rsid w:val="00E92DE8"/>
    <w:rsid w:val="00EB1212"/>
    <w:rsid w:val="00ED65AB"/>
    <w:rsid w:val="00F12850"/>
    <w:rsid w:val="00F1398F"/>
    <w:rsid w:val="00F24B71"/>
    <w:rsid w:val="00F33BF4"/>
    <w:rsid w:val="00F7105E"/>
    <w:rsid w:val="00F75F57"/>
    <w:rsid w:val="00F82FEE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011FC"/>
  <w15:docId w15:val="{B9BBECA0-910D-4382-B90D-29D2E044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E57F6"/>
    <w:pPr>
      <w:framePr w:hSpace="180" w:wrap="around" w:hAnchor="page" w:x="1821" w:y="2317"/>
      <w:spacing w:before="120" w:after="160"/>
      <w:jc w:val="left"/>
    </w:pPr>
    <w:rPr>
      <w:caps w:val="0"/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6F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117/fr" TargetMode="External"/><Relationship Id="rId13" Type="http://schemas.openxmlformats.org/officeDocument/2006/relationships/hyperlink" Target="https://www.itu.int/md/S25-CL-C-0122/fr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itu.int/md/S25-CL-C-0116/fr" TargetMode="External"/><Relationship Id="rId12" Type="http://schemas.openxmlformats.org/officeDocument/2006/relationships/hyperlink" Target="https://www.itu.int/md/S25-CL-C-0121/fr" TargetMode="External"/><Relationship Id="rId17" Type="http://schemas.openxmlformats.org/officeDocument/2006/relationships/hyperlink" Target="https://www.itu.int/md/S25-CL-C-0126/f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tu.int/md/S25-CL-C-0125/fr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www.itu.int/md/S25-CL-C-0115/fr" TargetMode="External"/><Relationship Id="rId11" Type="http://schemas.openxmlformats.org/officeDocument/2006/relationships/hyperlink" Target="https://www.itu.int/md/S25-CL-C-0120/fr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tu.int/md/S25-CL-C-0124/fr" TargetMode="External"/><Relationship Id="rId10" Type="http://schemas.openxmlformats.org/officeDocument/2006/relationships/hyperlink" Target="https://www.itu.int/md/S25-CL-C-0119/fr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tu.int/md/S25-CL-C-0118/fr" TargetMode="External"/><Relationship Id="rId14" Type="http://schemas.openxmlformats.org/officeDocument/2006/relationships/hyperlink" Target="https://www.itu.int/md/S25-CL-C-0123/fr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269</Words>
  <Characters>2134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Resoluciones y Acuerdos adoptados al Consejo de 2025 de la UIT</vt:lpstr>
    </vt:vector>
  </TitlesOfParts>
  <Manager>Secretaría General - Pool</Manager>
  <Company>International Telecommunication Union</Company>
  <LinksUpToDate>false</LinksUpToDate>
  <CharactersWithSpaces>2399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Resoluciones y Acuerdos adoptados al Consejo de 2025 de la UIT</dc:title>
  <dc:subject>Consejo 2025 de la UIT</dc:subject>
  <dc:creator>GBS</dc:creator>
  <cp:keywords>C2025, C25, Council-25</cp:keywords>
  <dc:description/>
  <cp:lastModifiedBy>GBS</cp:lastModifiedBy>
  <cp:revision>7</cp:revision>
  <cp:lastPrinted>2006-03-24T09:51:00Z</cp:lastPrinted>
  <dcterms:created xsi:type="dcterms:W3CDTF">2025-09-05T11:31:00Z</dcterms:created>
  <dcterms:modified xsi:type="dcterms:W3CDTF">2025-09-09T13:56:00Z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