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FF5650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3FC2B5E3" w:rsidR="00AD3606" w:rsidRPr="00FF5650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779937E" w14:textId="2BABF1B3" w:rsidR="00AD3606" w:rsidRPr="00FF5650" w:rsidRDefault="00DB7444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F5650">
              <w:rPr>
                <w:b/>
                <w:lang w:val="ru-RU"/>
              </w:rPr>
              <w:t>Документ</w:t>
            </w:r>
            <w:r w:rsidR="00AD3606" w:rsidRPr="00FF5650">
              <w:rPr>
                <w:b/>
                <w:lang w:val="ru-RU"/>
              </w:rPr>
              <w:t xml:space="preserve"> C2</w:t>
            </w:r>
            <w:r w:rsidR="00BF1FDE" w:rsidRPr="00FF5650">
              <w:rPr>
                <w:b/>
                <w:lang w:val="ru-RU"/>
              </w:rPr>
              <w:t>5</w:t>
            </w:r>
            <w:r w:rsidR="00AD3606" w:rsidRPr="00FF5650">
              <w:rPr>
                <w:b/>
                <w:lang w:val="ru-RU"/>
              </w:rPr>
              <w:t>/</w:t>
            </w:r>
            <w:r w:rsidR="00B035DD" w:rsidRPr="00FF5650">
              <w:rPr>
                <w:b/>
                <w:lang w:val="ru-RU"/>
              </w:rPr>
              <w:t>127</w:t>
            </w:r>
            <w:r w:rsidR="00AD3606" w:rsidRPr="00FF5650">
              <w:rPr>
                <w:b/>
                <w:lang w:val="ru-RU"/>
              </w:rPr>
              <w:t>-</w:t>
            </w:r>
            <w:r w:rsidRPr="00FF5650">
              <w:rPr>
                <w:b/>
                <w:lang w:val="ru-RU"/>
              </w:rPr>
              <w:t>R</w:t>
            </w:r>
          </w:p>
        </w:tc>
      </w:tr>
      <w:tr w:rsidR="00AD3606" w:rsidRPr="00FF5650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FF5650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371C25" w14:textId="4A60B4FC" w:rsidR="00AD3606" w:rsidRPr="00FF5650" w:rsidRDefault="0025114E" w:rsidP="00AD3606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FF5650">
              <w:rPr>
                <w:b/>
                <w:lang w:val="ru-RU"/>
              </w:rPr>
              <w:t>10</w:t>
            </w:r>
            <w:r w:rsidR="00B035DD" w:rsidRPr="00FF5650">
              <w:rPr>
                <w:b/>
                <w:lang w:val="ru-RU"/>
              </w:rPr>
              <w:t xml:space="preserve"> </w:t>
            </w:r>
            <w:r w:rsidR="00DB7444" w:rsidRPr="00FF5650">
              <w:rPr>
                <w:b/>
                <w:lang w:val="ru-RU"/>
              </w:rPr>
              <w:t>сентября</w:t>
            </w:r>
            <w:r w:rsidR="00B035DD" w:rsidRPr="00FF5650">
              <w:rPr>
                <w:b/>
                <w:lang w:val="ru-RU"/>
              </w:rPr>
              <w:t xml:space="preserve"> 2025</w:t>
            </w:r>
            <w:r w:rsidR="00DB7444" w:rsidRPr="00FF5650">
              <w:rPr>
                <w:b/>
                <w:lang w:val="ru-RU"/>
              </w:rPr>
              <w:t xml:space="preserve"> года</w:t>
            </w:r>
          </w:p>
        </w:tc>
      </w:tr>
      <w:tr w:rsidR="00AD3606" w:rsidRPr="00FF5650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FF5650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37C66ECF" w:rsidR="00AD3606" w:rsidRPr="00FF5650" w:rsidRDefault="00DB7444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F5650">
              <w:rPr>
                <w:b/>
                <w:lang w:val="ru-RU"/>
              </w:rPr>
              <w:t>Оригинал</w:t>
            </w:r>
            <w:r w:rsidR="00AD3606" w:rsidRPr="00FF5650">
              <w:rPr>
                <w:b/>
                <w:lang w:val="ru-RU"/>
              </w:rPr>
              <w:t xml:space="preserve">: </w:t>
            </w:r>
            <w:r w:rsidRPr="00FF5650">
              <w:rPr>
                <w:b/>
                <w:lang w:val="ru-RU"/>
              </w:rPr>
              <w:t>английский</w:t>
            </w:r>
          </w:p>
        </w:tc>
      </w:tr>
      <w:tr w:rsidR="00AD3606" w:rsidRPr="00FF5650" w14:paraId="2481FF59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16C4A0" w14:textId="36F1C946" w:rsidR="00AD3606" w:rsidRPr="00FF5650" w:rsidRDefault="009D59C7" w:rsidP="00FF5650">
            <w:pPr>
              <w:pStyle w:val="Source"/>
              <w:framePr w:hSpace="0" w:wrap="auto" w:vAnchor="margin" w:hAnchor="text" w:xAlign="left" w:yAlign="inline"/>
              <w:rPr>
                <w:lang w:val="ru-RU"/>
              </w:rPr>
            </w:pPr>
            <w:bookmarkStart w:id="8" w:name="dsource" w:colFirst="0" w:colLast="0"/>
            <w:bookmarkEnd w:id="7"/>
            <w:r w:rsidRPr="00FF5650">
              <w:rPr>
                <w:lang w:val="ru-RU"/>
              </w:rPr>
              <w:t>Записка Генерального секретаря</w:t>
            </w:r>
          </w:p>
        </w:tc>
      </w:tr>
      <w:tr w:rsidR="00AD3606" w:rsidRPr="00FF5650" w14:paraId="3A759762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2DCF47" w14:textId="50E96F46" w:rsidR="00AD3606" w:rsidRPr="00FF5650" w:rsidRDefault="009D59C7" w:rsidP="00FF5650">
            <w:pPr>
              <w:pStyle w:val="Subtitle"/>
              <w:framePr w:hSpace="0" w:wrap="auto" w:xAlign="left" w:yAlign="inline"/>
              <w:rPr>
                <w:lang w:val="ru-RU"/>
              </w:rPr>
            </w:pPr>
            <w:bookmarkStart w:id="9" w:name="dtitle1" w:colFirst="0" w:colLast="0"/>
            <w:bookmarkEnd w:id="8"/>
            <w:r w:rsidRPr="00FF5650">
              <w:rPr>
                <w:lang w:val="ru-RU"/>
              </w:rPr>
              <w:t>РЕЗОЛЮЦИИ И РЕШЕНИЯ</w:t>
            </w:r>
          </w:p>
        </w:tc>
      </w:tr>
    </w:tbl>
    <w:p w14:paraId="4FA38197" w14:textId="1397496B" w:rsidR="00851190" w:rsidRPr="00FF5650" w:rsidRDefault="009D59C7" w:rsidP="00FF5650">
      <w:pPr>
        <w:pStyle w:val="Normalaftertitle"/>
        <w:spacing w:before="360" w:after="120"/>
        <w:rPr>
          <w:lang w:val="ru-RU" w:eastAsia="zh-CN"/>
        </w:rPr>
      </w:pPr>
      <w:bookmarkStart w:id="10" w:name="_Hlk133421428"/>
      <w:bookmarkEnd w:id="2"/>
      <w:bookmarkEnd w:id="9"/>
      <w:bookmarkEnd w:id="3"/>
      <w:bookmarkEnd w:id="4"/>
      <w:r w:rsidRPr="00FF5650">
        <w:rPr>
          <w:lang w:val="ru-RU" w:eastAsia="zh-CN"/>
        </w:rPr>
        <w:t>Совет МСЭ на своей сессии 2025 года, состоявшейся с 17 по 27 июня 2025 года, принял следующие Резолюции и Решения: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517"/>
        <w:gridCol w:w="851"/>
      </w:tblGrid>
      <w:tr w:rsidR="00851190" w:rsidRPr="00FF5650" w14:paraId="694990AC" w14:textId="77777777" w:rsidTr="009D59C7">
        <w:trPr>
          <w:jc w:val="center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31006" w14:textId="43C88305" w:rsidR="00851190" w:rsidRPr="00FF5650" w:rsidRDefault="009D59C7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ru-RU" w:eastAsia="zh-CN"/>
              </w:rPr>
            </w:pPr>
            <w:r w:rsidRPr="00FF5650">
              <w:rPr>
                <w:b/>
                <w:sz w:val="22"/>
                <w:lang w:val="ru-RU" w:eastAsia="zh-CN"/>
              </w:rPr>
              <w:t>Резолюции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DA99C2" w14:textId="605FE375" w:rsidR="00851190" w:rsidRPr="00FF5650" w:rsidRDefault="00851190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ru-RU" w:eastAsia="zh-CN"/>
              </w:rPr>
            </w:pPr>
            <w:r w:rsidRPr="00FF5650">
              <w:rPr>
                <w:b/>
                <w:sz w:val="22"/>
                <w:lang w:val="ru-RU" w:eastAsia="zh-CN"/>
              </w:rPr>
              <w:t>C25/</w:t>
            </w:r>
            <w:r w:rsidR="00FF5650" w:rsidRPr="00FF5650">
              <w:rPr>
                <w:b/>
                <w:sz w:val="22"/>
                <w:lang w:val="ru-RU" w:eastAsia="zh-CN"/>
              </w:rPr>
              <w:t>№</w:t>
            </w:r>
          </w:p>
        </w:tc>
      </w:tr>
      <w:tr w:rsidR="00CC6B49" w:rsidRPr="00FF5650" w14:paraId="578343C0" w14:textId="77777777" w:rsidTr="009D59C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CDC508" w14:textId="7E76783F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 xml:space="preserve">Резолюция </w:t>
            </w:r>
            <w:r w:rsidRPr="00FF5650">
              <w:rPr>
                <w:b/>
                <w:bCs/>
                <w:sz w:val="22"/>
                <w:lang w:val="ru-RU" w:eastAsia="zh-CN"/>
              </w:rPr>
              <w:t>1431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01796" w14:textId="6ECD7F49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>Оперативный план Союза на 2026–2029 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5AE0F" w14:textId="6A9BED3F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lang w:val="ru-RU"/>
              </w:rPr>
            </w:pPr>
            <w:hyperlink r:id="rId11" w:history="1">
              <w:r w:rsidRPr="00A87443">
                <w:rPr>
                  <w:rStyle w:val="Hyperlink"/>
                  <w:sz w:val="22"/>
                </w:rPr>
                <w:t>115</w:t>
              </w:r>
            </w:hyperlink>
          </w:p>
        </w:tc>
      </w:tr>
      <w:tr w:rsidR="00CC6B49" w:rsidRPr="00FF5650" w14:paraId="77C558D1" w14:textId="77777777" w:rsidTr="009D59C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DE43B" w14:textId="2AD734DD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 xml:space="preserve">Резолюция </w:t>
            </w:r>
            <w:r w:rsidRPr="00FF5650">
              <w:rPr>
                <w:b/>
                <w:bCs/>
                <w:sz w:val="22"/>
                <w:lang w:val="ru-RU" w:eastAsia="zh-CN"/>
              </w:rPr>
              <w:t>1432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AEF78" w14:textId="0DC58816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bookmarkStart w:id="11" w:name="_Toc200469550"/>
            <w:r w:rsidRPr="00FF5650">
              <w:rPr>
                <w:sz w:val="22"/>
                <w:lang w:val="ru-RU" w:eastAsia="zh-CN"/>
              </w:rPr>
              <w:t>Отчет о финансовой деятельности и проверенная финансовая отчетность за 2024 финансовый год</w:t>
            </w:r>
            <w:bookmarkEnd w:id="1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1BCD0" w14:textId="69022CF4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ru-RU" w:eastAsia="zh-CN"/>
              </w:rPr>
            </w:pPr>
            <w:hyperlink r:id="rId12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116</w:t>
              </w:r>
            </w:hyperlink>
          </w:p>
        </w:tc>
      </w:tr>
      <w:tr w:rsidR="00CC6B49" w:rsidRPr="00FF5650" w14:paraId="070B2E8F" w14:textId="77777777" w:rsidTr="009D59C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EC6E5" w14:textId="1DA539EF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 xml:space="preserve">Резолюция </w:t>
            </w:r>
            <w:r w:rsidRPr="00FF5650">
              <w:rPr>
                <w:b/>
                <w:bCs/>
                <w:sz w:val="22"/>
                <w:lang w:val="ru-RU" w:eastAsia="zh-CN"/>
              </w:rPr>
              <w:t>1433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D4149" w14:textId="2C1CA2C7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>Условия службы избираемых должностных лиц МСЭ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E74FE" w14:textId="34DC78E3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ru-RU" w:eastAsia="zh-CN"/>
              </w:rPr>
            </w:pPr>
            <w:hyperlink r:id="rId13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117</w:t>
              </w:r>
            </w:hyperlink>
          </w:p>
        </w:tc>
      </w:tr>
      <w:tr w:rsidR="00CC6B49" w:rsidRPr="00FF5650" w14:paraId="2E65D1F7" w14:textId="77777777" w:rsidTr="009D59C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704F5" w14:textId="1174EC13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 xml:space="preserve">Резолюция </w:t>
            </w:r>
            <w:r w:rsidRPr="00FF5650">
              <w:rPr>
                <w:b/>
                <w:bCs/>
                <w:sz w:val="22"/>
                <w:lang w:val="ru-RU" w:eastAsia="zh-CN"/>
              </w:rPr>
              <w:t>1434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5E835" w14:textId="76689CFD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bCs/>
                <w:sz w:val="22"/>
                <w:lang w:val="ru-RU" w:eastAsia="zh-CN"/>
              </w:rPr>
              <w:t>Распределение средств, сэкономленных при исполнении бюджета на</w:t>
            </w:r>
            <w:r>
              <w:rPr>
                <w:bCs/>
                <w:sz w:val="22"/>
                <w:lang w:val="ru-RU" w:eastAsia="zh-CN"/>
              </w:rPr>
              <w:t> </w:t>
            </w:r>
            <w:r w:rsidRPr="00FF5650">
              <w:rPr>
                <w:bCs/>
                <w:sz w:val="22"/>
                <w:lang w:val="ru-RU" w:eastAsia="zh-CN"/>
              </w:rPr>
              <w:t>2024</w:t>
            </w:r>
            <w:r>
              <w:rPr>
                <w:bCs/>
                <w:sz w:val="22"/>
                <w:lang w:val="ru-RU" w:eastAsia="zh-CN"/>
              </w:rPr>
              <w:t> </w:t>
            </w:r>
            <w:r w:rsidRPr="00FF5650">
              <w:rPr>
                <w:bCs/>
                <w:sz w:val="22"/>
                <w:lang w:val="ru-RU"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A254D" w14:textId="3EAB55AA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hyperlink r:id="rId14" w:history="1">
              <w:r w:rsidRPr="00A87443">
                <w:rPr>
                  <w:rStyle w:val="Hyperlink"/>
                  <w:sz w:val="22"/>
                  <w:szCs w:val="22"/>
                  <w:lang w:val="en-US"/>
                </w:rPr>
                <w:t>118</w:t>
              </w:r>
            </w:hyperlink>
          </w:p>
        </w:tc>
      </w:tr>
      <w:tr w:rsidR="00CC6B49" w:rsidRPr="00FF5650" w14:paraId="7688FBF4" w14:textId="77777777" w:rsidTr="009D59C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7347B" w14:textId="522AA422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 xml:space="preserve">Резолюция </w:t>
            </w:r>
            <w:r w:rsidRPr="00FF5650">
              <w:rPr>
                <w:b/>
                <w:bCs/>
                <w:sz w:val="22"/>
                <w:lang w:val="ru-RU" w:eastAsia="zh-CN"/>
              </w:rPr>
              <w:t>1435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4C627" w14:textId="262E0A65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>Двухгодичный бюджет Союза на 2026–2027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27C57" w14:textId="422D8B58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ru-RU" w:eastAsia="zh-CN"/>
              </w:rPr>
            </w:pPr>
            <w:hyperlink r:id="rId15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119</w:t>
              </w:r>
            </w:hyperlink>
          </w:p>
        </w:tc>
      </w:tr>
    </w:tbl>
    <w:p w14:paraId="512C5124" w14:textId="77777777" w:rsidR="00851190" w:rsidRPr="00FF5650" w:rsidRDefault="00851190" w:rsidP="008511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textAlignment w:val="auto"/>
        <w:rPr>
          <w:sz w:val="22"/>
          <w:lang w:val="ru-RU"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513"/>
        <w:gridCol w:w="855"/>
      </w:tblGrid>
      <w:tr w:rsidR="00851190" w:rsidRPr="00FF5650" w14:paraId="5EF54766" w14:textId="77777777" w:rsidTr="00A50246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1A7CC" w14:textId="0FA1C98A" w:rsidR="00851190" w:rsidRPr="00FF5650" w:rsidRDefault="009A40BC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ru-RU" w:eastAsia="zh-CN"/>
              </w:rPr>
            </w:pPr>
            <w:r w:rsidRPr="00FF5650">
              <w:rPr>
                <w:b/>
                <w:sz w:val="22"/>
                <w:lang w:val="ru-RU" w:eastAsia="zh-CN"/>
              </w:rPr>
              <w:t xml:space="preserve">Измененные </w:t>
            </w:r>
            <w:r w:rsidR="00507CEE" w:rsidRPr="00FF5650">
              <w:rPr>
                <w:b/>
                <w:sz w:val="22"/>
                <w:lang w:val="ru-RU" w:eastAsia="zh-CN"/>
              </w:rPr>
              <w:t>Резолюции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FF0F29" w14:textId="4189E338" w:rsidR="00851190" w:rsidRPr="00FF5650" w:rsidRDefault="00851190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ru-RU" w:eastAsia="zh-CN"/>
              </w:rPr>
            </w:pPr>
            <w:r w:rsidRPr="00FF5650">
              <w:rPr>
                <w:b/>
                <w:sz w:val="22"/>
                <w:lang w:val="ru-RU" w:eastAsia="zh-CN"/>
              </w:rPr>
              <w:t>C25/</w:t>
            </w:r>
            <w:r w:rsidR="00FF5650">
              <w:rPr>
                <w:b/>
                <w:sz w:val="22"/>
                <w:lang w:val="ru-RU" w:eastAsia="zh-CN"/>
              </w:rPr>
              <w:t>№</w:t>
            </w:r>
          </w:p>
        </w:tc>
      </w:tr>
      <w:tr w:rsidR="00CC6B49" w:rsidRPr="00FF5650" w14:paraId="385A51B6" w14:textId="77777777" w:rsidTr="0009560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A899D1" w14:textId="60C08941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 xml:space="preserve">Резолюция </w:t>
            </w:r>
            <w:r w:rsidRPr="00FF5650">
              <w:rPr>
                <w:b/>
                <w:bCs/>
                <w:sz w:val="22"/>
                <w:lang w:val="ru-RU" w:eastAsia="zh-CN"/>
              </w:rPr>
              <w:t>1333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0F40B" w14:textId="4E3714E0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>Руководящие принципы по созданию рабочих групп Совета, управлению ими и прекращению их деятельности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EF142" w14:textId="20B8731E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lang w:val="ru-RU"/>
              </w:rPr>
            </w:pPr>
            <w:hyperlink r:id="rId16" w:history="1">
              <w:r w:rsidRPr="00A87443">
                <w:rPr>
                  <w:rStyle w:val="Hyperlink"/>
                  <w:sz w:val="22"/>
                </w:rPr>
                <w:t>120</w:t>
              </w:r>
            </w:hyperlink>
          </w:p>
        </w:tc>
      </w:tr>
      <w:tr w:rsidR="00CC6B49" w:rsidRPr="00FF5650" w14:paraId="5E84C8C5" w14:textId="77777777" w:rsidTr="0009560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54A45B" w14:textId="3EB67E70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 xml:space="preserve">Резолюция </w:t>
            </w:r>
            <w:r w:rsidRPr="00FF5650">
              <w:rPr>
                <w:b/>
                <w:bCs/>
                <w:sz w:val="22"/>
                <w:lang w:val="ru-RU" w:eastAsia="zh-CN"/>
              </w:rPr>
              <w:t>1386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90B3" w14:textId="33FED49A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>Координационный комитет МСЭ по терминологии (ККТ МСЭ)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51E36" w14:textId="2B11EBEF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ru-RU" w:eastAsia="zh-CN"/>
              </w:rPr>
            </w:pPr>
            <w:hyperlink r:id="rId17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121</w:t>
              </w:r>
            </w:hyperlink>
          </w:p>
        </w:tc>
      </w:tr>
    </w:tbl>
    <w:p w14:paraId="39ADD9E7" w14:textId="77777777" w:rsidR="00851190" w:rsidRPr="00FF5650" w:rsidRDefault="00851190" w:rsidP="008511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textAlignment w:val="auto"/>
        <w:rPr>
          <w:sz w:val="22"/>
          <w:lang w:val="ru-RU"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655"/>
        <w:gridCol w:w="855"/>
      </w:tblGrid>
      <w:tr w:rsidR="00851190" w:rsidRPr="00FF5650" w14:paraId="5762E5F2" w14:textId="77777777" w:rsidTr="00A50246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8D505A" w14:textId="0781D952" w:rsidR="00851190" w:rsidRPr="00FF5650" w:rsidRDefault="009A40BC" w:rsidP="008D3BB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ru-RU" w:eastAsia="zh-CN"/>
              </w:rPr>
            </w:pPr>
            <w:r w:rsidRPr="00FF5650">
              <w:rPr>
                <w:b/>
                <w:sz w:val="22"/>
                <w:lang w:val="ru-RU" w:eastAsia="zh-CN"/>
              </w:rPr>
              <w:t>Решения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5079F2" w14:textId="37A30034" w:rsidR="00851190" w:rsidRPr="00FF5650" w:rsidRDefault="00851190" w:rsidP="008D3BB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ru-RU" w:eastAsia="zh-CN"/>
              </w:rPr>
            </w:pPr>
            <w:r w:rsidRPr="00FF5650">
              <w:rPr>
                <w:b/>
                <w:sz w:val="22"/>
                <w:lang w:val="ru-RU" w:eastAsia="zh-CN"/>
              </w:rPr>
              <w:t>C25/</w:t>
            </w:r>
            <w:r w:rsidR="00FF5650">
              <w:rPr>
                <w:b/>
                <w:sz w:val="22"/>
                <w:lang w:val="ru-RU" w:eastAsia="zh-CN"/>
              </w:rPr>
              <w:t>№</w:t>
            </w:r>
          </w:p>
        </w:tc>
      </w:tr>
      <w:tr w:rsidR="00CC6B49" w:rsidRPr="00FF5650" w14:paraId="3E93081E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FCF3E" w14:textId="2ED4E664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>Решение</w:t>
            </w:r>
            <w:r w:rsidRPr="00FF5650">
              <w:rPr>
                <w:b/>
                <w:bCs/>
                <w:sz w:val="22"/>
                <w:lang w:val="ru-RU" w:eastAsia="zh-CN"/>
              </w:rPr>
              <w:t xml:space="preserve"> 643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C5520" w14:textId="3E2C8D57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>Сроки и продолжительность сессий Совета 2026, 2027 и 2028 годов, а также блоков собраний рабочих групп Совета и групп экспертов в тот же период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A68CB" w14:textId="71CB64FA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lang w:val="ru-RU"/>
              </w:rPr>
            </w:pPr>
            <w:hyperlink r:id="rId18" w:history="1">
              <w:r w:rsidRPr="00A87443">
                <w:rPr>
                  <w:rStyle w:val="Hyperlink"/>
                  <w:sz w:val="22"/>
                </w:rPr>
                <w:t>122</w:t>
              </w:r>
            </w:hyperlink>
          </w:p>
        </w:tc>
      </w:tr>
      <w:tr w:rsidR="00CC6B49" w:rsidRPr="00FF5650" w14:paraId="3B88D0BA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FB7C6" w14:textId="420B8C13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 xml:space="preserve">Решение </w:t>
            </w:r>
            <w:r w:rsidRPr="00FF5650">
              <w:rPr>
                <w:b/>
                <w:bCs/>
                <w:sz w:val="22"/>
                <w:lang w:val="ru-RU" w:eastAsia="zh-CN"/>
              </w:rPr>
              <w:t>644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B2E9B" w14:textId="3F3E8E9E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>Продление мандата Внешнего аудитора – Национального ревизионного управления (НРУ) Соединенного Королевства – на двухгодичный период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7C3A1" w14:textId="15704F80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ru-RU" w:eastAsia="zh-CN"/>
              </w:rPr>
            </w:pPr>
            <w:hyperlink r:id="rId19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123</w:t>
              </w:r>
            </w:hyperlink>
          </w:p>
        </w:tc>
      </w:tr>
      <w:tr w:rsidR="00CC6B49" w:rsidRPr="00FF5650" w14:paraId="413C709E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12CAA" w14:textId="043EC84B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 xml:space="preserve">Решение </w:t>
            </w:r>
            <w:r w:rsidRPr="00FF5650">
              <w:rPr>
                <w:b/>
                <w:bCs/>
                <w:sz w:val="22"/>
                <w:lang w:val="ru-RU" w:eastAsia="zh-CN"/>
              </w:rPr>
              <w:t>645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563A" w14:textId="5940E4A0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 w:eastAsia="zh-CN"/>
              </w:rPr>
              <w:t>Списание процентов по просроченным платежам и безнадежных долгов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49CB3" w14:textId="6503C615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rFonts w:cs="Arial"/>
                <w:sz w:val="22"/>
                <w:szCs w:val="22"/>
                <w:lang w:val="ru-RU" w:eastAsia="zh-CN"/>
              </w:rPr>
            </w:pPr>
            <w:hyperlink r:id="rId20" w:history="1">
              <w:r w:rsidRPr="00A87443">
                <w:rPr>
                  <w:rStyle w:val="Hyperlink"/>
                  <w:rFonts w:cs="Arial"/>
                  <w:sz w:val="22"/>
                  <w:szCs w:val="22"/>
                  <w:lang w:val="en-US" w:eastAsia="zh-CN"/>
                </w:rPr>
                <w:t>124</w:t>
              </w:r>
            </w:hyperlink>
          </w:p>
        </w:tc>
      </w:tr>
    </w:tbl>
    <w:p w14:paraId="6DBC4F3E" w14:textId="77777777" w:rsidR="00851190" w:rsidRPr="00FF5650" w:rsidRDefault="00851190" w:rsidP="0085119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  <w:textAlignment w:val="auto"/>
        <w:rPr>
          <w:sz w:val="22"/>
          <w:lang w:val="ru-RU" w:eastAsia="zh-C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655"/>
        <w:gridCol w:w="855"/>
      </w:tblGrid>
      <w:tr w:rsidR="00851190" w:rsidRPr="00FF5650" w14:paraId="79AA98D8" w14:textId="77777777" w:rsidTr="00A50246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38E5BF" w14:textId="19AE997E" w:rsidR="00851190" w:rsidRPr="00FF5650" w:rsidRDefault="00157B6B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ru-RU" w:eastAsia="zh-CN"/>
              </w:rPr>
            </w:pPr>
            <w:r w:rsidRPr="00FF5650">
              <w:rPr>
                <w:b/>
                <w:sz w:val="22"/>
                <w:lang w:val="ru-RU" w:eastAsia="zh-CN"/>
              </w:rPr>
              <w:t xml:space="preserve">Измененные </w:t>
            </w:r>
            <w:r w:rsidR="00507CEE" w:rsidRPr="00FF5650">
              <w:rPr>
                <w:b/>
                <w:sz w:val="22"/>
                <w:lang w:val="ru-RU" w:eastAsia="zh-CN"/>
              </w:rPr>
              <w:t>Решения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D2C3B3" w14:textId="082689AB" w:rsidR="00851190" w:rsidRPr="00FF5650" w:rsidRDefault="00851190" w:rsidP="00A5024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b/>
                <w:sz w:val="22"/>
                <w:lang w:val="ru-RU" w:eastAsia="zh-CN"/>
              </w:rPr>
            </w:pPr>
            <w:r w:rsidRPr="00FF5650">
              <w:rPr>
                <w:b/>
                <w:sz w:val="22"/>
                <w:lang w:val="ru-RU" w:eastAsia="zh-CN"/>
              </w:rPr>
              <w:t>C25/</w:t>
            </w:r>
            <w:r w:rsidR="00FF5650">
              <w:rPr>
                <w:b/>
                <w:sz w:val="22"/>
                <w:lang w:val="ru-RU" w:eastAsia="zh-CN"/>
              </w:rPr>
              <w:t>№</w:t>
            </w:r>
          </w:p>
        </w:tc>
      </w:tr>
      <w:tr w:rsidR="00CC6B49" w:rsidRPr="00FF5650" w14:paraId="20FEB774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8AA420" w14:textId="04DEBD64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/>
              </w:rPr>
              <w:t xml:space="preserve">Решение </w:t>
            </w:r>
            <w:r w:rsidRPr="00FF5650">
              <w:rPr>
                <w:b/>
                <w:bCs/>
                <w:sz w:val="22"/>
                <w:lang w:val="ru-RU"/>
              </w:rPr>
              <w:t>482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891C" w14:textId="2C473F9C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 w:eastAsia="zh-CN"/>
              </w:rPr>
            </w:pPr>
            <w:r w:rsidRPr="00FF5650">
              <w:rPr>
                <w:sz w:val="22"/>
                <w:lang w:val="ru-RU"/>
              </w:rPr>
              <w:t>Осуществление возмещения затрат на обработку заявок на регистрацию спутниковых сетей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B6CDB8" w14:textId="347C6301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sz w:val="22"/>
                <w:lang w:val="ru-RU"/>
              </w:rPr>
            </w:pPr>
            <w:hyperlink r:id="rId21" w:history="1">
              <w:r w:rsidRPr="00A87443">
                <w:rPr>
                  <w:rStyle w:val="Hyperlink"/>
                  <w:sz w:val="22"/>
                </w:rPr>
                <w:t>125</w:t>
              </w:r>
            </w:hyperlink>
          </w:p>
        </w:tc>
      </w:tr>
      <w:tr w:rsidR="00CC6B49" w:rsidRPr="00FF5650" w14:paraId="048CE954" w14:textId="77777777" w:rsidTr="00A5024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352D5" w14:textId="71FCBBD4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/>
              </w:rPr>
            </w:pPr>
            <w:r w:rsidRPr="00FF5650">
              <w:rPr>
                <w:sz w:val="22"/>
                <w:lang w:val="ru-RU"/>
              </w:rPr>
              <w:t xml:space="preserve">Решение </w:t>
            </w:r>
            <w:r w:rsidRPr="00FF5650">
              <w:rPr>
                <w:b/>
                <w:bCs/>
                <w:sz w:val="22"/>
                <w:lang w:val="ru-RU"/>
              </w:rPr>
              <w:t>641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875A" w14:textId="44600F6D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textAlignment w:val="auto"/>
              <w:rPr>
                <w:sz w:val="22"/>
                <w:lang w:val="ru-RU"/>
              </w:rPr>
            </w:pPr>
            <w:r w:rsidRPr="00FF5650">
              <w:rPr>
                <w:sz w:val="22"/>
                <w:lang w:val="ru-RU"/>
              </w:rPr>
              <w:t>Седьмой</w:t>
            </w:r>
            <w:r w:rsidRPr="00FF5650">
              <w:rPr>
                <w:bCs/>
                <w:sz w:val="22"/>
                <w:lang w:val="ru-RU"/>
              </w:rPr>
              <w:t xml:space="preserve"> </w:t>
            </w:r>
            <w:r w:rsidRPr="00FF5650">
              <w:rPr>
                <w:sz w:val="22"/>
                <w:lang w:val="ru-RU"/>
              </w:rPr>
              <w:t>Всемирный форум по политике в области электросвязи/</w:t>
            </w:r>
            <w:r>
              <w:rPr>
                <w:sz w:val="22"/>
                <w:lang w:val="ru-RU"/>
              </w:rPr>
              <w:br/>
            </w:r>
            <w:r w:rsidRPr="00FF5650">
              <w:rPr>
                <w:sz w:val="22"/>
                <w:lang w:val="ru-RU"/>
              </w:rPr>
              <w:t>информационно-коммуникационных технологий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E5698" w14:textId="40EB0177" w:rsidR="00CC6B49" w:rsidRPr="00FF5650" w:rsidRDefault="00CC6B49" w:rsidP="00CC6B4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0" w:after="60"/>
              <w:jc w:val="center"/>
              <w:textAlignment w:val="auto"/>
              <w:rPr>
                <w:lang w:val="ru-RU"/>
              </w:rPr>
            </w:pPr>
            <w:hyperlink r:id="rId22" w:history="1">
              <w:r w:rsidRPr="00A87443">
                <w:rPr>
                  <w:rStyle w:val="Hyperlink"/>
                  <w:sz w:val="22"/>
                </w:rPr>
                <w:t>126</w:t>
              </w:r>
            </w:hyperlink>
          </w:p>
        </w:tc>
      </w:tr>
    </w:tbl>
    <w:p w14:paraId="2EE822EA" w14:textId="77777777" w:rsidR="00851190" w:rsidRPr="00FF5650" w:rsidRDefault="00851190" w:rsidP="00FF5650">
      <w:pPr>
        <w:jc w:val="center"/>
        <w:textAlignment w:val="auto"/>
        <w:rPr>
          <w:lang w:val="ru-RU"/>
        </w:rPr>
      </w:pPr>
      <w:r w:rsidRPr="00FF5650">
        <w:rPr>
          <w:lang w:val="ru-RU"/>
        </w:rPr>
        <w:t>______________</w:t>
      </w:r>
      <w:bookmarkEnd w:id="5"/>
      <w:bookmarkEnd w:id="10"/>
    </w:p>
    <w:sectPr w:rsidR="00851190" w:rsidRPr="00FF5650" w:rsidSect="00AD3606">
      <w:footerReference w:type="default" r:id="rId23"/>
      <w:headerReference w:type="first" r:id="rId24"/>
      <w:footerReference w:type="first" r:id="rId2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700E" w14:textId="77777777" w:rsidR="00BB2CF9" w:rsidRDefault="00BB2CF9">
      <w:r>
        <w:separator/>
      </w:r>
    </w:p>
  </w:endnote>
  <w:endnote w:type="continuationSeparator" w:id="0">
    <w:p w14:paraId="68D5F194" w14:textId="77777777" w:rsidR="00BB2CF9" w:rsidRDefault="00BB2CF9">
      <w:r>
        <w:continuationSeparator/>
      </w:r>
    </w:p>
  </w:endnote>
  <w:endnote w:type="continuationNotice" w:id="1">
    <w:p w14:paraId="3EA32F64" w14:textId="77777777" w:rsidR="00BB2CF9" w:rsidRDefault="00BB2CF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F9D2920" w14:textId="77777777">
      <w:trPr>
        <w:jc w:val="center"/>
      </w:trPr>
      <w:tc>
        <w:tcPr>
          <w:tcW w:w="1803" w:type="dxa"/>
          <w:vAlign w:val="center"/>
        </w:tcPr>
        <w:p w14:paraId="5B3DDD9A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6F6B3A01" w14:textId="77777777" w:rsidR="00EE49E8" w:rsidRPr="00E06FD5" w:rsidRDefault="00EE49E8" w:rsidP="000745AB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C6520B">
            <w:rPr>
              <w:bCs/>
            </w:rPr>
            <w:t>5</w:t>
          </w:r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B3FBF10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0B15790" w14:textId="77777777" w:rsidTr="006B77F1">
      <w:trPr>
        <w:jc w:val="center"/>
      </w:trPr>
      <w:tc>
        <w:tcPr>
          <w:tcW w:w="1803" w:type="dxa"/>
          <w:vAlign w:val="center"/>
        </w:tcPr>
        <w:p w14:paraId="1D4130C1" w14:textId="77777777" w:rsidR="00EE49E8" w:rsidRPr="006B77F1" w:rsidRDefault="00BF1FD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6B77F1">
              <w:rPr>
                <w:rStyle w:val="Hyperlink"/>
                <w:u w:val="none"/>
              </w:rPr>
              <w:t>council.itu.int/2025</w:t>
            </w:r>
          </w:hyperlink>
        </w:p>
      </w:tc>
      <w:tc>
        <w:tcPr>
          <w:tcW w:w="8261" w:type="dxa"/>
        </w:tcPr>
        <w:p w14:paraId="68F817AE" w14:textId="223BE5E2" w:rsidR="00EE49E8" w:rsidRPr="00E06FD5" w:rsidRDefault="00EE49E8" w:rsidP="000745AB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F1FDE">
            <w:rPr>
              <w:bCs/>
            </w:rPr>
            <w:t>5</w:t>
          </w:r>
          <w:r w:rsidRPr="00623AE3">
            <w:rPr>
              <w:bCs/>
            </w:rPr>
            <w:t>/</w:t>
          </w:r>
          <w:r w:rsidR="00B035DD">
            <w:rPr>
              <w:bCs/>
            </w:rPr>
            <w:t>127</w:t>
          </w:r>
          <w:r w:rsidRPr="00623AE3">
            <w:rPr>
              <w:bCs/>
            </w:rPr>
            <w:t>-</w:t>
          </w:r>
          <w:r w:rsidR="0009560B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78F19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91B7" w14:textId="77777777" w:rsidR="00BB2CF9" w:rsidRDefault="00BB2CF9">
      <w:r>
        <w:t>____________________</w:t>
      </w:r>
    </w:p>
  </w:footnote>
  <w:footnote w:type="continuationSeparator" w:id="0">
    <w:p w14:paraId="7BDF6581" w14:textId="77777777" w:rsidR="00BB2CF9" w:rsidRDefault="00BB2CF9">
      <w:r>
        <w:continuationSeparator/>
      </w:r>
    </w:p>
  </w:footnote>
  <w:footnote w:type="continuationNotice" w:id="1">
    <w:p w14:paraId="4DF62567" w14:textId="77777777" w:rsidR="00BB2CF9" w:rsidRDefault="00BB2CF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AD3606" w:rsidRPr="00784011" w14:paraId="34A86D35" w14:textId="77777777">
      <w:trPr>
        <w:trHeight w:val="1104"/>
        <w:jc w:val="center"/>
      </w:trPr>
      <w:tc>
        <w:tcPr>
          <w:tcW w:w="4390" w:type="dxa"/>
          <w:vAlign w:val="center"/>
        </w:tcPr>
        <w:p w14:paraId="5AD45E6C" w14:textId="7564AAEB" w:rsidR="00AD3606" w:rsidRPr="009621F8" w:rsidRDefault="009D59C7" w:rsidP="00CF4A2B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2" w:name="_Hlk133422111"/>
          <w:r>
            <w:rPr>
              <w:noProof/>
            </w:rPr>
            <w:drawing>
              <wp:inline distT="0" distB="0" distL="0" distR="0" wp14:anchorId="31FDE173" wp14:editId="73BEB7CA">
                <wp:extent cx="3900805" cy="611505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080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0374029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2A52018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3CCD8DE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3C724958" w14:textId="77777777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EDCDB4" wp14:editId="1542E4D0">
              <wp:simplePos x="0" y="0"/>
              <wp:positionH relativeFrom="page">
                <wp:posOffset>3810</wp:posOffset>
              </wp:positionH>
              <wp:positionV relativeFrom="topMargin">
                <wp:posOffset>601122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17330" id="Rectangle 5" o:spid="_x0000_s1026" style="position:absolute;margin-left:.3pt;margin-top:47.35pt;width:8.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210D4"/>
    <w:rsid w:val="00036E85"/>
    <w:rsid w:val="0006007D"/>
    <w:rsid w:val="00063016"/>
    <w:rsid w:val="00066795"/>
    <w:rsid w:val="000745AB"/>
    <w:rsid w:val="00076AF6"/>
    <w:rsid w:val="00085CF2"/>
    <w:rsid w:val="0009560B"/>
    <w:rsid w:val="00095CE3"/>
    <w:rsid w:val="000B1705"/>
    <w:rsid w:val="000C1241"/>
    <w:rsid w:val="000D75B2"/>
    <w:rsid w:val="000F5DDB"/>
    <w:rsid w:val="000F7289"/>
    <w:rsid w:val="001121F5"/>
    <w:rsid w:val="001400DC"/>
    <w:rsid w:val="00140CE1"/>
    <w:rsid w:val="00157B6B"/>
    <w:rsid w:val="001748DD"/>
    <w:rsid w:val="0017539C"/>
    <w:rsid w:val="00175AC2"/>
    <w:rsid w:val="0017609F"/>
    <w:rsid w:val="001A3154"/>
    <w:rsid w:val="001A7D1D"/>
    <w:rsid w:val="001B0880"/>
    <w:rsid w:val="001B2B84"/>
    <w:rsid w:val="001B51DD"/>
    <w:rsid w:val="001C628E"/>
    <w:rsid w:val="001E0F7B"/>
    <w:rsid w:val="001F5569"/>
    <w:rsid w:val="00200E3B"/>
    <w:rsid w:val="002119FD"/>
    <w:rsid w:val="0021239B"/>
    <w:rsid w:val="002130E0"/>
    <w:rsid w:val="00221F46"/>
    <w:rsid w:val="0025114E"/>
    <w:rsid w:val="00264425"/>
    <w:rsid w:val="00265875"/>
    <w:rsid w:val="0027303B"/>
    <w:rsid w:val="0028109B"/>
    <w:rsid w:val="002A2188"/>
    <w:rsid w:val="002B1F58"/>
    <w:rsid w:val="002B290D"/>
    <w:rsid w:val="002C1C7A"/>
    <w:rsid w:val="002C54E2"/>
    <w:rsid w:val="002E481B"/>
    <w:rsid w:val="0030129B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C2533"/>
    <w:rsid w:val="003D5A7F"/>
    <w:rsid w:val="0040435A"/>
    <w:rsid w:val="00416A24"/>
    <w:rsid w:val="00427BFF"/>
    <w:rsid w:val="00431D9E"/>
    <w:rsid w:val="00433CE8"/>
    <w:rsid w:val="00434A5C"/>
    <w:rsid w:val="00453079"/>
    <w:rsid w:val="004544D9"/>
    <w:rsid w:val="00472BAD"/>
    <w:rsid w:val="004811F8"/>
    <w:rsid w:val="00484009"/>
    <w:rsid w:val="00490E72"/>
    <w:rsid w:val="00491157"/>
    <w:rsid w:val="00491BA9"/>
    <w:rsid w:val="004921C8"/>
    <w:rsid w:val="00495B0B"/>
    <w:rsid w:val="004A1B8B"/>
    <w:rsid w:val="004B25A1"/>
    <w:rsid w:val="004D1851"/>
    <w:rsid w:val="004D599D"/>
    <w:rsid w:val="004E2EA5"/>
    <w:rsid w:val="004E3AEB"/>
    <w:rsid w:val="0050223C"/>
    <w:rsid w:val="0050274F"/>
    <w:rsid w:val="00507CEE"/>
    <w:rsid w:val="005179E1"/>
    <w:rsid w:val="005243FF"/>
    <w:rsid w:val="00524D74"/>
    <w:rsid w:val="00564FBC"/>
    <w:rsid w:val="005800BC"/>
    <w:rsid w:val="00582442"/>
    <w:rsid w:val="005C3648"/>
    <w:rsid w:val="005F3269"/>
    <w:rsid w:val="00623AE3"/>
    <w:rsid w:val="00630C4D"/>
    <w:rsid w:val="00644EC6"/>
    <w:rsid w:val="0064737F"/>
    <w:rsid w:val="006535F1"/>
    <w:rsid w:val="0065557D"/>
    <w:rsid w:val="00660D50"/>
    <w:rsid w:val="00662984"/>
    <w:rsid w:val="006716BB"/>
    <w:rsid w:val="006963E4"/>
    <w:rsid w:val="006B1859"/>
    <w:rsid w:val="006B6680"/>
    <w:rsid w:val="006B6DCC"/>
    <w:rsid w:val="006B77F1"/>
    <w:rsid w:val="006C5ECF"/>
    <w:rsid w:val="00702DEF"/>
    <w:rsid w:val="00706861"/>
    <w:rsid w:val="00722551"/>
    <w:rsid w:val="0075051B"/>
    <w:rsid w:val="00750CA1"/>
    <w:rsid w:val="00766490"/>
    <w:rsid w:val="0077110E"/>
    <w:rsid w:val="00793188"/>
    <w:rsid w:val="00794D34"/>
    <w:rsid w:val="007A3FCD"/>
    <w:rsid w:val="007B19CF"/>
    <w:rsid w:val="007D01AF"/>
    <w:rsid w:val="00813E5E"/>
    <w:rsid w:val="0083581B"/>
    <w:rsid w:val="00840BF0"/>
    <w:rsid w:val="00851190"/>
    <w:rsid w:val="00863874"/>
    <w:rsid w:val="00864AFF"/>
    <w:rsid w:val="00865925"/>
    <w:rsid w:val="008B4A6A"/>
    <w:rsid w:val="008C7E27"/>
    <w:rsid w:val="008D3BBC"/>
    <w:rsid w:val="008F7448"/>
    <w:rsid w:val="0090147A"/>
    <w:rsid w:val="009173EF"/>
    <w:rsid w:val="00932906"/>
    <w:rsid w:val="00944D2D"/>
    <w:rsid w:val="00961B0B"/>
    <w:rsid w:val="00962D33"/>
    <w:rsid w:val="009631C4"/>
    <w:rsid w:val="009A40BC"/>
    <w:rsid w:val="009B38C3"/>
    <w:rsid w:val="009D59C7"/>
    <w:rsid w:val="009E17BD"/>
    <w:rsid w:val="009E485A"/>
    <w:rsid w:val="009E62E3"/>
    <w:rsid w:val="00A04CEC"/>
    <w:rsid w:val="00A23C23"/>
    <w:rsid w:val="00A27F92"/>
    <w:rsid w:val="00A32257"/>
    <w:rsid w:val="00A36D20"/>
    <w:rsid w:val="00A50246"/>
    <w:rsid w:val="00A514A4"/>
    <w:rsid w:val="00A55622"/>
    <w:rsid w:val="00A83502"/>
    <w:rsid w:val="00A87443"/>
    <w:rsid w:val="00A94BAB"/>
    <w:rsid w:val="00AA225A"/>
    <w:rsid w:val="00AD15B3"/>
    <w:rsid w:val="00AD3606"/>
    <w:rsid w:val="00AD4A3D"/>
    <w:rsid w:val="00AD677D"/>
    <w:rsid w:val="00AF6E49"/>
    <w:rsid w:val="00B035DD"/>
    <w:rsid w:val="00B04A67"/>
    <w:rsid w:val="00B0583C"/>
    <w:rsid w:val="00B20F94"/>
    <w:rsid w:val="00B40A81"/>
    <w:rsid w:val="00B44910"/>
    <w:rsid w:val="00B61DC3"/>
    <w:rsid w:val="00B72267"/>
    <w:rsid w:val="00B76EB6"/>
    <w:rsid w:val="00B7737B"/>
    <w:rsid w:val="00B824C8"/>
    <w:rsid w:val="00B84B9D"/>
    <w:rsid w:val="00B9131F"/>
    <w:rsid w:val="00BB0646"/>
    <w:rsid w:val="00BB2CF9"/>
    <w:rsid w:val="00BC251A"/>
    <w:rsid w:val="00BD032B"/>
    <w:rsid w:val="00BE01C6"/>
    <w:rsid w:val="00BE2640"/>
    <w:rsid w:val="00BF1FDE"/>
    <w:rsid w:val="00C01189"/>
    <w:rsid w:val="00C0458D"/>
    <w:rsid w:val="00C31CE9"/>
    <w:rsid w:val="00C374DE"/>
    <w:rsid w:val="00C47AD4"/>
    <w:rsid w:val="00C52D81"/>
    <w:rsid w:val="00C55198"/>
    <w:rsid w:val="00C6520B"/>
    <w:rsid w:val="00CA6393"/>
    <w:rsid w:val="00CA7995"/>
    <w:rsid w:val="00CB0FDF"/>
    <w:rsid w:val="00CB18FF"/>
    <w:rsid w:val="00CC6B49"/>
    <w:rsid w:val="00CD0C08"/>
    <w:rsid w:val="00CE03F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B7444"/>
    <w:rsid w:val="00DD11ED"/>
    <w:rsid w:val="00DF0189"/>
    <w:rsid w:val="00DF26C9"/>
    <w:rsid w:val="00E04C2D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D4AE6"/>
    <w:rsid w:val="00EE49E8"/>
    <w:rsid w:val="00F16BAB"/>
    <w:rsid w:val="00F2150A"/>
    <w:rsid w:val="00F231D8"/>
    <w:rsid w:val="00F25AF3"/>
    <w:rsid w:val="00F41209"/>
    <w:rsid w:val="00F44C00"/>
    <w:rsid w:val="00F45D2C"/>
    <w:rsid w:val="00F46C5F"/>
    <w:rsid w:val="00F632C0"/>
    <w:rsid w:val="00F63E4A"/>
    <w:rsid w:val="00F641E1"/>
    <w:rsid w:val="00F94A63"/>
    <w:rsid w:val="00FA1C28"/>
    <w:rsid w:val="00FA27AC"/>
    <w:rsid w:val="00FA368D"/>
    <w:rsid w:val="00FB1279"/>
    <w:rsid w:val="00FB2E5A"/>
    <w:rsid w:val="00FB6B76"/>
    <w:rsid w:val="00FB7596"/>
    <w:rsid w:val="00FC5DBD"/>
    <w:rsid w:val="00FD1C11"/>
    <w:rsid w:val="00FD3366"/>
    <w:rsid w:val="00FE4077"/>
    <w:rsid w:val="00FE500D"/>
    <w:rsid w:val="00FE77D2"/>
    <w:rsid w:val="00FF26C9"/>
    <w:rsid w:val="00FF39B1"/>
    <w:rsid w:val="00FF5650"/>
    <w:rsid w:val="31469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048E5"/>
  <w15:docId w15:val="{D40FFAFA-13FC-4522-B688-4D53EA1D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FF5650"/>
    <w:pPr>
      <w:framePr w:hSpace="180" w:wrap="around" w:vAnchor="page" w:hAnchor="page" w:x="1821" w:y="2317"/>
      <w:spacing w:before="48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FA27AC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L-C-0117/fr" TargetMode="External"/><Relationship Id="rId18" Type="http://schemas.openxmlformats.org/officeDocument/2006/relationships/hyperlink" Target="https://www.itu.int/md/S25-CL-C-0122/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L-C-0125/f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L-C-0116/fr" TargetMode="External"/><Relationship Id="rId17" Type="http://schemas.openxmlformats.org/officeDocument/2006/relationships/hyperlink" Target="https://www.itu.int/md/S25-CL-C-0121/fr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L-C-0120/fr" TargetMode="External"/><Relationship Id="rId20" Type="http://schemas.openxmlformats.org/officeDocument/2006/relationships/hyperlink" Target="https://www.itu.int/md/S25-CL-C-0124/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-C-0115/fr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L-C-0119/fr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L-C-0123/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L-C-0118/fr" TargetMode="External"/><Relationship Id="rId22" Type="http://schemas.openxmlformats.org/officeDocument/2006/relationships/hyperlink" Target="https://www.itu.int/md/S25-CL-C-0126/fr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4" ma:contentTypeDescription="Create a new document." ma:contentTypeScope="" ma:versionID="307ecc74a8eb51dfea6b750f0799606c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80c3ec948e348096898dbd7aed4bed44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B52BA-7AEF-42D4-AF59-959012BFA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8146E-03A7-4413-9B17-C6B8E595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E2F2AC-2255-4DBF-9278-6619577B450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a1cf676c-2816-4389-ad5d-0f2e7c7e67c4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resolutions and decisions of Council-25</vt:lpstr>
    </vt:vector>
  </TitlesOfParts>
  <Manager>General Secretariat</Manager>
  <Company>International Telecommunication Union (ITU)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resolutions and decisions of Council-25</dc:title>
  <dc:subject>Council 2025</dc:subject>
  <dc:creator>GBS</dc:creator>
  <cp:keywords>C25; C2025; Council 2025; ITU160</cp:keywords>
  <dc:description/>
  <cp:lastModifiedBy>GBS</cp:lastModifiedBy>
  <cp:revision>2</cp:revision>
  <cp:lastPrinted>2000-07-18T13:30:00Z</cp:lastPrinted>
  <dcterms:created xsi:type="dcterms:W3CDTF">2025-09-19T09:35:00Z</dcterms:created>
  <dcterms:modified xsi:type="dcterms:W3CDTF">2025-09-19T09:35:00Z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0x01010096B2CC4DF5F10149B2E37F08EDC3AC3A</vt:lpwstr>
  </property>
</Properties>
</file>