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D72F49" w:rsidRPr="00813E5E" w14:paraId="2592CC74" w14:textId="77777777" w:rsidTr="00D72F49">
        <w:trPr>
          <w:cantSplit/>
          <w:trHeight w:val="23"/>
        </w:trPr>
        <w:tc>
          <w:tcPr>
            <w:tcW w:w="3969" w:type="dxa"/>
            <w:vMerge w:val="restart"/>
            <w:tcMar>
              <w:left w:w="0" w:type="dxa"/>
            </w:tcMar>
          </w:tcPr>
          <w:p w14:paraId="27E56DEB" w14:textId="1E0D6E60" w:rsidR="00D72F49" w:rsidRPr="00E85629" w:rsidRDefault="00D72F49" w:rsidP="00D72F49">
            <w:pPr>
              <w:tabs>
                <w:tab w:val="left" w:pos="851"/>
              </w:tabs>
              <w:spacing w:before="0" w:line="240" w:lineRule="atLeast"/>
              <w:rPr>
                <w:b/>
              </w:rPr>
            </w:pPr>
          </w:p>
        </w:tc>
        <w:tc>
          <w:tcPr>
            <w:tcW w:w="5245" w:type="dxa"/>
          </w:tcPr>
          <w:p w14:paraId="27B6A98A" w14:textId="14D4DD89" w:rsidR="00D72F49" w:rsidRPr="00E85629" w:rsidRDefault="00D72F49" w:rsidP="00D72F49">
            <w:pPr>
              <w:tabs>
                <w:tab w:val="left" w:pos="851"/>
              </w:tabs>
              <w:spacing w:before="0" w:line="240" w:lineRule="atLeast"/>
              <w:jc w:val="right"/>
              <w:rPr>
                <w:b/>
              </w:rPr>
            </w:pPr>
            <w:r>
              <w:rPr>
                <w:b/>
              </w:rPr>
              <w:t>Document C2</w:t>
            </w:r>
            <w:r w:rsidR="00FC6D7D">
              <w:rPr>
                <w:b/>
              </w:rPr>
              <w:t>5</w:t>
            </w:r>
            <w:r>
              <w:rPr>
                <w:b/>
              </w:rPr>
              <w:t>/</w:t>
            </w:r>
            <w:r w:rsidR="00A41991">
              <w:rPr>
                <w:b/>
              </w:rPr>
              <w:t>127</w:t>
            </w:r>
            <w:r>
              <w:rPr>
                <w:b/>
              </w:rPr>
              <w:t>-F</w:t>
            </w:r>
          </w:p>
        </w:tc>
      </w:tr>
      <w:tr w:rsidR="00D72F49" w:rsidRPr="006608C0" w14:paraId="41096C77" w14:textId="77777777" w:rsidTr="00D72F49">
        <w:trPr>
          <w:cantSplit/>
        </w:trPr>
        <w:tc>
          <w:tcPr>
            <w:tcW w:w="3969" w:type="dxa"/>
            <w:vMerge/>
          </w:tcPr>
          <w:p w14:paraId="0BBA5643" w14:textId="77777777" w:rsidR="00D72F49" w:rsidRPr="00813E5E" w:rsidRDefault="00D72F49" w:rsidP="00D72F49">
            <w:pPr>
              <w:tabs>
                <w:tab w:val="left" w:pos="851"/>
              </w:tabs>
              <w:spacing w:line="240" w:lineRule="atLeast"/>
              <w:rPr>
                <w:b/>
              </w:rPr>
            </w:pPr>
          </w:p>
        </w:tc>
        <w:tc>
          <w:tcPr>
            <w:tcW w:w="5245" w:type="dxa"/>
          </w:tcPr>
          <w:p w14:paraId="068BECD5" w14:textId="5F7AF0CD" w:rsidR="00D72F49" w:rsidRPr="00FC6D7D" w:rsidRDefault="00D53480" w:rsidP="00D72F49">
            <w:pPr>
              <w:tabs>
                <w:tab w:val="left" w:pos="851"/>
              </w:tabs>
              <w:spacing w:before="0"/>
              <w:jc w:val="right"/>
              <w:rPr>
                <w:b/>
                <w:lang w:val="en-GB"/>
              </w:rPr>
            </w:pPr>
            <w:r>
              <w:rPr>
                <w:b/>
              </w:rPr>
              <w:t>10</w:t>
            </w:r>
            <w:r w:rsidR="00A41991">
              <w:rPr>
                <w:b/>
              </w:rPr>
              <w:t xml:space="preserve"> septembre 2025</w:t>
            </w:r>
          </w:p>
        </w:tc>
      </w:tr>
      <w:tr w:rsidR="00D72F49" w:rsidRPr="00813E5E" w14:paraId="17E5B988" w14:textId="77777777" w:rsidTr="00D72F49">
        <w:trPr>
          <w:cantSplit/>
          <w:trHeight w:val="23"/>
        </w:trPr>
        <w:tc>
          <w:tcPr>
            <w:tcW w:w="3969" w:type="dxa"/>
            <w:vMerge/>
          </w:tcPr>
          <w:p w14:paraId="2192D6D7" w14:textId="77777777" w:rsidR="00D72F49" w:rsidRPr="00FC6D7D" w:rsidRDefault="00D72F49" w:rsidP="00D72F49">
            <w:pPr>
              <w:tabs>
                <w:tab w:val="left" w:pos="851"/>
              </w:tabs>
              <w:spacing w:line="240" w:lineRule="atLeast"/>
              <w:rPr>
                <w:b/>
                <w:lang w:val="en-GB"/>
              </w:rPr>
            </w:pPr>
          </w:p>
        </w:tc>
        <w:tc>
          <w:tcPr>
            <w:tcW w:w="5245" w:type="dxa"/>
          </w:tcPr>
          <w:p w14:paraId="1948C622" w14:textId="568CD403" w:rsidR="00D72F49" w:rsidRPr="00E85629" w:rsidRDefault="00D72F49" w:rsidP="00D72F49">
            <w:pPr>
              <w:tabs>
                <w:tab w:val="left" w:pos="851"/>
              </w:tabs>
              <w:spacing w:before="0" w:line="240" w:lineRule="atLeast"/>
              <w:jc w:val="right"/>
              <w:rPr>
                <w:b/>
              </w:rPr>
            </w:pPr>
            <w:r w:rsidRPr="00122CE1">
              <w:rPr>
                <w:b/>
                <w:lang w:val="fr-CH"/>
              </w:rPr>
              <w:t xml:space="preserve">Original: </w:t>
            </w:r>
            <w:r w:rsidR="00E2710C">
              <w:rPr>
                <w:b/>
                <w:lang w:val="fr-CH"/>
              </w:rPr>
              <w:t>anglais</w:t>
            </w:r>
          </w:p>
        </w:tc>
      </w:tr>
      <w:tr w:rsidR="00A41991" w:rsidRPr="00813E5E" w14:paraId="2AA8D47D" w14:textId="77777777" w:rsidTr="00E073E9">
        <w:trPr>
          <w:cantSplit/>
          <w:trHeight w:val="23"/>
        </w:trPr>
        <w:tc>
          <w:tcPr>
            <w:tcW w:w="9214" w:type="dxa"/>
            <w:gridSpan w:val="2"/>
          </w:tcPr>
          <w:p w14:paraId="5A708B9C" w14:textId="635FA76F" w:rsidR="00A41991" w:rsidRPr="00A41991" w:rsidRDefault="00A41991" w:rsidP="00D61F5D">
            <w:pPr>
              <w:tabs>
                <w:tab w:val="left" w:pos="851"/>
              </w:tabs>
              <w:spacing w:before="600" w:line="240" w:lineRule="atLeast"/>
              <w:rPr>
                <w:b/>
                <w:bCs/>
                <w:sz w:val="34"/>
                <w:szCs w:val="34"/>
              </w:rPr>
            </w:pPr>
            <w:r w:rsidRPr="00A41991">
              <w:rPr>
                <w:rFonts w:cstheme="minorHAnsi"/>
                <w:b/>
                <w:bCs/>
                <w:color w:val="000000"/>
                <w:sz w:val="34"/>
                <w:szCs w:val="34"/>
                <w:lang w:val="fr-CH"/>
              </w:rPr>
              <w:t>Note de la Secrétaire générale</w:t>
            </w:r>
          </w:p>
        </w:tc>
      </w:tr>
      <w:tr w:rsidR="00A41991" w:rsidRPr="00813E5E" w14:paraId="3BFD0A60" w14:textId="77777777" w:rsidTr="00833B5D">
        <w:trPr>
          <w:cantSplit/>
          <w:trHeight w:val="23"/>
        </w:trPr>
        <w:tc>
          <w:tcPr>
            <w:tcW w:w="9214" w:type="dxa"/>
            <w:gridSpan w:val="2"/>
          </w:tcPr>
          <w:p w14:paraId="72FF0202" w14:textId="5D76281D" w:rsidR="00A41991" w:rsidRPr="00A41991" w:rsidRDefault="00A41991" w:rsidP="00A41991">
            <w:pPr>
              <w:tabs>
                <w:tab w:val="left" w:pos="851"/>
              </w:tabs>
              <w:spacing w:after="160" w:line="240" w:lineRule="atLeast"/>
              <w:rPr>
                <w:rFonts w:cs="Calibri"/>
                <w:bCs/>
                <w:sz w:val="34"/>
                <w:szCs w:val="34"/>
              </w:rPr>
            </w:pPr>
            <w:r w:rsidRPr="00A41991">
              <w:rPr>
                <w:rFonts w:cs="Calibri"/>
                <w:bCs/>
                <w:sz w:val="34"/>
                <w:szCs w:val="34"/>
                <w:lang w:val="fr-CH"/>
              </w:rPr>
              <w:t>RÉSOLUTIONS ET DÉCISIONS</w:t>
            </w:r>
          </w:p>
        </w:tc>
      </w:tr>
    </w:tbl>
    <w:p w14:paraId="34B0557F" w14:textId="0ABC9F06" w:rsidR="00A41991" w:rsidRPr="00A41991" w:rsidRDefault="00A41991" w:rsidP="00A41991">
      <w:pPr>
        <w:spacing w:before="240"/>
        <w:jc w:val="both"/>
        <w:rPr>
          <w:lang w:val="fr-CH"/>
        </w:rPr>
      </w:pPr>
      <w:r w:rsidRPr="00A41991">
        <w:rPr>
          <w:lang w:val="fr-CH"/>
        </w:rPr>
        <w:t>Les Résolutions et Décisions suivantes ont été adoptées par le Conseil lors de sa session de 202</w:t>
      </w:r>
      <w:r>
        <w:rPr>
          <w:lang w:val="fr-CH"/>
        </w:rPr>
        <w:t>5</w:t>
      </w:r>
      <w:r w:rsidRPr="00A41991">
        <w:rPr>
          <w:lang w:val="fr-CH"/>
        </w:rPr>
        <w:t xml:space="preserve">, du </w:t>
      </w:r>
      <w:r>
        <w:rPr>
          <w:lang w:val="fr-CH"/>
        </w:rPr>
        <w:t>17</w:t>
      </w:r>
      <w:r w:rsidRPr="00A41991">
        <w:rPr>
          <w:lang w:val="fr-CH"/>
        </w:rPr>
        <w:t xml:space="preserve"> au </w:t>
      </w:r>
      <w:r>
        <w:rPr>
          <w:lang w:val="fr-CH"/>
        </w:rPr>
        <w:t>27</w:t>
      </w:r>
      <w:r w:rsidRPr="00A41991">
        <w:rPr>
          <w:lang w:val="fr-CH"/>
        </w:rPr>
        <w:t xml:space="preserve"> juin 202</w:t>
      </w:r>
      <w:r>
        <w:rPr>
          <w:lang w:val="fr-CH"/>
        </w:rPr>
        <w:t>5</w:t>
      </w:r>
      <w:r w:rsidRPr="00A41991">
        <w:rPr>
          <w:lang w:val="fr-CH"/>
        </w:rPr>
        <w:t>:</w:t>
      </w:r>
    </w:p>
    <w:p w14:paraId="6BCCC36C" w14:textId="77777777" w:rsidR="00A41991" w:rsidRPr="00A41991" w:rsidRDefault="00A41991" w:rsidP="00A41991">
      <w:pPr>
        <w:spacing w:before="0"/>
        <w:rPr>
          <w:lang w:val="fr-CH" w:eastAsia="zh-CN"/>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7629"/>
        <w:gridCol w:w="881"/>
      </w:tblGrid>
      <w:tr w:rsidR="00A41991" w:rsidRPr="00A41991" w14:paraId="69583BB3" w14:textId="77777777" w:rsidTr="00ED5D94">
        <w:trPr>
          <w:jc w:val="center"/>
        </w:trPr>
        <w:tc>
          <w:tcPr>
            <w:tcW w:w="932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7201B8" w14:textId="77777777" w:rsidR="00A41991" w:rsidRPr="00A41991" w:rsidRDefault="00A41991" w:rsidP="00D61F5D">
            <w:pPr>
              <w:tabs>
                <w:tab w:val="clear" w:pos="567"/>
                <w:tab w:val="clear" w:pos="1134"/>
                <w:tab w:val="clear" w:pos="1701"/>
                <w:tab w:val="clear" w:pos="2268"/>
                <w:tab w:val="clear" w:pos="2835"/>
              </w:tabs>
              <w:spacing w:before="80" w:after="80"/>
              <w:jc w:val="center"/>
              <w:rPr>
                <w:b/>
                <w:sz w:val="22"/>
                <w:lang w:val="fr-CH" w:eastAsia="zh-CN"/>
              </w:rPr>
            </w:pPr>
            <w:r w:rsidRPr="00A41991">
              <w:rPr>
                <w:b/>
                <w:sz w:val="22"/>
                <w:lang w:val="fr-CH" w:eastAsia="zh-CN"/>
              </w:rPr>
              <w:t>Résolutions</w:t>
            </w:r>
          </w:p>
        </w:tc>
        <w:tc>
          <w:tcPr>
            <w:tcW w:w="8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hideMark/>
          </w:tcPr>
          <w:p w14:paraId="15B8B083" w14:textId="0A819BBA" w:rsidR="00A41991" w:rsidRPr="00A41991" w:rsidRDefault="00A41991" w:rsidP="00D61F5D">
            <w:pPr>
              <w:tabs>
                <w:tab w:val="clear" w:pos="567"/>
                <w:tab w:val="clear" w:pos="1134"/>
                <w:tab w:val="clear" w:pos="1701"/>
                <w:tab w:val="clear" w:pos="2268"/>
                <w:tab w:val="clear" w:pos="2835"/>
              </w:tabs>
              <w:spacing w:before="80" w:after="80"/>
              <w:jc w:val="center"/>
              <w:rPr>
                <w:b/>
                <w:sz w:val="22"/>
                <w:lang w:val="fr-CH" w:eastAsia="zh-CN"/>
              </w:rPr>
            </w:pPr>
            <w:r w:rsidRPr="00A41991">
              <w:rPr>
                <w:b/>
                <w:sz w:val="22"/>
                <w:lang w:val="fr-CH" w:eastAsia="zh-CN"/>
              </w:rPr>
              <w:t>C2</w:t>
            </w:r>
            <w:r w:rsidR="00D61F5D">
              <w:rPr>
                <w:b/>
                <w:sz w:val="22"/>
                <w:lang w:val="fr-CH" w:eastAsia="zh-CN"/>
              </w:rPr>
              <w:t>5</w:t>
            </w:r>
            <w:r w:rsidRPr="00A41991">
              <w:rPr>
                <w:b/>
                <w:sz w:val="22"/>
                <w:lang w:val="fr-CH" w:eastAsia="zh-CN"/>
              </w:rPr>
              <w:t>/#</w:t>
            </w:r>
          </w:p>
        </w:tc>
      </w:tr>
      <w:tr w:rsidR="00ED5D94" w:rsidRPr="00A41991" w14:paraId="779BB395" w14:textId="77777777" w:rsidTr="00ED5D94">
        <w:trPr>
          <w:jc w:val="center"/>
        </w:trPr>
        <w:tc>
          <w:tcPr>
            <w:tcW w:w="1696" w:type="dxa"/>
            <w:tcBorders>
              <w:top w:val="single" w:sz="4" w:space="0" w:color="auto"/>
              <w:left w:val="single" w:sz="4" w:space="0" w:color="auto"/>
              <w:bottom w:val="single" w:sz="4" w:space="0" w:color="auto"/>
              <w:right w:val="nil"/>
            </w:tcBorders>
            <w:hideMark/>
          </w:tcPr>
          <w:p w14:paraId="65E455E7" w14:textId="55A1F92F" w:rsidR="00ED5D94" w:rsidRPr="00A41991" w:rsidRDefault="00ED5D94" w:rsidP="00D61F5D">
            <w:pPr>
              <w:tabs>
                <w:tab w:val="clear" w:pos="567"/>
                <w:tab w:val="clear" w:pos="1134"/>
                <w:tab w:val="clear" w:pos="1701"/>
                <w:tab w:val="clear" w:pos="2268"/>
                <w:tab w:val="clear" w:pos="2835"/>
              </w:tabs>
              <w:spacing w:before="20" w:after="20"/>
              <w:rPr>
                <w:sz w:val="22"/>
                <w:lang w:val="fr-CH" w:eastAsia="zh-CN"/>
              </w:rPr>
            </w:pPr>
            <w:r w:rsidRPr="00A41991">
              <w:rPr>
                <w:sz w:val="22"/>
                <w:lang w:val="fr-CH" w:eastAsia="zh-CN"/>
              </w:rPr>
              <w:t xml:space="preserve">Résolution </w:t>
            </w:r>
            <w:r w:rsidRPr="00ED5D94">
              <w:rPr>
                <w:b/>
                <w:sz w:val="22"/>
                <w:lang w:val="fr-CH" w:eastAsia="zh-CN"/>
              </w:rPr>
              <w:t>1431</w:t>
            </w:r>
          </w:p>
        </w:tc>
        <w:tc>
          <w:tcPr>
            <w:tcW w:w="7629" w:type="dxa"/>
            <w:tcBorders>
              <w:top w:val="single" w:sz="4" w:space="0" w:color="auto"/>
              <w:left w:val="nil"/>
              <w:bottom w:val="single" w:sz="4" w:space="0" w:color="auto"/>
              <w:right w:val="single" w:sz="4" w:space="0" w:color="auto"/>
            </w:tcBorders>
          </w:tcPr>
          <w:p w14:paraId="78F71F03" w14:textId="2D7C2B5C" w:rsidR="00ED5D94" w:rsidRPr="00A41991" w:rsidRDefault="00ED5D94" w:rsidP="00D61F5D">
            <w:pPr>
              <w:tabs>
                <w:tab w:val="clear" w:pos="567"/>
                <w:tab w:val="clear" w:pos="1134"/>
                <w:tab w:val="clear" w:pos="1701"/>
                <w:tab w:val="clear" w:pos="2268"/>
                <w:tab w:val="clear" w:pos="2835"/>
              </w:tabs>
              <w:spacing w:before="20" w:after="20"/>
              <w:rPr>
                <w:sz w:val="22"/>
                <w:lang w:val="fr-CH" w:eastAsia="zh-CN"/>
              </w:rPr>
            </w:pPr>
            <w:r w:rsidRPr="00A41991">
              <w:rPr>
                <w:sz w:val="22"/>
                <w:lang w:val="fr-CH" w:eastAsia="zh-CN"/>
              </w:rPr>
              <w:t>Plan opérationnel de l'Union pour 2026-2029</w:t>
            </w:r>
          </w:p>
        </w:tc>
        <w:tc>
          <w:tcPr>
            <w:tcW w:w="881" w:type="dxa"/>
            <w:shd w:val="clear" w:color="auto" w:fill="auto"/>
            <w:tcMar>
              <w:top w:w="0" w:type="dxa"/>
              <w:left w:w="57" w:type="dxa"/>
              <w:bottom w:w="0" w:type="dxa"/>
              <w:right w:w="57" w:type="dxa"/>
            </w:tcMar>
          </w:tcPr>
          <w:p w14:paraId="3B6D9FE4" w14:textId="507E9D35" w:rsidR="00ED5D94" w:rsidRPr="00A41991" w:rsidRDefault="00ED5D94" w:rsidP="00D61F5D">
            <w:pPr>
              <w:tabs>
                <w:tab w:val="clear" w:pos="567"/>
                <w:tab w:val="clear" w:pos="1134"/>
                <w:tab w:val="clear" w:pos="1701"/>
                <w:tab w:val="clear" w:pos="2268"/>
                <w:tab w:val="clear" w:pos="2835"/>
              </w:tabs>
              <w:spacing w:before="20" w:after="20"/>
              <w:jc w:val="center"/>
              <w:rPr>
                <w:color w:val="0563C1"/>
                <w:sz w:val="22"/>
                <w:u w:val="single"/>
                <w:lang w:val="fr-CH"/>
              </w:rPr>
            </w:pPr>
            <w:hyperlink r:id="rId7" w:history="1">
              <w:r w:rsidRPr="00A87443">
                <w:rPr>
                  <w:rStyle w:val="Hyperlink"/>
                  <w:sz w:val="22"/>
                </w:rPr>
                <w:t>115</w:t>
              </w:r>
            </w:hyperlink>
          </w:p>
        </w:tc>
      </w:tr>
      <w:tr w:rsidR="00ED5D94" w:rsidRPr="00A41991" w14:paraId="02488358" w14:textId="77777777" w:rsidTr="00ED5D94">
        <w:trPr>
          <w:jc w:val="center"/>
        </w:trPr>
        <w:tc>
          <w:tcPr>
            <w:tcW w:w="1696" w:type="dxa"/>
            <w:tcBorders>
              <w:top w:val="single" w:sz="4" w:space="0" w:color="auto"/>
              <w:left w:val="single" w:sz="4" w:space="0" w:color="auto"/>
              <w:bottom w:val="single" w:sz="4" w:space="0" w:color="auto"/>
              <w:right w:val="nil"/>
            </w:tcBorders>
            <w:hideMark/>
          </w:tcPr>
          <w:p w14:paraId="154591F7" w14:textId="41E162C1" w:rsidR="00ED5D94" w:rsidRPr="00A41991" w:rsidRDefault="00ED5D94" w:rsidP="00D61F5D">
            <w:pPr>
              <w:tabs>
                <w:tab w:val="clear" w:pos="567"/>
                <w:tab w:val="clear" w:pos="1134"/>
                <w:tab w:val="clear" w:pos="1701"/>
                <w:tab w:val="clear" w:pos="2268"/>
                <w:tab w:val="clear" w:pos="2835"/>
              </w:tabs>
              <w:spacing w:before="20" w:after="20"/>
              <w:rPr>
                <w:sz w:val="22"/>
                <w:lang w:val="fr-CH" w:eastAsia="zh-CN"/>
              </w:rPr>
            </w:pPr>
            <w:r w:rsidRPr="00A41991">
              <w:rPr>
                <w:sz w:val="22"/>
                <w:lang w:val="fr-CH" w:eastAsia="zh-CN"/>
              </w:rPr>
              <w:t xml:space="preserve">Résolution </w:t>
            </w:r>
            <w:r w:rsidRPr="00ED5D94">
              <w:rPr>
                <w:b/>
                <w:sz w:val="22"/>
                <w:lang w:val="fr-CH" w:eastAsia="zh-CN"/>
              </w:rPr>
              <w:t>1432</w:t>
            </w:r>
          </w:p>
        </w:tc>
        <w:tc>
          <w:tcPr>
            <w:tcW w:w="7629" w:type="dxa"/>
            <w:tcBorders>
              <w:top w:val="single" w:sz="4" w:space="0" w:color="auto"/>
              <w:left w:val="nil"/>
              <w:bottom w:val="single" w:sz="4" w:space="0" w:color="auto"/>
              <w:right w:val="single" w:sz="4" w:space="0" w:color="auto"/>
            </w:tcBorders>
          </w:tcPr>
          <w:p w14:paraId="2B455F74" w14:textId="5E52A019" w:rsidR="00ED5D94" w:rsidRPr="00A41991" w:rsidRDefault="00ED5D94" w:rsidP="00D61F5D">
            <w:pPr>
              <w:tabs>
                <w:tab w:val="clear" w:pos="567"/>
                <w:tab w:val="clear" w:pos="1134"/>
                <w:tab w:val="clear" w:pos="1701"/>
                <w:tab w:val="clear" w:pos="2268"/>
                <w:tab w:val="clear" w:pos="2835"/>
              </w:tabs>
              <w:spacing w:before="20" w:after="20"/>
              <w:rPr>
                <w:sz w:val="22"/>
                <w:lang w:val="fr-CH" w:eastAsia="zh-CN"/>
              </w:rPr>
            </w:pPr>
            <w:r w:rsidRPr="00A41991">
              <w:rPr>
                <w:sz w:val="22"/>
                <w:lang w:val="fr-CH" w:eastAsia="zh-CN"/>
              </w:rPr>
              <w:t>Rapport de gestion financière et États financiers vérifiés pour l'exercice 2024</w:t>
            </w:r>
          </w:p>
        </w:tc>
        <w:tc>
          <w:tcPr>
            <w:tcW w:w="881" w:type="dxa"/>
            <w:shd w:val="clear" w:color="auto" w:fill="auto"/>
            <w:tcMar>
              <w:top w:w="0" w:type="dxa"/>
              <w:left w:w="57" w:type="dxa"/>
              <w:bottom w:w="0" w:type="dxa"/>
              <w:right w:w="57" w:type="dxa"/>
            </w:tcMar>
          </w:tcPr>
          <w:p w14:paraId="1F6BB697" w14:textId="2461E567" w:rsidR="00ED5D94" w:rsidRPr="00A41991" w:rsidRDefault="00ED5D94" w:rsidP="00D61F5D">
            <w:pPr>
              <w:tabs>
                <w:tab w:val="clear" w:pos="567"/>
                <w:tab w:val="clear" w:pos="1134"/>
                <w:tab w:val="clear" w:pos="1701"/>
                <w:tab w:val="clear" w:pos="2268"/>
                <w:tab w:val="clear" w:pos="2835"/>
              </w:tabs>
              <w:spacing w:before="20" w:after="20"/>
              <w:jc w:val="center"/>
              <w:rPr>
                <w:rFonts w:cs="Arial"/>
                <w:b/>
                <w:bCs/>
                <w:sz w:val="22"/>
                <w:szCs w:val="22"/>
                <w:lang w:val="fr-CH" w:eastAsia="zh-CN"/>
              </w:rPr>
            </w:pPr>
            <w:hyperlink r:id="rId8" w:history="1">
              <w:r w:rsidRPr="00A87443">
                <w:rPr>
                  <w:rStyle w:val="Hyperlink"/>
                  <w:rFonts w:cs="Arial"/>
                  <w:sz w:val="22"/>
                  <w:lang w:val="en-US" w:eastAsia="zh-CN"/>
                </w:rPr>
                <w:t>116</w:t>
              </w:r>
            </w:hyperlink>
          </w:p>
        </w:tc>
      </w:tr>
      <w:tr w:rsidR="00ED5D94" w:rsidRPr="00A41991" w14:paraId="1FA4144B" w14:textId="77777777" w:rsidTr="00ED5D94">
        <w:trPr>
          <w:jc w:val="center"/>
        </w:trPr>
        <w:tc>
          <w:tcPr>
            <w:tcW w:w="1696" w:type="dxa"/>
            <w:tcBorders>
              <w:top w:val="single" w:sz="4" w:space="0" w:color="auto"/>
              <w:left w:val="single" w:sz="4" w:space="0" w:color="auto"/>
              <w:bottom w:val="single" w:sz="4" w:space="0" w:color="auto"/>
              <w:right w:val="nil"/>
            </w:tcBorders>
            <w:hideMark/>
          </w:tcPr>
          <w:p w14:paraId="10805003" w14:textId="7E96686A" w:rsidR="00ED5D94" w:rsidRPr="00A41991" w:rsidRDefault="00ED5D94" w:rsidP="00D61F5D">
            <w:pPr>
              <w:tabs>
                <w:tab w:val="clear" w:pos="567"/>
                <w:tab w:val="clear" w:pos="1134"/>
                <w:tab w:val="clear" w:pos="1701"/>
                <w:tab w:val="clear" w:pos="2268"/>
                <w:tab w:val="clear" w:pos="2835"/>
              </w:tabs>
              <w:spacing w:before="20" w:after="20"/>
              <w:rPr>
                <w:sz w:val="22"/>
                <w:lang w:val="fr-CH" w:eastAsia="zh-CN"/>
              </w:rPr>
            </w:pPr>
            <w:r w:rsidRPr="00A41991">
              <w:rPr>
                <w:sz w:val="22"/>
                <w:lang w:val="fr-CH" w:eastAsia="zh-CN"/>
              </w:rPr>
              <w:t xml:space="preserve">Résolution </w:t>
            </w:r>
            <w:r w:rsidRPr="00ED5D94">
              <w:rPr>
                <w:b/>
                <w:sz w:val="22"/>
                <w:lang w:val="fr-CH" w:eastAsia="zh-CN"/>
              </w:rPr>
              <w:t>1433</w:t>
            </w:r>
          </w:p>
        </w:tc>
        <w:tc>
          <w:tcPr>
            <w:tcW w:w="7629" w:type="dxa"/>
            <w:tcBorders>
              <w:top w:val="single" w:sz="4" w:space="0" w:color="auto"/>
              <w:left w:val="nil"/>
              <w:bottom w:val="single" w:sz="4" w:space="0" w:color="auto"/>
              <w:right w:val="single" w:sz="4" w:space="0" w:color="auto"/>
            </w:tcBorders>
          </w:tcPr>
          <w:p w14:paraId="32E37B32" w14:textId="57E36F18" w:rsidR="00ED5D94" w:rsidRPr="00A41991" w:rsidRDefault="00ED5D94" w:rsidP="00D61F5D">
            <w:pPr>
              <w:tabs>
                <w:tab w:val="clear" w:pos="567"/>
                <w:tab w:val="clear" w:pos="1134"/>
                <w:tab w:val="clear" w:pos="1701"/>
                <w:tab w:val="clear" w:pos="2268"/>
                <w:tab w:val="clear" w:pos="2835"/>
              </w:tabs>
              <w:spacing w:before="20" w:after="20"/>
              <w:rPr>
                <w:sz w:val="22"/>
                <w:lang w:val="fr-CH" w:eastAsia="zh-CN"/>
              </w:rPr>
            </w:pPr>
            <w:r w:rsidRPr="00A41991">
              <w:rPr>
                <w:sz w:val="22"/>
                <w:lang w:val="fr-CH" w:eastAsia="zh-CN"/>
              </w:rPr>
              <w:t>Conditions d'emploi des fonctionnaires élus de l'UIT</w:t>
            </w:r>
          </w:p>
        </w:tc>
        <w:tc>
          <w:tcPr>
            <w:tcW w:w="881" w:type="dxa"/>
            <w:shd w:val="clear" w:color="auto" w:fill="auto"/>
            <w:tcMar>
              <w:top w:w="0" w:type="dxa"/>
              <w:left w:w="57" w:type="dxa"/>
              <w:bottom w:w="0" w:type="dxa"/>
              <w:right w:w="57" w:type="dxa"/>
            </w:tcMar>
          </w:tcPr>
          <w:p w14:paraId="5BF9F7CB" w14:textId="5AAA7084" w:rsidR="00ED5D94" w:rsidRPr="00A41991" w:rsidRDefault="00ED5D94" w:rsidP="00D61F5D">
            <w:pPr>
              <w:tabs>
                <w:tab w:val="clear" w:pos="567"/>
                <w:tab w:val="clear" w:pos="1134"/>
                <w:tab w:val="clear" w:pos="1701"/>
                <w:tab w:val="clear" w:pos="2268"/>
                <w:tab w:val="clear" w:pos="2835"/>
              </w:tabs>
              <w:spacing w:before="20" w:after="20"/>
              <w:jc w:val="center"/>
              <w:rPr>
                <w:rFonts w:cs="Arial"/>
                <w:b/>
                <w:bCs/>
                <w:sz w:val="22"/>
                <w:szCs w:val="22"/>
                <w:lang w:val="fr-CH" w:eastAsia="zh-CN"/>
              </w:rPr>
            </w:pPr>
            <w:hyperlink r:id="rId9" w:history="1">
              <w:r w:rsidRPr="00A87443">
                <w:rPr>
                  <w:rStyle w:val="Hyperlink"/>
                  <w:rFonts w:cs="Arial"/>
                  <w:sz w:val="22"/>
                  <w:lang w:val="en-US" w:eastAsia="zh-CN"/>
                </w:rPr>
                <w:t>117</w:t>
              </w:r>
            </w:hyperlink>
          </w:p>
        </w:tc>
      </w:tr>
      <w:tr w:rsidR="00ED5D94" w:rsidRPr="00A41991" w14:paraId="7BDED3DB" w14:textId="77777777" w:rsidTr="00ED5D94">
        <w:trPr>
          <w:jc w:val="center"/>
        </w:trPr>
        <w:tc>
          <w:tcPr>
            <w:tcW w:w="1696" w:type="dxa"/>
            <w:tcBorders>
              <w:top w:val="single" w:sz="4" w:space="0" w:color="auto"/>
              <w:left w:val="single" w:sz="4" w:space="0" w:color="auto"/>
              <w:bottom w:val="single" w:sz="4" w:space="0" w:color="auto"/>
              <w:right w:val="nil"/>
            </w:tcBorders>
          </w:tcPr>
          <w:p w14:paraId="24B3D090" w14:textId="6B30B6B2" w:rsidR="00ED5D94" w:rsidRPr="00A41991" w:rsidRDefault="00ED5D94" w:rsidP="00D61F5D">
            <w:pPr>
              <w:tabs>
                <w:tab w:val="clear" w:pos="567"/>
                <w:tab w:val="clear" w:pos="1134"/>
                <w:tab w:val="clear" w:pos="1701"/>
                <w:tab w:val="clear" w:pos="2268"/>
                <w:tab w:val="clear" w:pos="2835"/>
              </w:tabs>
              <w:spacing w:before="20" w:after="20"/>
              <w:rPr>
                <w:sz w:val="22"/>
                <w:lang w:val="fr-CH" w:eastAsia="zh-CN"/>
              </w:rPr>
            </w:pPr>
            <w:r w:rsidRPr="00A41991">
              <w:rPr>
                <w:sz w:val="22"/>
                <w:lang w:val="fr-CH" w:eastAsia="zh-CN"/>
              </w:rPr>
              <w:t xml:space="preserve">Résolution </w:t>
            </w:r>
            <w:r w:rsidRPr="00ED5D94">
              <w:rPr>
                <w:b/>
                <w:sz w:val="22"/>
                <w:lang w:val="fr-CH" w:eastAsia="zh-CN"/>
              </w:rPr>
              <w:t>1434</w:t>
            </w:r>
          </w:p>
        </w:tc>
        <w:tc>
          <w:tcPr>
            <w:tcW w:w="7629" w:type="dxa"/>
            <w:tcBorders>
              <w:top w:val="single" w:sz="4" w:space="0" w:color="auto"/>
              <w:left w:val="nil"/>
              <w:bottom w:val="single" w:sz="4" w:space="0" w:color="auto"/>
              <w:right w:val="single" w:sz="4" w:space="0" w:color="auto"/>
            </w:tcBorders>
          </w:tcPr>
          <w:p w14:paraId="74AB4A26" w14:textId="1B5C1E55" w:rsidR="00ED5D94" w:rsidRPr="00A41991" w:rsidRDefault="00ED5D94" w:rsidP="00D61F5D">
            <w:pPr>
              <w:tabs>
                <w:tab w:val="clear" w:pos="567"/>
                <w:tab w:val="clear" w:pos="1134"/>
                <w:tab w:val="clear" w:pos="1701"/>
                <w:tab w:val="clear" w:pos="2268"/>
                <w:tab w:val="clear" w:pos="2835"/>
              </w:tabs>
              <w:spacing w:before="20" w:after="20"/>
              <w:rPr>
                <w:sz w:val="22"/>
                <w:lang w:val="fr-CH" w:eastAsia="zh-CN"/>
              </w:rPr>
            </w:pPr>
            <w:r w:rsidRPr="00A41991">
              <w:rPr>
                <w:sz w:val="22"/>
                <w:lang w:val="fr-CH" w:eastAsia="zh-CN"/>
              </w:rPr>
              <w:t>Affectation des économies réalisées dans le cadre de l'exécution du budget pour 2024</w:t>
            </w:r>
          </w:p>
        </w:tc>
        <w:tc>
          <w:tcPr>
            <w:tcW w:w="881" w:type="dxa"/>
            <w:shd w:val="clear" w:color="auto" w:fill="auto"/>
            <w:tcMar>
              <w:top w:w="0" w:type="dxa"/>
              <w:left w:w="57" w:type="dxa"/>
              <w:bottom w:w="0" w:type="dxa"/>
              <w:right w:w="57" w:type="dxa"/>
            </w:tcMar>
          </w:tcPr>
          <w:p w14:paraId="6A4889E4" w14:textId="57AB5876" w:rsidR="00ED5D94" w:rsidRPr="00A41991" w:rsidRDefault="00ED5D94" w:rsidP="00D61F5D">
            <w:pPr>
              <w:tabs>
                <w:tab w:val="clear" w:pos="567"/>
                <w:tab w:val="clear" w:pos="1134"/>
                <w:tab w:val="clear" w:pos="1701"/>
                <w:tab w:val="clear" w:pos="2268"/>
                <w:tab w:val="clear" w:pos="2835"/>
              </w:tabs>
              <w:spacing w:before="20" w:after="20"/>
              <w:jc w:val="center"/>
              <w:rPr>
                <w:b/>
                <w:bCs/>
                <w:sz w:val="22"/>
                <w:szCs w:val="22"/>
                <w:lang w:val="fr-CH"/>
              </w:rPr>
            </w:pPr>
            <w:hyperlink r:id="rId10" w:history="1">
              <w:r w:rsidRPr="00A87443">
                <w:rPr>
                  <w:rStyle w:val="Hyperlink"/>
                  <w:sz w:val="22"/>
                  <w:lang w:val="en-US"/>
                </w:rPr>
                <w:t>118</w:t>
              </w:r>
            </w:hyperlink>
          </w:p>
        </w:tc>
      </w:tr>
      <w:tr w:rsidR="00ED5D94" w:rsidRPr="00A41991" w14:paraId="4B961F42" w14:textId="77777777" w:rsidTr="00ED5D94">
        <w:trPr>
          <w:jc w:val="center"/>
        </w:trPr>
        <w:tc>
          <w:tcPr>
            <w:tcW w:w="1696" w:type="dxa"/>
            <w:tcBorders>
              <w:top w:val="single" w:sz="4" w:space="0" w:color="auto"/>
              <w:left w:val="single" w:sz="4" w:space="0" w:color="auto"/>
              <w:bottom w:val="single" w:sz="4" w:space="0" w:color="auto"/>
              <w:right w:val="nil"/>
            </w:tcBorders>
            <w:hideMark/>
          </w:tcPr>
          <w:p w14:paraId="59BB7E89" w14:textId="46DDC52C" w:rsidR="00ED5D94" w:rsidRPr="00A41991" w:rsidRDefault="00ED5D94" w:rsidP="00D61F5D">
            <w:pPr>
              <w:tabs>
                <w:tab w:val="clear" w:pos="567"/>
                <w:tab w:val="clear" w:pos="1134"/>
                <w:tab w:val="clear" w:pos="1701"/>
                <w:tab w:val="clear" w:pos="2268"/>
                <w:tab w:val="clear" w:pos="2835"/>
              </w:tabs>
              <w:spacing w:before="20" w:after="20"/>
              <w:rPr>
                <w:sz w:val="22"/>
                <w:lang w:val="fr-CH" w:eastAsia="zh-CN"/>
              </w:rPr>
            </w:pPr>
            <w:r w:rsidRPr="00A41991">
              <w:rPr>
                <w:sz w:val="22"/>
                <w:lang w:val="fr-CH" w:eastAsia="zh-CN"/>
              </w:rPr>
              <w:t xml:space="preserve">Résolution </w:t>
            </w:r>
            <w:r w:rsidRPr="00ED5D94">
              <w:rPr>
                <w:b/>
                <w:sz w:val="22"/>
                <w:lang w:val="fr-CH" w:eastAsia="zh-CN"/>
              </w:rPr>
              <w:t>1435</w:t>
            </w:r>
          </w:p>
        </w:tc>
        <w:tc>
          <w:tcPr>
            <w:tcW w:w="7629" w:type="dxa"/>
            <w:tcBorders>
              <w:top w:val="single" w:sz="4" w:space="0" w:color="auto"/>
              <w:left w:val="nil"/>
              <w:bottom w:val="single" w:sz="4" w:space="0" w:color="auto"/>
              <w:right w:val="single" w:sz="4" w:space="0" w:color="auto"/>
            </w:tcBorders>
          </w:tcPr>
          <w:p w14:paraId="2E726535" w14:textId="1B9999E7" w:rsidR="00ED5D94" w:rsidRPr="00A41991" w:rsidRDefault="00ED5D94" w:rsidP="00D61F5D">
            <w:pPr>
              <w:tabs>
                <w:tab w:val="clear" w:pos="567"/>
                <w:tab w:val="clear" w:pos="1134"/>
                <w:tab w:val="clear" w:pos="1701"/>
                <w:tab w:val="clear" w:pos="2268"/>
                <w:tab w:val="clear" w:pos="2835"/>
              </w:tabs>
              <w:spacing w:before="20" w:after="20"/>
              <w:rPr>
                <w:sz w:val="22"/>
                <w:lang w:val="fr-CH" w:eastAsia="zh-CN"/>
              </w:rPr>
            </w:pPr>
            <w:r w:rsidRPr="00A41991">
              <w:rPr>
                <w:sz w:val="22"/>
                <w:lang w:val="fr-CH" w:eastAsia="zh-CN"/>
              </w:rPr>
              <w:t>Budget biennal de l'Union pour 2026-2027</w:t>
            </w:r>
          </w:p>
        </w:tc>
        <w:tc>
          <w:tcPr>
            <w:tcW w:w="881" w:type="dxa"/>
            <w:shd w:val="clear" w:color="auto" w:fill="auto"/>
            <w:tcMar>
              <w:top w:w="0" w:type="dxa"/>
              <w:left w:w="57" w:type="dxa"/>
              <w:bottom w:w="0" w:type="dxa"/>
              <w:right w:w="57" w:type="dxa"/>
            </w:tcMar>
          </w:tcPr>
          <w:p w14:paraId="75A1646A" w14:textId="636D7EE8" w:rsidR="00ED5D94" w:rsidRPr="00A41991" w:rsidRDefault="00ED5D94" w:rsidP="00D61F5D">
            <w:pPr>
              <w:tabs>
                <w:tab w:val="clear" w:pos="567"/>
                <w:tab w:val="clear" w:pos="1134"/>
                <w:tab w:val="clear" w:pos="1701"/>
                <w:tab w:val="clear" w:pos="2268"/>
                <w:tab w:val="clear" w:pos="2835"/>
              </w:tabs>
              <w:spacing w:before="20" w:after="20"/>
              <w:jc w:val="center"/>
              <w:rPr>
                <w:rFonts w:cs="Arial"/>
                <w:b/>
                <w:bCs/>
                <w:color w:val="0000FF"/>
                <w:sz w:val="22"/>
                <w:szCs w:val="22"/>
                <w:lang w:val="fr-CH" w:eastAsia="zh-CN"/>
              </w:rPr>
            </w:pPr>
            <w:hyperlink r:id="rId11" w:history="1">
              <w:r w:rsidRPr="00A87443">
                <w:rPr>
                  <w:rStyle w:val="Hyperlink"/>
                  <w:rFonts w:cs="Arial"/>
                  <w:sz w:val="22"/>
                  <w:lang w:val="en-US" w:eastAsia="zh-CN"/>
                </w:rPr>
                <w:t>119</w:t>
              </w:r>
            </w:hyperlink>
          </w:p>
        </w:tc>
      </w:tr>
    </w:tbl>
    <w:p w14:paraId="4E45F6B4" w14:textId="77777777" w:rsidR="00A41991" w:rsidRPr="00A41991" w:rsidRDefault="00A41991" w:rsidP="00A41991">
      <w:pPr>
        <w:tabs>
          <w:tab w:val="clear" w:pos="567"/>
          <w:tab w:val="clear" w:pos="1134"/>
          <w:tab w:val="clear" w:pos="1701"/>
          <w:tab w:val="clear" w:pos="2268"/>
          <w:tab w:val="clear" w:pos="2835"/>
        </w:tabs>
        <w:spacing w:before="0"/>
        <w:rPr>
          <w:sz w:val="22"/>
          <w:lang w:val="fr-CH"/>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7629"/>
        <w:gridCol w:w="881"/>
      </w:tblGrid>
      <w:tr w:rsidR="00A41991" w:rsidRPr="00A41991" w14:paraId="293080F9" w14:textId="77777777" w:rsidTr="00ED5D94">
        <w:trPr>
          <w:jc w:val="center"/>
        </w:trPr>
        <w:tc>
          <w:tcPr>
            <w:tcW w:w="932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162936" w14:textId="77777777" w:rsidR="00A41991" w:rsidRPr="00A41991" w:rsidRDefault="00A41991" w:rsidP="00D61F5D">
            <w:pPr>
              <w:keepNext/>
              <w:keepLines/>
              <w:tabs>
                <w:tab w:val="clear" w:pos="567"/>
                <w:tab w:val="clear" w:pos="1134"/>
                <w:tab w:val="clear" w:pos="1701"/>
                <w:tab w:val="clear" w:pos="2268"/>
                <w:tab w:val="clear" w:pos="2835"/>
              </w:tabs>
              <w:spacing w:before="80" w:after="80"/>
              <w:jc w:val="center"/>
              <w:rPr>
                <w:b/>
                <w:sz w:val="22"/>
                <w:lang w:val="fr-CH" w:eastAsia="zh-CN"/>
              </w:rPr>
            </w:pPr>
            <w:r w:rsidRPr="00A41991">
              <w:rPr>
                <w:b/>
                <w:sz w:val="22"/>
                <w:lang w:val="fr-CH" w:eastAsia="zh-CN"/>
              </w:rPr>
              <w:t>Résolutions</w:t>
            </w:r>
            <w:r w:rsidRPr="00A41991">
              <w:rPr>
                <w:rFonts w:cs="Arial"/>
                <w:b/>
                <w:bCs/>
                <w:sz w:val="22"/>
                <w:szCs w:val="22"/>
                <w:lang w:val="fr-CH" w:eastAsia="zh-CN"/>
              </w:rPr>
              <w:t xml:space="preserve"> modifiées</w:t>
            </w:r>
          </w:p>
        </w:tc>
        <w:tc>
          <w:tcPr>
            <w:tcW w:w="8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hideMark/>
          </w:tcPr>
          <w:p w14:paraId="0637E3F2" w14:textId="142008E7" w:rsidR="00A41991" w:rsidRPr="00A41991" w:rsidRDefault="00A41991" w:rsidP="00D61F5D">
            <w:pPr>
              <w:keepNext/>
              <w:keepLines/>
              <w:tabs>
                <w:tab w:val="clear" w:pos="567"/>
                <w:tab w:val="clear" w:pos="1134"/>
                <w:tab w:val="clear" w:pos="1701"/>
                <w:tab w:val="clear" w:pos="2268"/>
                <w:tab w:val="clear" w:pos="2835"/>
              </w:tabs>
              <w:spacing w:before="80" w:after="80"/>
              <w:jc w:val="center"/>
              <w:rPr>
                <w:b/>
                <w:sz w:val="22"/>
                <w:lang w:val="fr-CH" w:eastAsia="zh-CN"/>
              </w:rPr>
            </w:pPr>
            <w:r w:rsidRPr="00A41991">
              <w:rPr>
                <w:b/>
                <w:sz w:val="22"/>
                <w:lang w:val="fr-CH" w:eastAsia="zh-CN"/>
              </w:rPr>
              <w:t>C2</w:t>
            </w:r>
            <w:r w:rsidR="00D61F5D">
              <w:rPr>
                <w:b/>
                <w:sz w:val="22"/>
                <w:lang w:val="fr-CH" w:eastAsia="zh-CN"/>
              </w:rPr>
              <w:t>5</w:t>
            </w:r>
            <w:r w:rsidRPr="00A41991">
              <w:rPr>
                <w:b/>
                <w:sz w:val="22"/>
                <w:lang w:val="fr-CH" w:eastAsia="zh-CN"/>
              </w:rPr>
              <w:t>/#</w:t>
            </w:r>
          </w:p>
        </w:tc>
      </w:tr>
      <w:tr w:rsidR="00ED5D94" w:rsidRPr="00A41991" w14:paraId="58B735D7" w14:textId="77777777" w:rsidTr="00ED5D94">
        <w:trPr>
          <w:jc w:val="center"/>
        </w:trPr>
        <w:tc>
          <w:tcPr>
            <w:tcW w:w="1696" w:type="dxa"/>
            <w:tcBorders>
              <w:top w:val="single" w:sz="4" w:space="0" w:color="auto"/>
              <w:left w:val="single" w:sz="4" w:space="0" w:color="auto"/>
              <w:bottom w:val="single" w:sz="4" w:space="0" w:color="auto"/>
              <w:right w:val="nil"/>
            </w:tcBorders>
            <w:hideMark/>
          </w:tcPr>
          <w:p w14:paraId="526F9F23" w14:textId="40F75AAF" w:rsidR="00ED5D94" w:rsidRPr="00A41991" w:rsidRDefault="00ED5D94" w:rsidP="00D61F5D">
            <w:pPr>
              <w:keepNext/>
              <w:keepLines/>
              <w:tabs>
                <w:tab w:val="clear" w:pos="567"/>
                <w:tab w:val="clear" w:pos="1134"/>
                <w:tab w:val="clear" w:pos="1701"/>
                <w:tab w:val="clear" w:pos="2268"/>
                <w:tab w:val="clear" w:pos="2835"/>
              </w:tabs>
              <w:spacing w:before="20" w:after="20"/>
              <w:rPr>
                <w:sz w:val="22"/>
                <w:lang w:val="fr-CH" w:eastAsia="zh-CN"/>
              </w:rPr>
            </w:pPr>
            <w:r w:rsidRPr="00A41991">
              <w:rPr>
                <w:sz w:val="22"/>
                <w:lang w:val="fr-CH" w:eastAsia="zh-CN"/>
              </w:rPr>
              <w:t xml:space="preserve">Résolution </w:t>
            </w:r>
            <w:r w:rsidRPr="00ED5D94">
              <w:rPr>
                <w:b/>
                <w:sz w:val="22"/>
                <w:lang w:val="fr-CH" w:eastAsia="zh-CN"/>
              </w:rPr>
              <w:t>1333</w:t>
            </w:r>
          </w:p>
        </w:tc>
        <w:tc>
          <w:tcPr>
            <w:tcW w:w="7629" w:type="dxa"/>
            <w:tcBorders>
              <w:top w:val="single" w:sz="4" w:space="0" w:color="auto"/>
              <w:left w:val="nil"/>
              <w:bottom w:val="single" w:sz="4" w:space="0" w:color="auto"/>
              <w:right w:val="single" w:sz="4" w:space="0" w:color="auto"/>
            </w:tcBorders>
          </w:tcPr>
          <w:p w14:paraId="44D0A3ED" w14:textId="2CC3A4AE" w:rsidR="00ED5D94" w:rsidRPr="00A41991" w:rsidRDefault="00ED5D94" w:rsidP="00D61F5D">
            <w:pPr>
              <w:keepNext/>
              <w:keepLines/>
              <w:tabs>
                <w:tab w:val="clear" w:pos="567"/>
                <w:tab w:val="clear" w:pos="1134"/>
                <w:tab w:val="clear" w:pos="1701"/>
                <w:tab w:val="clear" w:pos="2268"/>
                <w:tab w:val="clear" w:pos="2835"/>
              </w:tabs>
              <w:spacing w:before="20" w:after="20"/>
              <w:rPr>
                <w:sz w:val="22"/>
                <w:lang w:val="fr-CH" w:eastAsia="zh-CN"/>
              </w:rPr>
            </w:pPr>
            <w:r w:rsidRPr="00A41991">
              <w:rPr>
                <w:sz w:val="22"/>
                <w:lang w:val="fr-CH" w:eastAsia="zh-CN"/>
              </w:rPr>
              <w:t>Principes directeurs régissant la création, la gestion et la cessation des activités des groupes de travail du Conseil</w:t>
            </w:r>
          </w:p>
        </w:tc>
        <w:tc>
          <w:tcPr>
            <w:tcW w:w="881" w:type="dxa"/>
            <w:shd w:val="clear" w:color="auto" w:fill="auto"/>
            <w:tcMar>
              <w:top w:w="0" w:type="dxa"/>
              <w:left w:w="57" w:type="dxa"/>
              <w:bottom w:w="0" w:type="dxa"/>
              <w:right w:w="57" w:type="dxa"/>
            </w:tcMar>
          </w:tcPr>
          <w:p w14:paraId="132DA247" w14:textId="09E8C2CA" w:rsidR="00ED5D94" w:rsidRPr="00A41991" w:rsidRDefault="00ED5D94" w:rsidP="00D61F5D">
            <w:pPr>
              <w:keepNext/>
              <w:keepLines/>
              <w:tabs>
                <w:tab w:val="clear" w:pos="567"/>
                <w:tab w:val="clear" w:pos="1134"/>
                <w:tab w:val="clear" w:pos="1701"/>
                <w:tab w:val="clear" w:pos="2268"/>
                <w:tab w:val="clear" w:pos="2835"/>
              </w:tabs>
              <w:spacing w:before="20" w:after="20"/>
              <w:jc w:val="center"/>
              <w:rPr>
                <w:color w:val="0563C1"/>
                <w:sz w:val="22"/>
                <w:u w:val="single"/>
                <w:lang w:val="fr-CH"/>
              </w:rPr>
            </w:pPr>
            <w:hyperlink r:id="rId12" w:history="1">
              <w:r w:rsidRPr="00A87443">
                <w:rPr>
                  <w:rStyle w:val="Hyperlink"/>
                  <w:sz w:val="22"/>
                </w:rPr>
                <w:t>120</w:t>
              </w:r>
            </w:hyperlink>
          </w:p>
        </w:tc>
      </w:tr>
      <w:tr w:rsidR="00ED5D94" w:rsidRPr="00A41991" w14:paraId="514D3651" w14:textId="77777777" w:rsidTr="00ED5D94">
        <w:trPr>
          <w:jc w:val="center"/>
        </w:trPr>
        <w:tc>
          <w:tcPr>
            <w:tcW w:w="1696" w:type="dxa"/>
            <w:tcBorders>
              <w:top w:val="single" w:sz="4" w:space="0" w:color="auto"/>
              <w:left w:val="single" w:sz="4" w:space="0" w:color="auto"/>
              <w:bottom w:val="single" w:sz="4" w:space="0" w:color="auto"/>
              <w:right w:val="nil"/>
            </w:tcBorders>
            <w:hideMark/>
          </w:tcPr>
          <w:p w14:paraId="50D83D7F" w14:textId="77777777" w:rsidR="00ED5D94" w:rsidRPr="00A41991" w:rsidRDefault="00ED5D94" w:rsidP="00D61F5D">
            <w:pPr>
              <w:keepNext/>
              <w:keepLines/>
              <w:tabs>
                <w:tab w:val="clear" w:pos="567"/>
                <w:tab w:val="clear" w:pos="1134"/>
                <w:tab w:val="clear" w:pos="1701"/>
                <w:tab w:val="clear" w:pos="2268"/>
                <w:tab w:val="clear" w:pos="2835"/>
              </w:tabs>
              <w:spacing w:before="20" w:after="20"/>
              <w:rPr>
                <w:sz w:val="22"/>
                <w:lang w:val="fr-CH" w:eastAsia="zh-CN"/>
              </w:rPr>
            </w:pPr>
            <w:r w:rsidRPr="00A41991">
              <w:rPr>
                <w:sz w:val="22"/>
                <w:lang w:val="fr-CH" w:eastAsia="zh-CN"/>
              </w:rPr>
              <w:t xml:space="preserve">Résolution </w:t>
            </w:r>
            <w:r w:rsidRPr="00ED5D94">
              <w:rPr>
                <w:b/>
                <w:sz w:val="22"/>
                <w:lang w:val="fr-CH" w:eastAsia="zh-CN"/>
              </w:rPr>
              <w:t xml:space="preserve">1386 </w:t>
            </w:r>
          </w:p>
        </w:tc>
        <w:tc>
          <w:tcPr>
            <w:tcW w:w="7629" w:type="dxa"/>
            <w:tcBorders>
              <w:top w:val="single" w:sz="4" w:space="0" w:color="auto"/>
              <w:left w:val="nil"/>
              <w:bottom w:val="single" w:sz="4" w:space="0" w:color="auto"/>
              <w:right w:val="single" w:sz="4" w:space="0" w:color="auto"/>
            </w:tcBorders>
          </w:tcPr>
          <w:p w14:paraId="07994DDA" w14:textId="12BC21AF" w:rsidR="00ED5D94" w:rsidRPr="00A41991" w:rsidRDefault="00ED5D94" w:rsidP="00D61F5D">
            <w:pPr>
              <w:keepNext/>
              <w:keepLines/>
              <w:tabs>
                <w:tab w:val="clear" w:pos="567"/>
                <w:tab w:val="clear" w:pos="1134"/>
                <w:tab w:val="clear" w:pos="1701"/>
                <w:tab w:val="clear" w:pos="2268"/>
                <w:tab w:val="clear" w:pos="2835"/>
              </w:tabs>
              <w:spacing w:before="20" w:after="20"/>
              <w:rPr>
                <w:sz w:val="22"/>
                <w:lang w:val="fr-CH" w:eastAsia="zh-CN"/>
              </w:rPr>
            </w:pPr>
            <w:r w:rsidRPr="00A41991">
              <w:rPr>
                <w:sz w:val="22"/>
                <w:lang w:val="fr-CH" w:eastAsia="zh-CN"/>
              </w:rPr>
              <w:t>Comité de coordination de l'UIT pour la terminologie (CCT de l'UIT)</w:t>
            </w:r>
          </w:p>
        </w:tc>
        <w:tc>
          <w:tcPr>
            <w:tcW w:w="881" w:type="dxa"/>
            <w:shd w:val="clear" w:color="auto" w:fill="auto"/>
            <w:tcMar>
              <w:top w:w="0" w:type="dxa"/>
              <w:left w:w="57" w:type="dxa"/>
              <w:bottom w:w="0" w:type="dxa"/>
              <w:right w:w="57" w:type="dxa"/>
            </w:tcMar>
          </w:tcPr>
          <w:p w14:paraId="1F4C6862" w14:textId="418567FF" w:rsidR="00ED5D94" w:rsidRPr="00A41991" w:rsidRDefault="00ED5D94" w:rsidP="00D61F5D">
            <w:pPr>
              <w:keepNext/>
              <w:keepLines/>
              <w:tabs>
                <w:tab w:val="clear" w:pos="567"/>
                <w:tab w:val="clear" w:pos="1134"/>
                <w:tab w:val="clear" w:pos="1701"/>
                <w:tab w:val="clear" w:pos="2268"/>
                <w:tab w:val="clear" w:pos="2835"/>
              </w:tabs>
              <w:spacing w:before="20" w:after="20"/>
              <w:jc w:val="center"/>
              <w:rPr>
                <w:rFonts w:cs="Arial"/>
                <w:b/>
                <w:bCs/>
                <w:sz w:val="22"/>
                <w:szCs w:val="22"/>
                <w:lang w:val="fr-CH" w:eastAsia="zh-CN"/>
              </w:rPr>
            </w:pPr>
            <w:hyperlink r:id="rId13" w:history="1">
              <w:r w:rsidRPr="00A87443">
                <w:rPr>
                  <w:rStyle w:val="Hyperlink"/>
                  <w:rFonts w:cs="Arial"/>
                  <w:sz w:val="22"/>
                  <w:lang w:val="en-US" w:eastAsia="zh-CN"/>
                </w:rPr>
                <w:t>121</w:t>
              </w:r>
            </w:hyperlink>
          </w:p>
        </w:tc>
      </w:tr>
    </w:tbl>
    <w:p w14:paraId="4D2418F6" w14:textId="77777777" w:rsidR="00A41991" w:rsidRPr="00A41991" w:rsidRDefault="00A41991" w:rsidP="00A41991">
      <w:pPr>
        <w:tabs>
          <w:tab w:val="clear" w:pos="567"/>
          <w:tab w:val="clear" w:pos="1134"/>
          <w:tab w:val="clear" w:pos="1701"/>
          <w:tab w:val="clear" w:pos="2268"/>
          <w:tab w:val="clear" w:pos="2835"/>
        </w:tabs>
        <w:spacing w:before="0"/>
        <w:rPr>
          <w:sz w:val="22"/>
          <w:lang w:val="fr-CH"/>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7629"/>
        <w:gridCol w:w="881"/>
      </w:tblGrid>
      <w:tr w:rsidR="00A41991" w:rsidRPr="00A41991" w14:paraId="72BEED1B" w14:textId="77777777" w:rsidTr="00ED5D94">
        <w:trPr>
          <w:jc w:val="center"/>
        </w:trPr>
        <w:tc>
          <w:tcPr>
            <w:tcW w:w="932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DE6ED4" w14:textId="77777777" w:rsidR="00A41991" w:rsidRPr="00A41991" w:rsidRDefault="00A41991" w:rsidP="00D61F5D">
            <w:pPr>
              <w:keepNext/>
              <w:keepLines/>
              <w:tabs>
                <w:tab w:val="clear" w:pos="567"/>
                <w:tab w:val="clear" w:pos="1134"/>
                <w:tab w:val="clear" w:pos="1701"/>
                <w:tab w:val="clear" w:pos="2268"/>
                <w:tab w:val="clear" w:pos="2835"/>
              </w:tabs>
              <w:spacing w:before="80" w:after="80"/>
              <w:jc w:val="center"/>
              <w:rPr>
                <w:b/>
                <w:sz w:val="22"/>
                <w:lang w:val="fr-CH" w:eastAsia="zh-CN"/>
              </w:rPr>
            </w:pPr>
            <w:r w:rsidRPr="00A41991">
              <w:rPr>
                <w:rFonts w:cs="Arial"/>
                <w:b/>
                <w:bCs/>
                <w:sz w:val="22"/>
                <w:szCs w:val="22"/>
                <w:lang w:val="fr-CH" w:eastAsia="zh-CN"/>
              </w:rPr>
              <w:t>Décisions</w:t>
            </w:r>
          </w:p>
        </w:tc>
        <w:tc>
          <w:tcPr>
            <w:tcW w:w="8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hideMark/>
          </w:tcPr>
          <w:p w14:paraId="7C4EB692" w14:textId="6ECAAD8E" w:rsidR="00A41991" w:rsidRPr="00A41991" w:rsidRDefault="00A41991" w:rsidP="00D61F5D">
            <w:pPr>
              <w:keepNext/>
              <w:keepLines/>
              <w:tabs>
                <w:tab w:val="clear" w:pos="567"/>
                <w:tab w:val="clear" w:pos="1134"/>
                <w:tab w:val="clear" w:pos="1701"/>
                <w:tab w:val="clear" w:pos="2268"/>
                <w:tab w:val="clear" w:pos="2835"/>
              </w:tabs>
              <w:spacing w:before="80" w:after="80"/>
              <w:jc w:val="center"/>
              <w:rPr>
                <w:b/>
                <w:sz w:val="22"/>
                <w:lang w:val="fr-CH" w:eastAsia="zh-CN"/>
              </w:rPr>
            </w:pPr>
            <w:r w:rsidRPr="00A41991">
              <w:rPr>
                <w:b/>
                <w:sz w:val="22"/>
                <w:lang w:val="fr-CH" w:eastAsia="zh-CN"/>
              </w:rPr>
              <w:t>C2</w:t>
            </w:r>
            <w:r w:rsidR="00D61F5D">
              <w:rPr>
                <w:b/>
                <w:sz w:val="22"/>
                <w:lang w:val="fr-CH" w:eastAsia="zh-CN"/>
              </w:rPr>
              <w:t>5</w:t>
            </w:r>
            <w:r w:rsidRPr="00A41991">
              <w:rPr>
                <w:b/>
                <w:sz w:val="22"/>
                <w:lang w:val="fr-CH" w:eastAsia="zh-CN"/>
              </w:rPr>
              <w:t>/#</w:t>
            </w:r>
          </w:p>
        </w:tc>
      </w:tr>
      <w:tr w:rsidR="00ED5D94" w:rsidRPr="00A41991" w14:paraId="63902080" w14:textId="77777777" w:rsidTr="00ED5D94">
        <w:trPr>
          <w:jc w:val="center"/>
        </w:trPr>
        <w:tc>
          <w:tcPr>
            <w:tcW w:w="1696" w:type="dxa"/>
            <w:tcBorders>
              <w:top w:val="single" w:sz="4" w:space="0" w:color="auto"/>
              <w:left w:val="single" w:sz="4" w:space="0" w:color="auto"/>
              <w:bottom w:val="single" w:sz="4" w:space="0" w:color="auto"/>
              <w:right w:val="nil"/>
            </w:tcBorders>
            <w:hideMark/>
          </w:tcPr>
          <w:p w14:paraId="1C8C2065" w14:textId="1B14AEBD" w:rsidR="00ED5D94" w:rsidRPr="00A41991" w:rsidRDefault="00ED5D94" w:rsidP="00D61F5D">
            <w:pPr>
              <w:keepNext/>
              <w:keepLines/>
              <w:tabs>
                <w:tab w:val="clear" w:pos="567"/>
                <w:tab w:val="clear" w:pos="1134"/>
                <w:tab w:val="clear" w:pos="1701"/>
                <w:tab w:val="clear" w:pos="2268"/>
                <w:tab w:val="clear" w:pos="2835"/>
              </w:tabs>
              <w:spacing w:before="20" w:after="20"/>
              <w:rPr>
                <w:sz w:val="22"/>
                <w:lang w:val="fr-CH" w:eastAsia="zh-CN"/>
              </w:rPr>
            </w:pPr>
            <w:r w:rsidRPr="00890A5E">
              <w:rPr>
                <w:rFonts w:cs="Arial"/>
                <w:bCs/>
                <w:sz w:val="22"/>
                <w:szCs w:val="22"/>
                <w:lang w:val="fr-CH" w:eastAsia="zh-CN"/>
              </w:rPr>
              <w:t xml:space="preserve">Décision </w:t>
            </w:r>
            <w:r w:rsidRPr="00ED5D94">
              <w:rPr>
                <w:rFonts w:cs="Arial"/>
                <w:b/>
                <w:sz w:val="22"/>
                <w:szCs w:val="22"/>
                <w:lang w:val="fr-CH" w:eastAsia="zh-CN"/>
              </w:rPr>
              <w:t>643</w:t>
            </w:r>
          </w:p>
        </w:tc>
        <w:tc>
          <w:tcPr>
            <w:tcW w:w="7629" w:type="dxa"/>
            <w:tcBorders>
              <w:top w:val="single" w:sz="4" w:space="0" w:color="auto"/>
              <w:left w:val="nil"/>
              <w:bottom w:val="single" w:sz="4" w:space="0" w:color="auto"/>
              <w:right w:val="single" w:sz="4" w:space="0" w:color="auto"/>
            </w:tcBorders>
          </w:tcPr>
          <w:p w14:paraId="219B1E92" w14:textId="550B905D" w:rsidR="00ED5D94" w:rsidRPr="00A41991" w:rsidRDefault="00ED5D94" w:rsidP="00D61F5D">
            <w:pPr>
              <w:keepNext/>
              <w:keepLines/>
              <w:tabs>
                <w:tab w:val="clear" w:pos="567"/>
                <w:tab w:val="clear" w:pos="1134"/>
                <w:tab w:val="clear" w:pos="1701"/>
                <w:tab w:val="clear" w:pos="2268"/>
                <w:tab w:val="clear" w:pos="2835"/>
              </w:tabs>
              <w:spacing w:before="20" w:after="20"/>
              <w:rPr>
                <w:sz w:val="22"/>
                <w:lang w:val="fr-CH" w:eastAsia="zh-CN"/>
              </w:rPr>
            </w:pPr>
            <w:r w:rsidRPr="00890A5E">
              <w:rPr>
                <w:rFonts w:cs="Arial"/>
                <w:bCs/>
                <w:sz w:val="22"/>
                <w:szCs w:val="22"/>
                <w:lang w:val="fr-CH" w:eastAsia="zh-CN"/>
              </w:rPr>
              <w:t>Dates et durée des sessions de 2026, 2027 et 2028 du Conseil et des séries de réunions des Groupes de travail du Conseil et des Groupes d'experts pour la même période</w:t>
            </w:r>
          </w:p>
        </w:tc>
        <w:tc>
          <w:tcPr>
            <w:tcW w:w="881" w:type="dxa"/>
            <w:shd w:val="clear" w:color="auto" w:fill="auto"/>
            <w:tcMar>
              <w:top w:w="0" w:type="dxa"/>
              <w:left w:w="57" w:type="dxa"/>
              <w:bottom w:w="0" w:type="dxa"/>
              <w:right w:w="57" w:type="dxa"/>
            </w:tcMar>
          </w:tcPr>
          <w:p w14:paraId="56F080F5" w14:textId="67815EE9" w:rsidR="00ED5D94" w:rsidRPr="00A41991" w:rsidRDefault="00ED5D94" w:rsidP="00D61F5D">
            <w:pPr>
              <w:keepNext/>
              <w:keepLines/>
              <w:tabs>
                <w:tab w:val="clear" w:pos="567"/>
                <w:tab w:val="clear" w:pos="1134"/>
                <w:tab w:val="clear" w:pos="1701"/>
                <w:tab w:val="clear" w:pos="2268"/>
                <w:tab w:val="clear" w:pos="2835"/>
              </w:tabs>
              <w:spacing w:before="20" w:after="20"/>
              <w:jc w:val="center"/>
              <w:rPr>
                <w:color w:val="0563C1"/>
                <w:sz w:val="22"/>
                <w:u w:val="single"/>
                <w:lang w:val="fr-CH"/>
              </w:rPr>
            </w:pPr>
            <w:hyperlink r:id="rId14" w:history="1">
              <w:r w:rsidRPr="00A87443">
                <w:rPr>
                  <w:rStyle w:val="Hyperlink"/>
                  <w:sz w:val="22"/>
                </w:rPr>
                <w:t>122</w:t>
              </w:r>
            </w:hyperlink>
          </w:p>
        </w:tc>
      </w:tr>
      <w:tr w:rsidR="00ED5D94" w:rsidRPr="00A41991" w14:paraId="087BCA33" w14:textId="77777777" w:rsidTr="00ED5D94">
        <w:trPr>
          <w:jc w:val="center"/>
        </w:trPr>
        <w:tc>
          <w:tcPr>
            <w:tcW w:w="1696" w:type="dxa"/>
            <w:tcBorders>
              <w:top w:val="single" w:sz="4" w:space="0" w:color="auto"/>
              <w:left w:val="single" w:sz="4" w:space="0" w:color="auto"/>
              <w:bottom w:val="single" w:sz="4" w:space="0" w:color="auto"/>
              <w:right w:val="nil"/>
            </w:tcBorders>
            <w:hideMark/>
          </w:tcPr>
          <w:p w14:paraId="04AB9831" w14:textId="03804A57" w:rsidR="00ED5D94" w:rsidRPr="00A41991" w:rsidRDefault="00ED5D94" w:rsidP="00D61F5D">
            <w:pPr>
              <w:keepNext/>
              <w:keepLines/>
              <w:tabs>
                <w:tab w:val="clear" w:pos="567"/>
                <w:tab w:val="clear" w:pos="1134"/>
                <w:tab w:val="clear" w:pos="1701"/>
                <w:tab w:val="clear" w:pos="2268"/>
                <w:tab w:val="clear" w:pos="2835"/>
              </w:tabs>
              <w:spacing w:before="20" w:after="20"/>
              <w:rPr>
                <w:sz w:val="22"/>
                <w:lang w:val="fr-CH" w:eastAsia="zh-CN"/>
              </w:rPr>
            </w:pPr>
            <w:r w:rsidRPr="00890A5E">
              <w:rPr>
                <w:rFonts w:cs="Arial"/>
                <w:bCs/>
                <w:sz w:val="22"/>
                <w:szCs w:val="22"/>
                <w:lang w:val="fr-CH" w:eastAsia="zh-CN"/>
              </w:rPr>
              <w:t xml:space="preserve">Décision </w:t>
            </w:r>
            <w:r w:rsidRPr="00ED5D94">
              <w:rPr>
                <w:rFonts w:cs="Arial"/>
                <w:b/>
                <w:sz w:val="22"/>
                <w:szCs w:val="22"/>
                <w:lang w:val="fr-CH" w:eastAsia="zh-CN"/>
              </w:rPr>
              <w:t>644</w:t>
            </w:r>
          </w:p>
        </w:tc>
        <w:tc>
          <w:tcPr>
            <w:tcW w:w="7629" w:type="dxa"/>
            <w:tcBorders>
              <w:top w:val="single" w:sz="4" w:space="0" w:color="auto"/>
              <w:left w:val="nil"/>
              <w:bottom w:val="single" w:sz="4" w:space="0" w:color="auto"/>
              <w:right w:val="single" w:sz="4" w:space="0" w:color="auto"/>
            </w:tcBorders>
          </w:tcPr>
          <w:p w14:paraId="2B3BC51D" w14:textId="2E22675A" w:rsidR="00ED5D94" w:rsidRPr="00A41991" w:rsidRDefault="00ED5D94" w:rsidP="00D61F5D">
            <w:pPr>
              <w:keepNext/>
              <w:keepLines/>
              <w:tabs>
                <w:tab w:val="clear" w:pos="567"/>
                <w:tab w:val="clear" w:pos="1134"/>
                <w:tab w:val="clear" w:pos="1701"/>
                <w:tab w:val="clear" w:pos="2268"/>
                <w:tab w:val="clear" w:pos="2835"/>
              </w:tabs>
              <w:spacing w:before="20" w:after="20"/>
              <w:rPr>
                <w:sz w:val="22"/>
                <w:lang w:val="fr-CH" w:eastAsia="zh-CN"/>
              </w:rPr>
            </w:pPr>
            <w:r w:rsidRPr="00890A5E">
              <w:rPr>
                <w:rFonts w:cs="Arial"/>
                <w:bCs/>
                <w:sz w:val="22"/>
                <w:szCs w:val="22"/>
                <w:lang w:val="fr-CH" w:eastAsia="zh-CN"/>
              </w:rPr>
              <w:t>Renouvellement du mandat du Vérificateur extérieur des comptes (Bureau national de contrôle des finances publiques du Royaume-Uni) pour une durée de deux ans</w:t>
            </w:r>
          </w:p>
        </w:tc>
        <w:tc>
          <w:tcPr>
            <w:tcW w:w="881" w:type="dxa"/>
            <w:shd w:val="clear" w:color="auto" w:fill="auto"/>
            <w:tcMar>
              <w:top w:w="0" w:type="dxa"/>
              <w:left w:w="57" w:type="dxa"/>
              <w:bottom w:w="0" w:type="dxa"/>
              <w:right w:w="57" w:type="dxa"/>
            </w:tcMar>
          </w:tcPr>
          <w:p w14:paraId="2F05B19E" w14:textId="69230588" w:rsidR="00ED5D94" w:rsidRPr="00A41991" w:rsidRDefault="00ED5D94" w:rsidP="00D61F5D">
            <w:pPr>
              <w:keepNext/>
              <w:keepLines/>
              <w:tabs>
                <w:tab w:val="clear" w:pos="567"/>
                <w:tab w:val="clear" w:pos="1134"/>
                <w:tab w:val="clear" w:pos="1701"/>
                <w:tab w:val="clear" w:pos="2268"/>
                <w:tab w:val="clear" w:pos="2835"/>
              </w:tabs>
              <w:spacing w:before="20" w:after="20"/>
              <w:jc w:val="center"/>
              <w:rPr>
                <w:rFonts w:cs="Arial"/>
                <w:b/>
                <w:bCs/>
                <w:sz w:val="22"/>
                <w:szCs w:val="22"/>
                <w:lang w:val="fr-CH" w:eastAsia="zh-CN"/>
              </w:rPr>
            </w:pPr>
            <w:hyperlink r:id="rId15" w:history="1">
              <w:r w:rsidRPr="00A87443">
                <w:rPr>
                  <w:rStyle w:val="Hyperlink"/>
                  <w:rFonts w:cs="Arial"/>
                  <w:sz w:val="22"/>
                  <w:lang w:val="en-US" w:eastAsia="zh-CN"/>
                </w:rPr>
                <w:t>123</w:t>
              </w:r>
            </w:hyperlink>
          </w:p>
        </w:tc>
      </w:tr>
      <w:tr w:rsidR="00ED5D94" w:rsidRPr="00A41991" w14:paraId="4EBD0D9F" w14:textId="77777777" w:rsidTr="00ED5D94">
        <w:trPr>
          <w:jc w:val="center"/>
        </w:trPr>
        <w:tc>
          <w:tcPr>
            <w:tcW w:w="1696" w:type="dxa"/>
            <w:tcBorders>
              <w:top w:val="single" w:sz="4" w:space="0" w:color="auto"/>
              <w:left w:val="single" w:sz="4" w:space="0" w:color="auto"/>
              <w:bottom w:val="single" w:sz="4" w:space="0" w:color="auto"/>
              <w:right w:val="nil"/>
            </w:tcBorders>
            <w:hideMark/>
          </w:tcPr>
          <w:p w14:paraId="74589847" w14:textId="6BB093E1" w:rsidR="00ED5D94" w:rsidRPr="00A41991" w:rsidRDefault="00ED5D94" w:rsidP="00D61F5D">
            <w:pPr>
              <w:keepNext/>
              <w:keepLines/>
              <w:tabs>
                <w:tab w:val="clear" w:pos="567"/>
                <w:tab w:val="clear" w:pos="1134"/>
                <w:tab w:val="clear" w:pos="1701"/>
                <w:tab w:val="clear" w:pos="2268"/>
                <w:tab w:val="clear" w:pos="2835"/>
              </w:tabs>
              <w:spacing w:before="20" w:after="20"/>
              <w:rPr>
                <w:sz w:val="22"/>
                <w:lang w:val="fr-CH" w:eastAsia="zh-CN"/>
              </w:rPr>
            </w:pPr>
            <w:r w:rsidRPr="00890A5E">
              <w:rPr>
                <w:rFonts w:cs="Arial"/>
                <w:bCs/>
                <w:sz w:val="22"/>
                <w:szCs w:val="22"/>
                <w:lang w:val="fr-CH" w:eastAsia="zh-CN"/>
              </w:rPr>
              <w:t xml:space="preserve">Décision </w:t>
            </w:r>
            <w:r w:rsidRPr="00ED5D94">
              <w:rPr>
                <w:rFonts w:cs="Arial"/>
                <w:b/>
                <w:sz w:val="22"/>
                <w:szCs w:val="22"/>
                <w:lang w:val="fr-CH" w:eastAsia="zh-CN"/>
              </w:rPr>
              <w:t>645</w:t>
            </w:r>
          </w:p>
        </w:tc>
        <w:tc>
          <w:tcPr>
            <w:tcW w:w="7629" w:type="dxa"/>
            <w:tcBorders>
              <w:top w:val="single" w:sz="4" w:space="0" w:color="auto"/>
              <w:left w:val="nil"/>
              <w:bottom w:val="single" w:sz="4" w:space="0" w:color="auto"/>
              <w:right w:val="single" w:sz="4" w:space="0" w:color="auto"/>
            </w:tcBorders>
          </w:tcPr>
          <w:p w14:paraId="1008CB2A" w14:textId="47265AF5" w:rsidR="00ED5D94" w:rsidRPr="00A41991" w:rsidRDefault="00ED5D94" w:rsidP="00D61F5D">
            <w:pPr>
              <w:keepNext/>
              <w:keepLines/>
              <w:tabs>
                <w:tab w:val="clear" w:pos="567"/>
                <w:tab w:val="clear" w:pos="1134"/>
                <w:tab w:val="clear" w:pos="1701"/>
                <w:tab w:val="clear" w:pos="2268"/>
                <w:tab w:val="clear" w:pos="2835"/>
              </w:tabs>
              <w:spacing w:before="20" w:after="20"/>
              <w:rPr>
                <w:sz w:val="22"/>
                <w:lang w:val="fr-CH" w:eastAsia="zh-CN"/>
              </w:rPr>
            </w:pPr>
            <w:r w:rsidRPr="00890A5E">
              <w:rPr>
                <w:rFonts w:cs="Arial"/>
                <w:bCs/>
                <w:sz w:val="22"/>
                <w:szCs w:val="22"/>
                <w:lang w:val="fr-CH" w:eastAsia="zh-CN"/>
              </w:rPr>
              <w:t>Passation par pertes et profits d'intérêts moratoires et de créances irrécupérables</w:t>
            </w:r>
          </w:p>
        </w:tc>
        <w:tc>
          <w:tcPr>
            <w:tcW w:w="881" w:type="dxa"/>
            <w:shd w:val="clear" w:color="auto" w:fill="auto"/>
            <w:tcMar>
              <w:top w:w="0" w:type="dxa"/>
              <w:left w:w="57" w:type="dxa"/>
              <w:bottom w:w="0" w:type="dxa"/>
              <w:right w:w="57" w:type="dxa"/>
            </w:tcMar>
          </w:tcPr>
          <w:p w14:paraId="3C66CC6C" w14:textId="7F981A07" w:rsidR="00ED5D94" w:rsidRPr="00A41991" w:rsidRDefault="00ED5D94" w:rsidP="00D61F5D">
            <w:pPr>
              <w:keepNext/>
              <w:keepLines/>
              <w:tabs>
                <w:tab w:val="clear" w:pos="567"/>
                <w:tab w:val="clear" w:pos="1134"/>
                <w:tab w:val="clear" w:pos="1701"/>
                <w:tab w:val="clear" w:pos="2268"/>
                <w:tab w:val="clear" w:pos="2835"/>
              </w:tabs>
              <w:spacing w:before="20" w:after="20"/>
              <w:jc w:val="center"/>
              <w:rPr>
                <w:rFonts w:cs="Arial"/>
                <w:b/>
                <w:bCs/>
                <w:sz w:val="22"/>
                <w:szCs w:val="22"/>
                <w:lang w:val="fr-CH" w:eastAsia="zh-CN"/>
              </w:rPr>
            </w:pPr>
            <w:hyperlink r:id="rId16" w:history="1">
              <w:r w:rsidRPr="00A87443">
                <w:rPr>
                  <w:rStyle w:val="Hyperlink"/>
                  <w:rFonts w:cs="Arial"/>
                  <w:sz w:val="22"/>
                  <w:lang w:val="en-US" w:eastAsia="zh-CN"/>
                </w:rPr>
                <w:t>124</w:t>
              </w:r>
            </w:hyperlink>
          </w:p>
        </w:tc>
      </w:tr>
    </w:tbl>
    <w:p w14:paraId="37D0A96C" w14:textId="77777777" w:rsidR="00A41991" w:rsidRPr="00A41991" w:rsidRDefault="00A41991" w:rsidP="00A41991">
      <w:pPr>
        <w:tabs>
          <w:tab w:val="clear" w:pos="567"/>
          <w:tab w:val="clear" w:pos="1134"/>
          <w:tab w:val="clear" w:pos="1701"/>
          <w:tab w:val="clear" w:pos="2268"/>
          <w:tab w:val="clear" w:pos="2835"/>
        </w:tabs>
        <w:spacing w:before="0"/>
        <w:rPr>
          <w:sz w:val="22"/>
          <w:lang w:val="fr-CH"/>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7629"/>
        <w:gridCol w:w="881"/>
      </w:tblGrid>
      <w:tr w:rsidR="00A41991" w:rsidRPr="00A41991" w14:paraId="452731B2" w14:textId="77777777" w:rsidTr="00ED5D94">
        <w:trPr>
          <w:jc w:val="center"/>
        </w:trPr>
        <w:tc>
          <w:tcPr>
            <w:tcW w:w="932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00653B" w14:textId="77777777" w:rsidR="00A41991" w:rsidRPr="00A41991" w:rsidRDefault="00A41991" w:rsidP="00D61F5D">
            <w:pPr>
              <w:tabs>
                <w:tab w:val="clear" w:pos="567"/>
                <w:tab w:val="clear" w:pos="1134"/>
                <w:tab w:val="clear" w:pos="1701"/>
                <w:tab w:val="clear" w:pos="2268"/>
                <w:tab w:val="clear" w:pos="2835"/>
              </w:tabs>
              <w:spacing w:before="80" w:after="80"/>
              <w:jc w:val="center"/>
              <w:rPr>
                <w:b/>
                <w:sz w:val="22"/>
                <w:lang w:val="fr-CH" w:eastAsia="zh-CN"/>
              </w:rPr>
            </w:pPr>
            <w:r w:rsidRPr="00A41991">
              <w:rPr>
                <w:rFonts w:cs="Arial"/>
                <w:b/>
                <w:bCs/>
                <w:sz w:val="22"/>
                <w:szCs w:val="22"/>
                <w:lang w:val="fr-CH" w:eastAsia="zh-CN"/>
              </w:rPr>
              <w:t>Décisions modifiées</w:t>
            </w:r>
          </w:p>
        </w:tc>
        <w:tc>
          <w:tcPr>
            <w:tcW w:w="8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hideMark/>
          </w:tcPr>
          <w:p w14:paraId="39386FD6" w14:textId="3E659E2B" w:rsidR="00A41991" w:rsidRPr="00A41991" w:rsidRDefault="00A41991" w:rsidP="00D61F5D">
            <w:pPr>
              <w:tabs>
                <w:tab w:val="clear" w:pos="567"/>
                <w:tab w:val="clear" w:pos="1134"/>
                <w:tab w:val="clear" w:pos="1701"/>
                <w:tab w:val="clear" w:pos="2268"/>
                <w:tab w:val="clear" w:pos="2835"/>
              </w:tabs>
              <w:spacing w:before="80" w:after="80"/>
              <w:jc w:val="center"/>
              <w:rPr>
                <w:b/>
                <w:sz w:val="22"/>
                <w:lang w:val="fr-CH" w:eastAsia="zh-CN"/>
              </w:rPr>
            </w:pPr>
            <w:r w:rsidRPr="00A41991">
              <w:rPr>
                <w:b/>
                <w:sz w:val="22"/>
                <w:lang w:val="fr-CH" w:eastAsia="zh-CN"/>
              </w:rPr>
              <w:t>C2</w:t>
            </w:r>
            <w:r w:rsidR="00D61F5D">
              <w:rPr>
                <w:b/>
                <w:sz w:val="22"/>
                <w:lang w:val="fr-CH" w:eastAsia="zh-CN"/>
              </w:rPr>
              <w:t>5</w:t>
            </w:r>
            <w:r w:rsidRPr="00A41991">
              <w:rPr>
                <w:b/>
                <w:sz w:val="22"/>
                <w:lang w:val="fr-CH" w:eastAsia="zh-CN"/>
              </w:rPr>
              <w:t>/#</w:t>
            </w:r>
          </w:p>
        </w:tc>
      </w:tr>
      <w:tr w:rsidR="00ED5D94" w:rsidRPr="00A41991" w14:paraId="325EF9A3" w14:textId="77777777" w:rsidTr="00ED5D94">
        <w:trPr>
          <w:jc w:val="center"/>
        </w:trPr>
        <w:tc>
          <w:tcPr>
            <w:tcW w:w="1696" w:type="dxa"/>
            <w:tcBorders>
              <w:top w:val="single" w:sz="4" w:space="0" w:color="auto"/>
              <w:left w:val="single" w:sz="4" w:space="0" w:color="auto"/>
              <w:bottom w:val="single" w:sz="4" w:space="0" w:color="auto"/>
              <w:right w:val="nil"/>
            </w:tcBorders>
            <w:hideMark/>
          </w:tcPr>
          <w:p w14:paraId="41960987" w14:textId="7025FDA2" w:rsidR="00ED5D94" w:rsidRPr="00A41991" w:rsidRDefault="00ED5D94" w:rsidP="00D61F5D">
            <w:pPr>
              <w:tabs>
                <w:tab w:val="clear" w:pos="567"/>
                <w:tab w:val="clear" w:pos="1134"/>
                <w:tab w:val="clear" w:pos="1701"/>
                <w:tab w:val="clear" w:pos="2268"/>
                <w:tab w:val="clear" w:pos="2835"/>
              </w:tabs>
              <w:spacing w:before="20" w:after="20"/>
              <w:rPr>
                <w:sz w:val="22"/>
                <w:lang w:val="fr-CH" w:eastAsia="zh-CN"/>
              </w:rPr>
            </w:pPr>
            <w:r w:rsidRPr="00890A5E">
              <w:rPr>
                <w:rFonts w:cs="Arial"/>
                <w:bCs/>
                <w:sz w:val="22"/>
                <w:szCs w:val="22"/>
                <w:lang w:val="fr-CH" w:eastAsia="zh-CN"/>
              </w:rPr>
              <w:t xml:space="preserve">Décision </w:t>
            </w:r>
            <w:r w:rsidRPr="00ED5D94">
              <w:rPr>
                <w:rFonts w:cs="Arial"/>
                <w:b/>
                <w:sz w:val="22"/>
                <w:szCs w:val="22"/>
                <w:lang w:val="fr-CH" w:eastAsia="zh-CN"/>
              </w:rPr>
              <w:t>482</w:t>
            </w:r>
          </w:p>
        </w:tc>
        <w:tc>
          <w:tcPr>
            <w:tcW w:w="7629" w:type="dxa"/>
            <w:tcBorders>
              <w:top w:val="single" w:sz="4" w:space="0" w:color="auto"/>
              <w:left w:val="nil"/>
              <w:bottom w:val="single" w:sz="4" w:space="0" w:color="auto"/>
              <w:right w:val="single" w:sz="4" w:space="0" w:color="auto"/>
            </w:tcBorders>
          </w:tcPr>
          <w:p w14:paraId="0BAA420C" w14:textId="77973FBE" w:rsidR="00ED5D94" w:rsidRPr="00A41991" w:rsidRDefault="00ED5D94" w:rsidP="00D61F5D">
            <w:pPr>
              <w:tabs>
                <w:tab w:val="clear" w:pos="567"/>
                <w:tab w:val="clear" w:pos="1134"/>
                <w:tab w:val="clear" w:pos="1701"/>
                <w:tab w:val="clear" w:pos="2268"/>
                <w:tab w:val="clear" w:pos="2835"/>
              </w:tabs>
              <w:spacing w:before="20" w:after="20"/>
              <w:rPr>
                <w:sz w:val="22"/>
                <w:lang w:val="fr-CH" w:eastAsia="zh-CN"/>
              </w:rPr>
            </w:pPr>
            <w:r w:rsidRPr="00890A5E">
              <w:rPr>
                <w:rFonts w:cs="Arial"/>
                <w:bCs/>
                <w:sz w:val="22"/>
                <w:szCs w:val="22"/>
                <w:lang w:val="fr-CH" w:eastAsia="zh-CN"/>
              </w:rPr>
              <w:t>Mise en œuvre du recouvrement des coûts pour le traitement des fiches de notification des réseaux à satellite</w:t>
            </w:r>
          </w:p>
        </w:tc>
        <w:tc>
          <w:tcPr>
            <w:tcW w:w="881" w:type="dxa"/>
            <w:shd w:val="clear" w:color="auto" w:fill="auto"/>
            <w:tcMar>
              <w:top w:w="0" w:type="dxa"/>
              <w:left w:w="57" w:type="dxa"/>
              <w:bottom w:w="0" w:type="dxa"/>
              <w:right w:w="57" w:type="dxa"/>
            </w:tcMar>
            <w:hideMark/>
          </w:tcPr>
          <w:p w14:paraId="1DB48BAC" w14:textId="15BCE290" w:rsidR="00ED5D94" w:rsidRPr="00A41991" w:rsidRDefault="00ED5D94" w:rsidP="00D61F5D">
            <w:pPr>
              <w:tabs>
                <w:tab w:val="clear" w:pos="567"/>
                <w:tab w:val="clear" w:pos="1134"/>
                <w:tab w:val="clear" w:pos="1701"/>
                <w:tab w:val="clear" w:pos="2268"/>
                <w:tab w:val="clear" w:pos="2835"/>
              </w:tabs>
              <w:spacing w:before="20" w:after="20"/>
              <w:jc w:val="center"/>
              <w:rPr>
                <w:color w:val="0563C1"/>
                <w:sz w:val="22"/>
                <w:u w:val="single"/>
                <w:lang w:val="fr-CH"/>
              </w:rPr>
            </w:pPr>
            <w:hyperlink r:id="rId17" w:history="1">
              <w:r w:rsidRPr="00A87443">
                <w:rPr>
                  <w:rStyle w:val="Hyperlink"/>
                  <w:sz w:val="22"/>
                </w:rPr>
                <w:t>125</w:t>
              </w:r>
            </w:hyperlink>
          </w:p>
        </w:tc>
      </w:tr>
      <w:tr w:rsidR="00ED5D94" w:rsidRPr="00A41991" w14:paraId="10D1FFE4" w14:textId="77777777" w:rsidTr="00ED5D94">
        <w:trPr>
          <w:jc w:val="center"/>
        </w:trPr>
        <w:tc>
          <w:tcPr>
            <w:tcW w:w="1696" w:type="dxa"/>
            <w:tcBorders>
              <w:top w:val="single" w:sz="4" w:space="0" w:color="auto"/>
              <w:left w:val="single" w:sz="4" w:space="0" w:color="auto"/>
              <w:bottom w:val="single" w:sz="4" w:space="0" w:color="auto"/>
              <w:right w:val="nil"/>
            </w:tcBorders>
          </w:tcPr>
          <w:p w14:paraId="3F59DD60" w14:textId="7C801ED1" w:rsidR="00ED5D94" w:rsidRPr="00A41991" w:rsidRDefault="00ED5D94" w:rsidP="00D61F5D">
            <w:pPr>
              <w:tabs>
                <w:tab w:val="clear" w:pos="567"/>
                <w:tab w:val="clear" w:pos="1134"/>
                <w:tab w:val="clear" w:pos="1701"/>
                <w:tab w:val="clear" w:pos="2268"/>
                <w:tab w:val="clear" w:pos="2835"/>
              </w:tabs>
              <w:spacing w:before="20" w:after="20"/>
              <w:rPr>
                <w:rFonts w:cs="Arial"/>
                <w:bCs/>
                <w:sz w:val="22"/>
                <w:szCs w:val="22"/>
                <w:lang w:val="fr-CH" w:eastAsia="zh-CN"/>
              </w:rPr>
            </w:pPr>
            <w:r w:rsidRPr="00890A5E">
              <w:rPr>
                <w:rFonts w:cs="Arial"/>
                <w:bCs/>
                <w:sz w:val="22"/>
                <w:szCs w:val="22"/>
                <w:lang w:val="fr-CH" w:eastAsia="zh-CN"/>
              </w:rPr>
              <w:t xml:space="preserve">Décision </w:t>
            </w:r>
            <w:r w:rsidRPr="00ED5D94">
              <w:rPr>
                <w:rFonts w:cs="Arial"/>
                <w:b/>
                <w:sz w:val="22"/>
                <w:szCs w:val="22"/>
                <w:lang w:val="fr-CH" w:eastAsia="zh-CN"/>
              </w:rPr>
              <w:t>641</w:t>
            </w:r>
          </w:p>
        </w:tc>
        <w:tc>
          <w:tcPr>
            <w:tcW w:w="7629" w:type="dxa"/>
            <w:tcBorders>
              <w:top w:val="single" w:sz="4" w:space="0" w:color="auto"/>
              <w:left w:val="nil"/>
              <w:bottom w:val="single" w:sz="4" w:space="0" w:color="auto"/>
              <w:right w:val="single" w:sz="4" w:space="0" w:color="auto"/>
            </w:tcBorders>
          </w:tcPr>
          <w:p w14:paraId="71831CDA" w14:textId="27C2CF4B" w:rsidR="00ED5D94" w:rsidRPr="00A41991" w:rsidRDefault="00ED5D94" w:rsidP="00D61F5D">
            <w:pPr>
              <w:tabs>
                <w:tab w:val="clear" w:pos="567"/>
                <w:tab w:val="clear" w:pos="1134"/>
                <w:tab w:val="clear" w:pos="1701"/>
                <w:tab w:val="clear" w:pos="2268"/>
                <w:tab w:val="clear" w:pos="2835"/>
              </w:tabs>
              <w:spacing w:before="20" w:after="20"/>
              <w:rPr>
                <w:rFonts w:cs="Arial"/>
                <w:bCs/>
                <w:sz w:val="22"/>
                <w:szCs w:val="22"/>
                <w:lang w:val="fr-CH" w:eastAsia="zh-CN"/>
              </w:rPr>
            </w:pPr>
            <w:r w:rsidRPr="00890A5E">
              <w:rPr>
                <w:rFonts w:cs="Arial"/>
                <w:bCs/>
                <w:sz w:val="22"/>
                <w:szCs w:val="22"/>
                <w:lang w:val="fr-CH" w:eastAsia="zh-CN"/>
              </w:rPr>
              <w:t>Septième Forum mondial des politiques de télécommunication/technologies de l'information et de la communication</w:t>
            </w:r>
          </w:p>
        </w:tc>
        <w:tc>
          <w:tcPr>
            <w:tcW w:w="881" w:type="dxa"/>
            <w:shd w:val="clear" w:color="auto" w:fill="auto"/>
            <w:tcMar>
              <w:top w:w="0" w:type="dxa"/>
              <w:left w:w="57" w:type="dxa"/>
              <w:bottom w:w="0" w:type="dxa"/>
              <w:right w:w="57" w:type="dxa"/>
            </w:tcMar>
          </w:tcPr>
          <w:p w14:paraId="4DF6D18D" w14:textId="0A4C5E32" w:rsidR="00ED5D94" w:rsidRPr="00A41991" w:rsidRDefault="00ED5D94" w:rsidP="00D61F5D">
            <w:pPr>
              <w:tabs>
                <w:tab w:val="clear" w:pos="567"/>
                <w:tab w:val="clear" w:pos="1134"/>
                <w:tab w:val="clear" w:pos="1701"/>
                <w:tab w:val="clear" w:pos="2268"/>
                <w:tab w:val="clear" w:pos="2835"/>
              </w:tabs>
              <w:spacing w:before="20" w:after="20"/>
              <w:jc w:val="center"/>
              <w:rPr>
                <w:sz w:val="22"/>
              </w:rPr>
            </w:pPr>
            <w:hyperlink r:id="rId18" w:history="1">
              <w:r w:rsidRPr="00A87443">
                <w:rPr>
                  <w:rStyle w:val="Hyperlink"/>
                  <w:sz w:val="22"/>
                </w:rPr>
                <w:t>126</w:t>
              </w:r>
            </w:hyperlink>
          </w:p>
        </w:tc>
      </w:tr>
    </w:tbl>
    <w:p w14:paraId="7005D45E" w14:textId="6352965B" w:rsidR="00A41991" w:rsidRDefault="00A41991" w:rsidP="00D61F5D">
      <w:pPr>
        <w:spacing w:before="240"/>
        <w:jc w:val="center"/>
        <w:rPr>
          <w:lang w:val="fr-CH"/>
        </w:rPr>
      </w:pPr>
      <w:r w:rsidRPr="00A41991">
        <w:rPr>
          <w:lang w:val="fr-CH"/>
        </w:rPr>
        <w:t>______________</w:t>
      </w:r>
    </w:p>
    <w:sectPr w:rsidR="00A41991" w:rsidSect="00D72F49">
      <w:headerReference w:type="even" r:id="rId19"/>
      <w:footerReference w:type="even" r:id="rId20"/>
      <w:footerReference w:type="default" r:id="rId21"/>
      <w:headerReference w:type="first" r:id="rId22"/>
      <w:footerReference w:type="first" r:id="rId23"/>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8E9E6" w14:textId="77777777" w:rsidR="00566679" w:rsidRDefault="00566679">
      <w:r>
        <w:separator/>
      </w:r>
    </w:p>
  </w:endnote>
  <w:endnote w:type="continuationSeparator" w:id="0">
    <w:p w14:paraId="3D4797BD" w14:textId="77777777" w:rsidR="00566679" w:rsidRDefault="00566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F0A98" w14:textId="136BD0B6" w:rsidR="00732045" w:rsidRDefault="00E4428F">
    <w:pPr>
      <w:pStyle w:val="Footer"/>
    </w:pPr>
    <w:fldSimple w:instr=" FILENAME \p \* MERGEFORMAT ">
      <w:r>
        <w:t>Document4</w:t>
      </w:r>
    </w:fldSimple>
    <w:r w:rsidR="00732045">
      <w:tab/>
    </w:r>
    <w:r w:rsidR="002F1B76">
      <w:fldChar w:fldCharType="begin"/>
    </w:r>
    <w:r w:rsidR="00732045">
      <w:instrText xml:space="preserve"> savedate \@ dd.MM.yy </w:instrText>
    </w:r>
    <w:r w:rsidR="002F1B76">
      <w:fldChar w:fldCharType="separate"/>
    </w:r>
    <w:r w:rsidR="00ED5D94">
      <w:t>09.09.25</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4C87AA90" w14:textId="77777777" w:rsidTr="00E31DCE">
      <w:trPr>
        <w:jc w:val="center"/>
      </w:trPr>
      <w:tc>
        <w:tcPr>
          <w:tcW w:w="1803" w:type="dxa"/>
          <w:vAlign w:val="center"/>
        </w:tcPr>
        <w:p w14:paraId="2C2E77A4" w14:textId="26D562CB" w:rsidR="00A51849" w:rsidRDefault="00FC6D7D" w:rsidP="00A51849">
          <w:pPr>
            <w:pStyle w:val="Header"/>
            <w:jc w:val="left"/>
            <w:rPr>
              <w:noProof/>
            </w:rPr>
          </w:pPr>
          <w:r>
            <w:rPr>
              <w:noProof/>
            </w:rPr>
            <w:t>gDoc</w:t>
          </w:r>
          <w:r w:rsidR="00A51849">
            <w:rPr>
              <w:noProof/>
            </w:rPr>
            <w:t xml:space="preserve"> #</w:t>
          </w:r>
        </w:p>
      </w:tc>
      <w:tc>
        <w:tcPr>
          <w:tcW w:w="8261" w:type="dxa"/>
        </w:tcPr>
        <w:p w14:paraId="0DB0A3C6" w14:textId="119EC7AA" w:rsidR="00A51849" w:rsidRPr="00E06FD5" w:rsidRDefault="00A51849" w:rsidP="00626C8E">
          <w:pPr>
            <w:pStyle w:val="Header"/>
            <w:tabs>
              <w:tab w:val="left" w:pos="6164"/>
              <w:tab w:val="right" w:pos="8505"/>
              <w:tab w:val="right" w:pos="9639"/>
            </w:tabs>
            <w:jc w:val="left"/>
            <w:rPr>
              <w:rFonts w:ascii="Arial" w:hAnsi="Arial" w:cs="Arial"/>
              <w:b/>
              <w:bCs/>
              <w:szCs w:val="18"/>
            </w:rPr>
          </w:pPr>
          <w:r>
            <w:rPr>
              <w:bCs/>
            </w:rPr>
            <w:tab/>
          </w:r>
          <w:r w:rsidRPr="00623AE3">
            <w:rPr>
              <w:bCs/>
            </w:rPr>
            <w:t>C</w:t>
          </w:r>
          <w:r>
            <w:rPr>
              <w:bCs/>
            </w:rPr>
            <w:t>2</w:t>
          </w:r>
          <w:r w:rsidR="00FC6D7D">
            <w:rPr>
              <w:bCs/>
            </w:rPr>
            <w:t>5</w:t>
          </w:r>
          <w:r w:rsidRPr="00623AE3">
            <w:rPr>
              <w:bCs/>
            </w:rPr>
            <w:t>/xx-</w:t>
          </w:r>
          <w:r w:rsidR="00973F53">
            <w:rPr>
              <w:bCs/>
            </w:rPr>
            <w:t>F</w:t>
          </w:r>
          <w:r>
            <w:rPr>
              <w:bCs/>
            </w:rPr>
            <w:tab/>
          </w:r>
          <w:r>
            <w:fldChar w:fldCharType="begin"/>
          </w:r>
          <w:r>
            <w:instrText>PAGE</w:instrText>
          </w:r>
          <w:r>
            <w:fldChar w:fldCharType="separate"/>
          </w:r>
          <w:r>
            <w:t>1</w:t>
          </w:r>
          <w:r>
            <w:rPr>
              <w:noProof/>
            </w:rPr>
            <w:fldChar w:fldCharType="end"/>
          </w:r>
        </w:p>
      </w:tc>
    </w:tr>
  </w:tbl>
  <w:p w14:paraId="0BA722AB" w14:textId="135E80DA"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5C9C0095" w14:textId="77777777" w:rsidTr="00E31DCE">
      <w:trPr>
        <w:jc w:val="center"/>
      </w:trPr>
      <w:tc>
        <w:tcPr>
          <w:tcW w:w="1803" w:type="dxa"/>
          <w:vAlign w:val="center"/>
        </w:tcPr>
        <w:p w14:paraId="5151DAA0" w14:textId="56EEA0CE" w:rsidR="00A51849" w:rsidRPr="00FC6D7D" w:rsidRDefault="00552851" w:rsidP="00A51849">
          <w:pPr>
            <w:pStyle w:val="Header"/>
            <w:jc w:val="left"/>
            <w:rPr>
              <w:noProof/>
              <w:color w:val="0563C1"/>
            </w:rPr>
          </w:pPr>
          <w:hyperlink r:id="rId1" w:history="1">
            <w:r w:rsidRPr="00FF3EB2">
              <w:rPr>
                <w:rStyle w:val="Hyperlink"/>
                <w:rFonts w:cs="Times New Roman"/>
                <w:szCs w:val="20"/>
              </w:rPr>
              <w:t>council.itu.int/2025</w:t>
            </w:r>
          </w:hyperlink>
        </w:p>
      </w:tc>
      <w:tc>
        <w:tcPr>
          <w:tcW w:w="8261" w:type="dxa"/>
        </w:tcPr>
        <w:p w14:paraId="4C3D0956" w14:textId="170856E9" w:rsidR="00A51849" w:rsidRPr="00E06FD5" w:rsidRDefault="00A51849" w:rsidP="00626C8E">
          <w:pPr>
            <w:pStyle w:val="Header"/>
            <w:tabs>
              <w:tab w:val="left" w:pos="6448"/>
              <w:tab w:val="right" w:pos="8505"/>
              <w:tab w:val="right" w:pos="9639"/>
            </w:tabs>
            <w:jc w:val="left"/>
            <w:rPr>
              <w:rFonts w:ascii="Arial" w:hAnsi="Arial" w:cs="Arial"/>
              <w:b/>
              <w:bCs/>
              <w:szCs w:val="18"/>
            </w:rPr>
          </w:pPr>
          <w:r>
            <w:rPr>
              <w:bCs/>
            </w:rPr>
            <w:tab/>
          </w:r>
          <w:r w:rsidRPr="00623AE3">
            <w:rPr>
              <w:bCs/>
            </w:rPr>
            <w:t>C</w:t>
          </w:r>
          <w:r>
            <w:rPr>
              <w:bCs/>
            </w:rPr>
            <w:t>2</w:t>
          </w:r>
          <w:r w:rsidR="00FC6D7D">
            <w:rPr>
              <w:bCs/>
            </w:rPr>
            <w:t>5</w:t>
          </w:r>
          <w:r w:rsidRPr="00623AE3">
            <w:rPr>
              <w:bCs/>
            </w:rPr>
            <w:t>/</w:t>
          </w:r>
          <w:r w:rsidR="003351D7">
            <w:rPr>
              <w:bCs/>
            </w:rPr>
            <w:t>127</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67CF33E3" w14:textId="583E01FD"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12B46" w14:textId="77777777" w:rsidR="00566679" w:rsidRDefault="00566679">
      <w:r>
        <w:t>____________________</w:t>
      </w:r>
    </w:p>
  </w:footnote>
  <w:footnote w:type="continuationSeparator" w:id="0">
    <w:p w14:paraId="073173F3" w14:textId="77777777" w:rsidR="00566679" w:rsidRDefault="00566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DD4A7"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40E3D5AC"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gridCol w:w="4703"/>
    </w:tblGrid>
    <w:tr w:rsidR="00524E8D" w:rsidRPr="00784011" w14:paraId="7EBFBFBD" w14:textId="77777777" w:rsidTr="00D37B53">
      <w:trPr>
        <w:trHeight w:val="1104"/>
        <w:jc w:val="center"/>
      </w:trPr>
      <w:tc>
        <w:tcPr>
          <w:tcW w:w="5317" w:type="dxa"/>
          <w:vAlign w:val="center"/>
        </w:tcPr>
        <w:p w14:paraId="4F0D2AF6" w14:textId="305A178E" w:rsidR="00524E8D" w:rsidRDefault="00524E8D" w:rsidP="00A51849">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0B4667F9" wp14:editId="715336B3">
                <wp:extent cx="3239444" cy="612000"/>
                <wp:effectExtent l="0" t="0" r="0" b="0"/>
                <wp:docPr id="634183481"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183481" name="Picture 1"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r="11653"/>
                        <a:stretch/>
                      </pic:blipFill>
                      <pic:spPr bwMode="auto">
                        <a:xfrm>
                          <a:off x="0" y="0"/>
                          <a:ext cx="3239444" cy="612000"/>
                        </a:xfrm>
                        <a:prstGeom prst="rect">
                          <a:avLst/>
                        </a:prstGeom>
                        <a:ln>
                          <a:noFill/>
                        </a:ln>
                        <a:extLst>
                          <a:ext uri="{53640926-AAD7-44D8-BBD7-CCE9431645EC}">
                            <a14:shadowObscured xmlns:a14="http://schemas.microsoft.com/office/drawing/2010/main"/>
                          </a:ext>
                        </a:extLst>
                      </pic:spPr>
                    </pic:pic>
                  </a:graphicData>
                </a:graphic>
              </wp:inline>
            </w:drawing>
          </w:r>
        </w:p>
      </w:tc>
      <w:tc>
        <w:tcPr>
          <w:tcW w:w="4703" w:type="dxa"/>
        </w:tcPr>
        <w:p w14:paraId="47360738" w14:textId="77777777" w:rsidR="00524E8D" w:rsidRDefault="00524E8D" w:rsidP="00A51849">
          <w:pPr>
            <w:pStyle w:val="Header"/>
            <w:jc w:val="right"/>
            <w:rPr>
              <w:rFonts w:ascii="Arial" w:hAnsi="Arial" w:cs="Arial"/>
              <w:b/>
              <w:bCs/>
              <w:color w:val="009CD6"/>
              <w:szCs w:val="18"/>
            </w:rPr>
          </w:pPr>
        </w:p>
      </w:tc>
    </w:tr>
  </w:tbl>
  <w:p w14:paraId="7203532F" w14:textId="77777777" w:rsidR="00A51849" w:rsidRDefault="00A5184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2C0D2914" wp14:editId="5C4CC5B7">
              <wp:simplePos x="0" y="0"/>
              <wp:positionH relativeFrom="page">
                <wp:posOffset>3479</wp:posOffset>
              </wp:positionH>
              <wp:positionV relativeFrom="topMargin">
                <wp:posOffset>600710</wp:posOffset>
              </wp:positionV>
              <wp:extent cx="108000" cy="396000"/>
              <wp:effectExtent l="0" t="0" r="6350" b="44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 cy="3960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FFDD1" id="Rectangle 5" o:spid="_x0000_s1026" style="position:absolute;margin-left:.25pt;margin-top:47.3pt;width:8.5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" fillcolor="#009cd5" stroked="f">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28F"/>
    <w:rsid w:val="0006007D"/>
    <w:rsid w:val="00076A2C"/>
    <w:rsid w:val="000D0D0A"/>
    <w:rsid w:val="00103163"/>
    <w:rsid w:val="00106B19"/>
    <w:rsid w:val="001133EF"/>
    <w:rsid w:val="00115D93"/>
    <w:rsid w:val="001247A8"/>
    <w:rsid w:val="00125266"/>
    <w:rsid w:val="001370B2"/>
    <w:rsid w:val="001378C0"/>
    <w:rsid w:val="0018694A"/>
    <w:rsid w:val="001A3287"/>
    <w:rsid w:val="001A6508"/>
    <w:rsid w:val="001D4C31"/>
    <w:rsid w:val="001E4D21"/>
    <w:rsid w:val="00207CD1"/>
    <w:rsid w:val="00226657"/>
    <w:rsid w:val="002477A2"/>
    <w:rsid w:val="00263A51"/>
    <w:rsid w:val="00267E02"/>
    <w:rsid w:val="002A5D44"/>
    <w:rsid w:val="002B290D"/>
    <w:rsid w:val="002C4E3D"/>
    <w:rsid w:val="002E0BC4"/>
    <w:rsid w:val="002F1B76"/>
    <w:rsid w:val="003351D7"/>
    <w:rsid w:val="0033568E"/>
    <w:rsid w:val="00341F42"/>
    <w:rsid w:val="00355FF5"/>
    <w:rsid w:val="00361350"/>
    <w:rsid w:val="003C3FAE"/>
    <w:rsid w:val="004038CB"/>
    <w:rsid w:val="0040546F"/>
    <w:rsid w:val="004177BD"/>
    <w:rsid w:val="0042404A"/>
    <w:rsid w:val="0044618F"/>
    <w:rsid w:val="0046769A"/>
    <w:rsid w:val="00475FB3"/>
    <w:rsid w:val="004C37A9"/>
    <w:rsid w:val="004D1D50"/>
    <w:rsid w:val="004F259E"/>
    <w:rsid w:val="0050274F"/>
    <w:rsid w:val="00504193"/>
    <w:rsid w:val="00511F1D"/>
    <w:rsid w:val="00520F36"/>
    <w:rsid w:val="00524E8D"/>
    <w:rsid w:val="00534E13"/>
    <w:rsid w:val="00540615"/>
    <w:rsid w:val="00540A6D"/>
    <w:rsid w:val="00552851"/>
    <w:rsid w:val="00566679"/>
    <w:rsid w:val="00571EEA"/>
    <w:rsid w:val="00575417"/>
    <w:rsid w:val="005768E1"/>
    <w:rsid w:val="005B1938"/>
    <w:rsid w:val="005C3890"/>
    <w:rsid w:val="005D1850"/>
    <w:rsid w:val="005D7113"/>
    <w:rsid w:val="005F7BFE"/>
    <w:rsid w:val="00600017"/>
    <w:rsid w:val="006235CA"/>
    <w:rsid w:val="0062366E"/>
    <w:rsid w:val="00626C8E"/>
    <w:rsid w:val="00644EC6"/>
    <w:rsid w:val="006608C0"/>
    <w:rsid w:val="006643AB"/>
    <w:rsid w:val="006A11AE"/>
    <w:rsid w:val="006F0A53"/>
    <w:rsid w:val="007210CD"/>
    <w:rsid w:val="007318E5"/>
    <w:rsid w:val="00732045"/>
    <w:rsid w:val="0073275D"/>
    <w:rsid w:val="007369DB"/>
    <w:rsid w:val="0074343D"/>
    <w:rsid w:val="00750CA1"/>
    <w:rsid w:val="0077110E"/>
    <w:rsid w:val="007956C2"/>
    <w:rsid w:val="007A187E"/>
    <w:rsid w:val="007C72C2"/>
    <w:rsid w:val="007D4436"/>
    <w:rsid w:val="007F257A"/>
    <w:rsid w:val="007F3665"/>
    <w:rsid w:val="00800037"/>
    <w:rsid w:val="0082299A"/>
    <w:rsid w:val="0083391C"/>
    <w:rsid w:val="00861D73"/>
    <w:rsid w:val="00890A5E"/>
    <w:rsid w:val="00897553"/>
    <w:rsid w:val="008A4E87"/>
    <w:rsid w:val="008D76E6"/>
    <w:rsid w:val="008E4837"/>
    <w:rsid w:val="0092392D"/>
    <w:rsid w:val="0093234A"/>
    <w:rsid w:val="00956A78"/>
    <w:rsid w:val="0097363B"/>
    <w:rsid w:val="00973F53"/>
    <w:rsid w:val="009A6BAA"/>
    <w:rsid w:val="009C307F"/>
    <w:rsid w:val="009C353C"/>
    <w:rsid w:val="009F0FB8"/>
    <w:rsid w:val="00A2113E"/>
    <w:rsid w:val="00A23A51"/>
    <w:rsid w:val="00A24607"/>
    <w:rsid w:val="00A25CD3"/>
    <w:rsid w:val="00A41991"/>
    <w:rsid w:val="00A51849"/>
    <w:rsid w:val="00A709FE"/>
    <w:rsid w:val="00A73C60"/>
    <w:rsid w:val="00A82767"/>
    <w:rsid w:val="00AA332F"/>
    <w:rsid w:val="00AA7BBB"/>
    <w:rsid w:val="00AB64A8"/>
    <w:rsid w:val="00AC0266"/>
    <w:rsid w:val="00AD24EC"/>
    <w:rsid w:val="00B309F9"/>
    <w:rsid w:val="00B32B60"/>
    <w:rsid w:val="00B51005"/>
    <w:rsid w:val="00B61619"/>
    <w:rsid w:val="00B94A84"/>
    <w:rsid w:val="00BB4545"/>
    <w:rsid w:val="00BD5873"/>
    <w:rsid w:val="00BF4B60"/>
    <w:rsid w:val="00C04BE3"/>
    <w:rsid w:val="00C25D29"/>
    <w:rsid w:val="00C27A7C"/>
    <w:rsid w:val="00C34A09"/>
    <w:rsid w:val="00C42437"/>
    <w:rsid w:val="00C70B42"/>
    <w:rsid w:val="00C96501"/>
    <w:rsid w:val="00CA08ED"/>
    <w:rsid w:val="00CC6EAA"/>
    <w:rsid w:val="00CF183B"/>
    <w:rsid w:val="00CF69E3"/>
    <w:rsid w:val="00D375CD"/>
    <w:rsid w:val="00D37B53"/>
    <w:rsid w:val="00D53480"/>
    <w:rsid w:val="00D553A2"/>
    <w:rsid w:val="00D61F5D"/>
    <w:rsid w:val="00D66CFE"/>
    <w:rsid w:val="00D72F49"/>
    <w:rsid w:val="00D774D3"/>
    <w:rsid w:val="00D904E8"/>
    <w:rsid w:val="00DA08C3"/>
    <w:rsid w:val="00DB5A3E"/>
    <w:rsid w:val="00DC22AA"/>
    <w:rsid w:val="00DD1A99"/>
    <w:rsid w:val="00DF74DD"/>
    <w:rsid w:val="00E15348"/>
    <w:rsid w:val="00E1670D"/>
    <w:rsid w:val="00E25AD0"/>
    <w:rsid w:val="00E2710C"/>
    <w:rsid w:val="00E4428F"/>
    <w:rsid w:val="00E93668"/>
    <w:rsid w:val="00E95647"/>
    <w:rsid w:val="00EB6350"/>
    <w:rsid w:val="00ED5D94"/>
    <w:rsid w:val="00F15B57"/>
    <w:rsid w:val="00F35EF4"/>
    <w:rsid w:val="00F37FE5"/>
    <w:rsid w:val="00F427DB"/>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A3AECB"/>
  <w15:docId w15:val="{324124B1-2BE5-44D1-992B-F824D83A0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116/fr" TargetMode="External"/><Relationship Id="rId13" Type="http://schemas.openxmlformats.org/officeDocument/2006/relationships/hyperlink" Target="https://www.itu.int/md/S25-CL-C-0121/fr" TargetMode="External"/><Relationship Id="rId18" Type="http://schemas.openxmlformats.org/officeDocument/2006/relationships/hyperlink" Target="https://www.itu.int/md/S25-CL-C-0126/fr"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itu.int/md/S25-CL-C-0115/fr" TargetMode="External"/><Relationship Id="rId12" Type="http://schemas.openxmlformats.org/officeDocument/2006/relationships/hyperlink" Target="https://www.itu.int/md/S25-CL-C-0120/fr" TargetMode="External"/><Relationship Id="rId17" Type="http://schemas.openxmlformats.org/officeDocument/2006/relationships/hyperlink" Target="https://www.itu.int/md/S25-CL-C-0125/fr"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tu.int/md/S25-CL-C-0124/f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tu.int/md/S25-CL-C-0119/f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tu.int/md/S25-CL-C-0123/fr" TargetMode="External"/><Relationship Id="rId23" Type="http://schemas.openxmlformats.org/officeDocument/2006/relationships/footer" Target="footer3.xml"/><Relationship Id="rId10" Type="http://schemas.openxmlformats.org/officeDocument/2006/relationships/hyperlink" Target="https://www.itu.int/md/S25-CL-C-0118/f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tu.int/md/S25-CL-C-0117/fr" TargetMode="External"/><Relationship Id="rId14" Type="http://schemas.openxmlformats.org/officeDocument/2006/relationships/hyperlink" Target="https://www.itu.int/md/S25-CL-C-0122/fr" TargetMode="External"/><Relationship Id="rId22"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2EC3C-EE82-4ED1-8DE4-079FCB2E3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253</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Liste des résolutions et décisions du Conseil</vt:lpstr>
    </vt:vector>
  </TitlesOfParts>
  <Manager>GBS</Manager>
  <Company>Union internationale des télécommunications (UIT)</Company>
  <LinksUpToDate>false</LinksUpToDate>
  <CharactersWithSpaces>2367</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Liste des résolutions et décisions du Conseil</dc:title>
  <dc:subject>Conseil 2025 de l'UIT</dc:subject>
  <dc:creator>GBS</dc:creator>
  <cp:keywords>C2025, C25, Council-25</cp:keywords>
  <dc:description/>
  <cp:lastModifiedBy>GBS</cp:lastModifiedBy>
  <cp:revision>7</cp:revision>
  <cp:lastPrinted>2000-07-18T08:55:00Z</cp:lastPrinted>
  <dcterms:created xsi:type="dcterms:W3CDTF">2025-09-05T10:37:00Z</dcterms:created>
  <dcterms:modified xsi:type="dcterms:W3CDTF">2025-09-09T13:56:00Z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