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2985"/>
      </w:tblGrid>
      <w:tr w:rsidR="007B0AA0" w14:paraId="4662AEF5" w14:textId="77777777" w:rsidTr="00474A29">
        <w:tc>
          <w:tcPr>
            <w:tcW w:w="6086" w:type="dxa"/>
          </w:tcPr>
          <w:p w14:paraId="613AB178" w14:textId="2520884B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5" w:type="dxa"/>
          </w:tcPr>
          <w:p w14:paraId="23B7346B" w14:textId="04EB1573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BA321C">
              <w:rPr>
                <w:b/>
                <w:bCs/>
                <w:lang w:bidi="ar-EG"/>
              </w:rPr>
              <w:t>127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BDBFCE1" w14:textId="77777777" w:rsidTr="00474A29">
        <w:tc>
          <w:tcPr>
            <w:tcW w:w="6086" w:type="dxa"/>
          </w:tcPr>
          <w:p w14:paraId="52DECEC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5" w:type="dxa"/>
          </w:tcPr>
          <w:p w14:paraId="48AFD06F" w14:textId="63DC04DD" w:rsidR="007B0AA0" w:rsidRPr="007B0AA0" w:rsidRDefault="00BA321C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</w:t>
            </w:r>
            <w:r>
              <w:rPr>
                <w:b/>
                <w:bCs/>
              </w:rPr>
              <w:t>10</w:t>
            </w:r>
            <w:r>
              <w:rPr>
                <w:rFonts w:hint="cs"/>
                <w:b/>
                <w:bCs/>
                <w:rtl/>
              </w:rPr>
              <w:t xml:space="preserve">‏ سبتمبر‏ </w:t>
            </w:r>
            <w:r>
              <w:rPr>
                <w:b/>
                <w:bCs/>
              </w:rPr>
              <w:t>2025</w:t>
            </w:r>
          </w:p>
        </w:tc>
      </w:tr>
      <w:tr w:rsidR="007B0AA0" w14:paraId="28C85F0F" w14:textId="77777777" w:rsidTr="00474A29">
        <w:tc>
          <w:tcPr>
            <w:tcW w:w="6086" w:type="dxa"/>
          </w:tcPr>
          <w:p w14:paraId="6181134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5" w:type="dxa"/>
          </w:tcPr>
          <w:p w14:paraId="2FCEBA28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637B38D6" w14:textId="77777777" w:rsidTr="00474A29">
        <w:tc>
          <w:tcPr>
            <w:tcW w:w="6086" w:type="dxa"/>
          </w:tcPr>
          <w:p w14:paraId="29F383B7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85" w:type="dxa"/>
          </w:tcPr>
          <w:p w14:paraId="7E10BEF8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04479BF5" w14:textId="77777777" w:rsidTr="00474A29">
        <w:tc>
          <w:tcPr>
            <w:tcW w:w="9071" w:type="dxa"/>
            <w:gridSpan w:val="2"/>
          </w:tcPr>
          <w:p w14:paraId="0940569E" w14:textId="4B7914D9" w:rsidR="007B0AA0" w:rsidRDefault="00474A29" w:rsidP="007B0AA0">
            <w:pPr>
              <w:pStyle w:val="Source"/>
              <w:jc w:val="left"/>
              <w:rPr>
                <w:lang w:bidi="ar-EG"/>
              </w:rPr>
            </w:pPr>
            <w:r w:rsidRPr="00474A29">
              <w:rPr>
                <w:rtl/>
                <w:lang w:bidi="ar-EG"/>
              </w:rPr>
              <w:t>مذكرة من الأمينة العامة</w:t>
            </w:r>
          </w:p>
        </w:tc>
      </w:tr>
      <w:tr w:rsidR="007B0AA0" w14:paraId="2EC18904" w14:textId="77777777" w:rsidTr="00474A29">
        <w:tc>
          <w:tcPr>
            <w:tcW w:w="9071" w:type="dxa"/>
            <w:gridSpan w:val="2"/>
          </w:tcPr>
          <w:p w14:paraId="4A36AE17" w14:textId="49004ACD" w:rsidR="007B0AA0" w:rsidRPr="005546CF" w:rsidRDefault="00474A29" w:rsidP="007B0AA0">
            <w:pPr>
              <w:pStyle w:val="Subtitle0"/>
              <w:rPr>
                <w:sz w:val="32"/>
                <w:szCs w:val="32"/>
              </w:rPr>
            </w:pPr>
            <w:r w:rsidRPr="00474A29">
              <w:rPr>
                <w:sz w:val="32"/>
                <w:szCs w:val="32"/>
                <w:rtl/>
              </w:rPr>
              <w:t>القرارات والمقررات</w:t>
            </w:r>
          </w:p>
        </w:tc>
      </w:tr>
    </w:tbl>
    <w:p w14:paraId="6AA0BBA9" w14:textId="181E66CB" w:rsidR="00E61BE8" w:rsidRPr="00365DA4" w:rsidRDefault="00474A29" w:rsidP="00365DA4">
      <w:pPr>
        <w:spacing w:before="360"/>
        <w:rPr>
          <w:lang w:bidi="ar-EG"/>
        </w:rPr>
      </w:pPr>
      <w:r w:rsidRPr="00365DA4">
        <w:rPr>
          <w:rtl/>
          <w:lang w:bidi="ar-EG"/>
        </w:rPr>
        <w:t xml:space="preserve">اعتمد مجلس الاتحاد الدولي للاتصالات في دورته لعام </w:t>
      </w:r>
      <w:r w:rsidRPr="00365DA4">
        <w:rPr>
          <w:lang w:bidi="ar-EG"/>
        </w:rPr>
        <w:t>2025</w:t>
      </w:r>
      <w:r w:rsidRPr="00365DA4">
        <w:rPr>
          <w:rtl/>
          <w:lang w:bidi="ar-EG"/>
        </w:rPr>
        <w:t xml:space="preserve">، المنعقدة في الفترة من </w:t>
      </w:r>
      <w:r w:rsidRPr="00365DA4">
        <w:rPr>
          <w:lang w:bidi="ar-EG"/>
        </w:rPr>
        <w:t>17</w:t>
      </w:r>
      <w:r w:rsidRPr="00365DA4">
        <w:rPr>
          <w:rtl/>
          <w:lang w:bidi="ar-EG"/>
        </w:rPr>
        <w:t xml:space="preserve"> إلى </w:t>
      </w:r>
      <w:r w:rsidRPr="00365DA4">
        <w:rPr>
          <w:lang w:bidi="ar-EG"/>
        </w:rPr>
        <w:t>27</w:t>
      </w:r>
      <w:r w:rsidRPr="00365DA4">
        <w:rPr>
          <w:rtl/>
          <w:lang w:bidi="ar-EG"/>
        </w:rPr>
        <w:t xml:space="preserve"> يونيو </w:t>
      </w:r>
      <w:r w:rsidRPr="00365DA4">
        <w:rPr>
          <w:lang w:bidi="ar-EG"/>
        </w:rPr>
        <w:t>2025</w:t>
      </w:r>
      <w:r w:rsidRPr="00365DA4">
        <w:rPr>
          <w:rtl/>
          <w:lang w:bidi="ar-EG"/>
        </w:rPr>
        <w:t>، القرارات والمقررات التالية: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769"/>
        <w:gridCol w:w="765"/>
      </w:tblGrid>
      <w:tr w:rsidR="00474A29" w:rsidRPr="00365DA4" w14:paraId="17309733" w14:textId="77777777" w:rsidTr="00474A29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BB7D5B" w14:textId="77777777" w:rsidR="00474A29" w:rsidRPr="00365DA4" w:rsidRDefault="00474A29" w:rsidP="00474A29">
            <w:pPr>
              <w:pStyle w:val="Tablehead"/>
              <w:rPr>
                <w:lang w:val="ar-SA" w:bidi="ar-EG"/>
              </w:rPr>
            </w:pPr>
            <w:r w:rsidRPr="00365DA4">
              <w:rPr>
                <w:rtl/>
              </w:rPr>
              <w:t>القرارات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C4D51E" w14:textId="77777777" w:rsidR="00474A29" w:rsidRPr="00365DA4" w:rsidRDefault="00474A29" w:rsidP="00474A29">
            <w:pPr>
              <w:pStyle w:val="Tablehead"/>
              <w:rPr>
                <w:lang w:val="ar-SA" w:bidi="ar-EG"/>
              </w:rPr>
            </w:pPr>
            <w:r w:rsidRPr="00365DA4">
              <w:t>C25/#‎</w:t>
            </w:r>
          </w:p>
        </w:tc>
      </w:tr>
      <w:tr w:rsidR="00474A29" w:rsidRPr="00365DA4" w14:paraId="085327E5" w14:textId="77777777" w:rsidTr="00474A29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2534F4" w14:textId="7537924F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1431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D3BAC" w14:textId="2CA10865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الخطة التشغيلية للاتحاد للفترة </w:t>
            </w:r>
            <w:r w:rsidR="00815905" w:rsidRPr="00365DA4">
              <w:t>2029-2026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716D1" w14:textId="2781E7CD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8" w:history="1">
              <w:r w:rsidRPr="00365DA4">
                <w:rPr>
                  <w:rStyle w:val="Hyperlink"/>
                </w:rPr>
                <w:t>115</w:t>
              </w:r>
            </w:hyperlink>
          </w:p>
        </w:tc>
      </w:tr>
      <w:tr w:rsidR="00474A29" w:rsidRPr="00365DA4" w14:paraId="36D23B90" w14:textId="77777777" w:rsidTr="00474A29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E391B" w14:textId="3A0E1C23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1432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1B47F" w14:textId="43A2EF03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تقرير الإدارة المالية والبيانات المالية المراجعة للسنة المالية </w:t>
            </w:r>
            <w:r w:rsidR="00815905" w:rsidRPr="00365DA4">
              <w:t>2024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6575C" w14:textId="3398C079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9" w:history="1">
              <w:r w:rsidRPr="00365DA4">
                <w:rPr>
                  <w:rStyle w:val="Hyperlink"/>
                </w:rPr>
                <w:t>116</w:t>
              </w:r>
            </w:hyperlink>
          </w:p>
        </w:tc>
      </w:tr>
      <w:tr w:rsidR="00474A29" w:rsidRPr="00365DA4" w14:paraId="3C47CF1D" w14:textId="77777777" w:rsidTr="00474A29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3E6AB" w14:textId="02ABDCC8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1433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5026A" w14:textId="77777777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>شروط خدمة الموظفين المنتخبين في الاتحاد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A839C" w14:textId="165D7E4B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0" w:history="1">
              <w:r w:rsidRPr="00365DA4">
                <w:rPr>
                  <w:rStyle w:val="Hyperlink"/>
                </w:rPr>
                <w:t>117</w:t>
              </w:r>
            </w:hyperlink>
          </w:p>
        </w:tc>
      </w:tr>
      <w:tr w:rsidR="00474A29" w:rsidRPr="00365DA4" w14:paraId="220723D7" w14:textId="77777777" w:rsidTr="00474A29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16467" w14:textId="6CC3EA0B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1434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5873A" w14:textId="0BD88EF2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مخصصات الوفورات المحققة في تنفيذ ميزانية </w:t>
            </w:r>
            <w:r w:rsidR="00815905" w:rsidRPr="00365DA4">
              <w:t>2024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1A4AD" w14:textId="1B10648A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1" w:history="1">
              <w:r w:rsidRPr="00365DA4">
                <w:rPr>
                  <w:rStyle w:val="Hyperlink"/>
                </w:rPr>
                <w:t>118</w:t>
              </w:r>
            </w:hyperlink>
          </w:p>
        </w:tc>
      </w:tr>
      <w:tr w:rsidR="00474A29" w:rsidRPr="00365DA4" w14:paraId="17EA5649" w14:textId="77777777" w:rsidTr="00474A29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6C248" w14:textId="374CD024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1435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7E919" w14:textId="5BABF3A6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ميزانية الاتحاد لفترة السنتين </w:t>
            </w:r>
            <w:r w:rsidR="00815905" w:rsidRPr="00365DA4">
              <w:t>2027-2026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62C9D" w14:textId="64FA5E30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2" w:history="1">
              <w:r w:rsidRPr="00365DA4">
                <w:rPr>
                  <w:rStyle w:val="Hyperlink"/>
                </w:rPr>
                <w:t>119</w:t>
              </w:r>
            </w:hyperlink>
          </w:p>
        </w:tc>
      </w:tr>
    </w:tbl>
    <w:p w14:paraId="3268F0B9" w14:textId="77777777" w:rsidR="00474A29" w:rsidRPr="00365DA4" w:rsidRDefault="00474A29" w:rsidP="00474A29">
      <w:pPr>
        <w:spacing w:before="0" w:after="0"/>
        <w:rPr>
          <w:sz w:val="20"/>
          <w:szCs w:val="20"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6770"/>
        <w:gridCol w:w="769"/>
      </w:tblGrid>
      <w:tr w:rsidR="00474A29" w:rsidRPr="00365DA4" w14:paraId="6013C821" w14:textId="77777777" w:rsidTr="00474A29">
        <w:trPr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DD85DB" w14:textId="77777777" w:rsidR="00474A29" w:rsidRPr="00365DA4" w:rsidRDefault="00474A29" w:rsidP="00474A29">
            <w:pPr>
              <w:pStyle w:val="Tablehead"/>
            </w:pPr>
            <w:r w:rsidRPr="00365DA4">
              <w:rPr>
                <w:rtl/>
              </w:rPr>
              <w:t>القرارات المعدلة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6508EA" w14:textId="77777777" w:rsidR="00474A29" w:rsidRPr="00365DA4" w:rsidRDefault="00474A29" w:rsidP="00474A29">
            <w:pPr>
              <w:pStyle w:val="Tablehead"/>
            </w:pPr>
            <w:r w:rsidRPr="00365DA4">
              <w:t>C25/#‎</w:t>
            </w:r>
          </w:p>
        </w:tc>
      </w:tr>
      <w:tr w:rsidR="00474A29" w:rsidRPr="00365DA4" w14:paraId="762632D4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F192FF" w14:textId="205C2FFB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1333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127E3" w14:textId="77777777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>المبادئ التوجيهية الخاصة بتشكيل أفرقة العمل التابعة للمجلس وإداراتها وحلها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414FE" w14:textId="1EF56D3A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3" w:history="1">
              <w:r w:rsidRPr="00365DA4">
                <w:rPr>
                  <w:rStyle w:val="Hyperlink"/>
                </w:rPr>
                <w:t>120</w:t>
              </w:r>
            </w:hyperlink>
          </w:p>
        </w:tc>
      </w:tr>
      <w:tr w:rsidR="00474A29" w:rsidRPr="00365DA4" w14:paraId="0C090984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78F810" w14:textId="7E2D075F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القرار </w:t>
            </w:r>
            <w:r w:rsidR="00474A29" w:rsidRPr="00365DA4">
              <w:rPr>
                <w:b/>
                <w:bCs/>
              </w:rPr>
              <w:t>1386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39D4" w14:textId="77777777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لجنة تنسيق المصطلحات في الاتحاد </w:t>
            </w:r>
            <w:r w:rsidRPr="00365DA4">
              <w:t>(ITU CCT)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466D0" w14:textId="72E1EA68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4" w:history="1">
              <w:r w:rsidRPr="00365DA4">
                <w:rPr>
                  <w:rStyle w:val="Hyperlink"/>
                </w:rPr>
                <w:t>121</w:t>
              </w:r>
            </w:hyperlink>
          </w:p>
        </w:tc>
      </w:tr>
    </w:tbl>
    <w:p w14:paraId="21329371" w14:textId="77777777" w:rsidR="00474A29" w:rsidRPr="00365DA4" w:rsidRDefault="00474A29" w:rsidP="00474A29">
      <w:pPr>
        <w:spacing w:before="0" w:after="0"/>
        <w:rPr>
          <w:sz w:val="20"/>
          <w:szCs w:val="20"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6770"/>
        <w:gridCol w:w="769"/>
      </w:tblGrid>
      <w:tr w:rsidR="00474A29" w:rsidRPr="00365DA4" w14:paraId="67E00A5E" w14:textId="77777777" w:rsidTr="00474A29">
        <w:trPr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340EE" w14:textId="77777777" w:rsidR="00474A29" w:rsidRPr="00365DA4" w:rsidRDefault="00474A29" w:rsidP="00474A29">
            <w:pPr>
              <w:pStyle w:val="Tablehead"/>
            </w:pPr>
            <w:r w:rsidRPr="00365DA4">
              <w:rPr>
                <w:rtl/>
              </w:rPr>
              <w:t>المقررات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7EBB31" w14:textId="77777777" w:rsidR="00474A29" w:rsidRPr="00365DA4" w:rsidRDefault="00474A29" w:rsidP="00474A29">
            <w:pPr>
              <w:pStyle w:val="Tablehead"/>
            </w:pPr>
            <w:r w:rsidRPr="00365DA4">
              <w:t>C25/#‎</w:t>
            </w:r>
          </w:p>
        </w:tc>
      </w:tr>
      <w:tr w:rsidR="00474A29" w:rsidRPr="00365DA4" w14:paraId="1081F235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A93B7" w14:textId="0655566C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المقرر </w:t>
            </w:r>
            <w:r w:rsidR="00474A29" w:rsidRPr="00365DA4">
              <w:rPr>
                <w:b/>
                <w:bCs/>
              </w:rPr>
              <w:t>643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1859B" w14:textId="77777777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مواعيد عقد دورات المجلس للأعوام </w:t>
            </w:r>
            <w:r w:rsidRPr="00365DA4">
              <w:t>2026</w:t>
            </w:r>
            <w:r w:rsidRPr="00365DA4">
              <w:rPr>
                <w:rtl/>
              </w:rPr>
              <w:t xml:space="preserve"> و</w:t>
            </w:r>
            <w:r w:rsidRPr="00365DA4">
              <w:t>2027</w:t>
            </w:r>
            <w:r w:rsidRPr="00365DA4">
              <w:rPr>
                <w:rtl/>
              </w:rPr>
              <w:t xml:space="preserve"> و</w:t>
            </w:r>
            <w:r w:rsidRPr="00365DA4">
              <w:t>2028</w:t>
            </w:r>
            <w:r w:rsidRPr="00365DA4">
              <w:rPr>
                <w:rtl/>
              </w:rPr>
              <w:t xml:space="preserve"> ومدتها، إلى جانب مواعيد عقد مجموعات اجتماعات أفرقة العمل وأفرقة الخبراء التابعة للمجلس خلال الفترة نفسها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F7901" w14:textId="384ED45B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5" w:history="1">
              <w:r w:rsidRPr="00365DA4">
                <w:rPr>
                  <w:rStyle w:val="Hyperlink"/>
                </w:rPr>
                <w:t>122</w:t>
              </w:r>
            </w:hyperlink>
          </w:p>
        </w:tc>
      </w:tr>
      <w:tr w:rsidR="00474A29" w:rsidRPr="00365DA4" w14:paraId="7B73C363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5A2BC" w14:textId="626B8F62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المقرر </w:t>
            </w:r>
            <w:r w:rsidR="00474A29" w:rsidRPr="00365DA4">
              <w:rPr>
                <w:b/>
                <w:bCs/>
              </w:rPr>
              <w:t>644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0EB13" w14:textId="4F6FC41E" w:rsidR="00474A29" w:rsidRPr="00365DA4" w:rsidRDefault="00474A29" w:rsidP="00474A29">
            <w:pPr>
              <w:pStyle w:val="Tabletexte"/>
              <w:rPr>
                <w:spacing w:val="-2"/>
                <w:lang w:val="ar-SA" w:bidi="ar-EG"/>
              </w:rPr>
            </w:pPr>
            <w:r w:rsidRPr="00365DA4">
              <w:rPr>
                <w:spacing w:val="-2"/>
                <w:rtl/>
              </w:rPr>
              <w:t>تجديد ولاية المراجع الخارجي - المكتب الوطني لمراجعة الحسابات في المملكة المتحدة</w:t>
            </w:r>
            <w:r w:rsidR="003E416F" w:rsidRPr="00365DA4">
              <w:rPr>
                <w:rFonts w:hint="cs"/>
                <w:spacing w:val="-2"/>
                <w:rtl/>
              </w:rPr>
              <w:t> </w:t>
            </w:r>
            <w:r w:rsidRPr="00365DA4">
              <w:rPr>
                <w:spacing w:val="-2"/>
                <w:lang w:bidi="ar-EG"/>
              </w:rPr>
              <w:t>(NAO</w:t>
            </w:r>
            <w:r w:rsidRPr="00365DA4">
              <w:rPr>
                <w:spacing w:val="-2"/>
              </w:rPr>
              <w:t>)</w:t>
            </w:r>
            <w:r w:rsidR="003E416F" w:rsidRPr="00365DA4">
              <w:rPr>
                <w:rFonts w:hint="cs"/>
                <w:spacing w:val="-2"/>
                <w:rtl/>
                <w:lang w:bidi="ar-EG"/>
              </w:rPr>
              <w:t> </w:t>
            </w:r>
            <w:r w:rsidRPr="00365DA4">
              <w:rPr>
                <w:spacing w:val="-2"/>
                <w:rtl/>
                <w:lang w:bidi="ar-EG"/>
              </w:rPr>
              <w:t>-</w:t>
            </w:r>
            <w:r w:rsidRPr="00365DA4">
              <w:rPr>
                <w:spacing w:val="-2"/>
                <w:rtl/>
              </w:rPr>
              <w:t xml:space="preserve"> لمدة سنتين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71D82" w14:textId="760C2FD2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6" w:history="1">
              <w:r w:rsidRPr="00365DA4">
                <w:rPr>
                  <w:rStyle w:val="Hyperlink"/>
                </w:rPr>
                <w:t>123</w:t>
              </w:r>
            </w:hyperlink>
          </w:p>
        </w:tc>
      </w:tr>
      <w:tr w:rsidR="00474A29" w:rsidRPr="00365DA4" w14:paraId="0FC6C626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BB1E4" w14:textId="6A836C55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المقرر </w:t>
            </w:r>
            <w:r w:rsidR="00474A29" w:rsidRPr="00365DA4">
              <w:rPr>
                <w:b/>
                <w:bCs/>
              </w:rPr>
              <w:t>645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4344B" w14:textId="77777777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>إلغاء الفوائد على المتأخرات والديون غير القابلة للاسترداد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7117E" w14:textId="504A75E7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7" w:history="1">
              <w:r w:rsidRPr="00365DA4">
                <w:rPr>
                  <w:rStyle w:val="Hyperlink"/>
                </w:rPr>
                <w:t>124</w:t>
              </w:r>
            </w:hyperlink>
          </w:p>
        </w:tc>
      </w:tr>
    </w:tbl>
    <w:p w14:paraId="1D4B6D83" w14:textId="77777777" w:rsidR="00474A29" w:rsidRPr="00365DA4" w:rsidRDefault="00474A29" w:rsidP="00474A29">
      <w:pPr>
        <w:spacing w:before="0" w:after="0"/>
        <w:rPr>
          <w:sz w:val="20"/>
          <w:szCs w:val="20"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6770"/>
        <w:gridCol w:w="769"/>
      </w:tblGrid>
      <w:tr w:rsidR="00474A29" w:rsidRPr="00365DA4" w14:paraId="497BB414" w14:textId="77777777" w:rsidTr="00474A29">
        <w:trPr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5E5237" w14:textId="77777777" w:rsidR="00474A29" w:rsidRPr="00365DA4" w:rsidRDefault="00474A29" w:rsidP="00474A29">
            <w:pPr>
              <w:pStyle w:val="Tablehead"/>
            </w:pPr>
            <w:r w:rsidRPr="00365DA4">
              <w:rPr>
                <w:rtl/>
              </w:rPr>
              <w:t>المقررات المعدلة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84ECC3" w14:textId="77777777" w:rsidR="00474A29" w:rsidRPr="00365DA4" w:rsidRDefault="00474A29" w:rsidP="00474A29">
            <w:pPr>
              <w:pStyle w:val="Tablehead"/>
            </w:pPr>
            <w:r w:rsidRPr="00365DA4">
              <w:t>C25/#‎</w:t>
            </w:r>
          </w:p>
        </w:tc>
      </w:tr>
      <w:tr w:rsidR="00474A29" w:rsidRPr="00365DA4" w14:paraId="3A4564C2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B848CC" w14:textId="7F77E269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المقرر </w:t>
            </w:r>
            <w:r w:rsidR="00474A29" w:rsidRPr="00365DA4">
              <w:rPr>
                <w:b/>
                <w:bCs/>
              </w:rPr>
              <w:t>482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D724F" w14:textId="77777777" w:rsidR="00474A29" w:rsidRPr="00365DA4" w:rsidRDefault="00474A29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>تطبيق استرداد التكاليف على معالجة بطاقات التبليغ عن الشبكات الساتلية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A6FD04" w14:textId="0B672050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8" w:history="1">
              <w:r w:rsidRPr="00365DA4">
                <w:rPr>
                  <w:rStyle w:val="Hyperlink"/>
                </w:rPr>
                <w:t>125</w:t>
              </w:r>
            </w:hyperlink>
          </w:p>
        </w:tc>
      </w:tr>
      <w:tr w:rsidR="00474A29" w:rsidRPr="00365DA4" w14:paraId="3EF5E5A0" w14:textId="77777777" w:rsidTr="00474A29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74C4F" w14:textId="6F7AEE7C" w:rsidR="00474A29" w:rsidRPr="00365DA4" w:rsidRDefault="00815905" w:rsidP="00474A29">
            <w:pPr>
              <w:pStyle w:val="Tabletexte"/>
              <w:rPr>
                <w:lang w:val="ar-SA" w:bidi="ar-EG"/>
              </w:rPr>
            </w:pPr>
            <w:r w:rsidRPr="00365DA4">
              <w:rPr>
                <w:rtl/>
              </w:rPr>
              <w:t xml:space="preserve">المقرر </w:t>
            </w:r>
            <w:r w:rsidR="00474A29" w:rsidRPr="00365DA4">
              <w:rPr>
                <w:b/>
                <w:bCs/>
              </w:rPr>
              <w:t>641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72068" w14:textId="46A70C26" w:rsidR="00D53938" w:rsidRPr="00D53938" w:rsidRDefault="00474A29" w:rsidP="00D53938">
            <w:pPr>
              <w:pStyle w:val="Tabletexte"/>
            </w:pPr>
            <w:r w:rsidRPr="00365DA4">
              <w:rPr>
                <w:rtl/>
              </w:rPr>
              <w:t>المنتدى العالمي السابع لسياسات الاتصالات/تكنولوجيا المعلومات والاتصالات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307FB" w14:textId="16E52C5F" w:rsidR="00474A29" w:rsidRPr="00365DA4" w:rsidRDefault="00474A29" w:rsidP="00474A29">
            <w:pPr>
              <w:pStyle w:val="Tabletexte"/>
              <w:jc w:val="center"/>
              <w:rPr>
                <w:lang w:val="ar-SA" w:bidi="ar-EG"/>
              </w:rPr>
            </w:pPr>
            <w:hyperlink r:id="rId19" w:history="1">
              <w:r w:rsidRPr="00365DA4">
                <w:rPr>
                  <w:rStyle w:val="Hyperlink"/>
                </w:rPr>
                <w:t>126</w:t>
              </w:r>
            </w:hyperlink>
          </w:p>
        </w:tc>
      </w:tr>
    </w:tbl>
    <w:p w14:paraId="7D27A094" w14:textId="77777777" w:rsidR="00F50E3F" w:rsidRDefault="00D63735" w:rsidP="00474A29">
      <w:pPr>
        <w:spacing w:before="36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20"/>
      <w:headerReference w:type="first" r:id="rId21"/>
      <w:footerReference w:type="first" r:id="rId22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1523" w14:textId="77777777" w:rsidR="00E920B1" w:rsidRDefault="00E920B1" w:rsidP="006C3242">
      <w:pPr>
        <w:spacing w:before="0" w:line="240" w:lineRule="auto"/>
      </w:pPr>
      <w:r>
        <w:separator/>
      </w:r>
    </w:p>
  </w:endnote>
  <w:endnote w:type="continuationSeparator" w:id="0">
    <w:p w14:paraId="05337BC9" w14:textId="77777777" w:rsidR="00E920B1" w:rsidRDefault="00E920B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7CE07212" w14:textId="77777777" w:rsidTr="00A67F05">
      <w:trPr>
        <w:jc w:val="center"/>
      </w:trPr>
      <w:tc>
        <w:tcPr>
          <w:tcW w:w="868" w:type="pct"/>
          <w:vAlign w:val="center"/>
        </w:tcPr>
        <w:p w14:paraId="3C6491B3" w14:textId="2C68FCD8" w:rsidR="00F50E3F" w:rsidRPr="007B0AA0" w:rsidRDefault="00474A29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474A29">
            <w:rPr>
              <w:rFonts w:ascii="Calibri" w:hAnsi="Calibri" w:cs="Arial"/>
              <w:sz w:val="18"/>
              <w:szCs w:val="14"/>
            </w:rPr>
            <w:t>2502023</w:t>
          </w:r>
        </w:p>
      </w:tc>
      <w:tc>
        <w:tcPr>
          <w:tcW w:w="3912" w:type="pct"/>
        </w:tcPr>
        <w:p w14:paraId="79364F13" w14:textId="72B67409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74A29">
            <w:rPr>
              <w:rFonts w:ascii="Calibri" w:hAnsi="Calibri" w:cs="Arial"/>
              <w:bCs/>
              <w:color w:val="7F7F7F"/>
              <w:sz w:val="18"/>
            </w:rPr>
            <w:t>127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3847DF2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9850F7B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530FFBDB" w14:textId="77777777" w:rsidTr="00A67F05">
      <w:trPr>
        <w:jc w:val="center"/>
      </w:trPr>
      <w:tc>
        <w:tcPr>
          <w:tcW w:w="1013" w:type="pct"/>
          <w:vAlign w:val="center"/>
        </w:tcPr>
        <w:p w14:paraId="6CB4EFE8" w14:textId="77777777" w:rsidR="007B0AA0" w:rsidRPr="0096716C" w:rsidRDefault="00660DEA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history="1">
            <w:r w:rsidRPr="0096716C">
              <w:rPr>
                <w:rStyle w:val="Hyperlink"/>
                <w:sz w:val="18"/>
                <w:szCs w:val="18"/>
                <w:u w:val="none"/>
              </w:rPr>
              <w:t>council.itu.int/2025</w:t>
            </w:r>
          </w:hyperlink>
        </w:p>
      </w:tc>
      <w:tc>
        <w:tcPr>
          <w:tcW w:w="3768" w:type="pct"/>
        </w:tcPr>
        <w:p w14:paraId="74648533" w14:textId="4DF80BF5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74A29">
            <w:rPr>
              <w:rFonts w:ascii="Calibri" w:hAnsi="Calibri" w:cs="Arial"/>
              <w:bCs/>
              <w:color w:val="7F7F7F"/>
              <w:sz w:val="18"/>
            </w:rPr>
            <w:t>127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F56E159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73DE94F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D674" w14:textId="77777777" w:rsidR="00E920B1" w:rsidRDefault="00E920B1" w:rsidP="006C3242">
      <w:pPr>
        <w:spacing w:before="0" w:line="240" w:lineRule="auto"/>
      </w:pPr>
      <w:r>
        <w:separator/>
      </w:r>
    </w:p>
  </w:footnote>
  <w:footnote w:type="continuationSeparator" w:id="0">
    <w:p w14:paraId="35E44FAE" w14:textId="77777777" w:rsidR="00E920B1" w:rsidRDefault="00E920B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ED26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687F1" wp14:editId="437A107A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E2D37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D/k3/B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3CD6EFB0" wp14:editId="1CB604D6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5A"/>
    <w:rsid w:val="0006468A"/>
    <w:rsid w:val="000764E9"/>
    <w:rsid w:val="00077A58"/>
    <w:rsid w:val="00090574"/>
    <w:rsid w:val="000C1C0E"/>
    <w:rsid w:val="000C548A"/>
    <w:rsid w:val="00191059"/>
    <w:rsid w:val="001B6E2B"/>
    <w:rsid w:val="001C0169"/>
    <w:rsid w:val="001C0C21"/>
    <w:rsid w:val="001D1D50"/>
    <w:rsid w:val="001D64C7"/>
    <w:rsid w:val="001D6745"/>
    <w:rsid w:val="001E446E"/>
    <w:rsid w:val="00200E3B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65DA4"/>
    <w:rsid w:val="00383829"/>
    <w:rsid w:val="003E416F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74A29"/>
    <w:rsid w:val="00491BA9"/>
    <w:rsid w:val="00494119"/>
    <w:rsid w:val="004A4701"/>
    <w:rsid w:val="004B7334"/>
    <w:rsid w:val="004E11DC"/>
    <w:rsid w:val="00506A9A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C6F8B"/>
    <w:rsid w:val="00657019"/>
    <w:rsid w:val="00660DEA"/>
    <w:rsid w:val="00677396"/>
    <w:rsid w:val="00683F16"/>
    <w:rsid w:val="00684D79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15905"/>
    <w:rsid w:val="00817260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C26D0"/>
    <w:rsid w:val="009D313F"/>
    <w:rsid w:val="00A4410D"/>
    <w:rsid w:val="00A47A5A"/>
    <w:rsid w:val="00A63AE6"/>
    <w:rsid w:val="00A6683B"/>
    <w:rsid w:val="00A67F05"/>
    <w:rsid w:val="00A97F94"/>
    <w:rsid w:val="00AA7EA2"/>
    <w:rsid w:val="00AB5A56"/>
    <w:rsid w:val="00AD715A"/>
    <w:rsid w:val="00B03099"/>
    <w:rsid w:val="00B05BC8"/>
    <w:rsid w:val="00B30F5E"/>
    <w:rsid w:val="00B64B47"/>
    <w:rsid w:val="00B95654"/>
    <w:rsid w:val="00B97F32"/>
    <w:rsid w:val="00BA04B2"/>
    <w:rsid w:val="00BA321C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53938"/>
    <w:rsid w:val="00D63735"/>
    <w:rsid w:val="00D77D0F"/>
    <w:rsid w:val="00DA1CF0"/>
    <w:rsid w:val="00DC1E02"/>
    <w:rsid w:val="00DC24B4"/>
    <w:rsid w:val="00DC5FB0"/>
    <w:rsid w:val="00DF16DC"/>
    <w:rsid w:val="00E45211"/>
    <w:rsid w:val="00E473C5"/>
    <w:rsid w:val="00E61BE8"/>
    <w:rsid w:val="00E83FF1"/>
    <w:rsid w:val="00E920B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0D8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4A7B7"/>
  <w15:chartTrackingRefBased/>
  <w15:docId w15:val="{BCD96068-8FC2-4FB0-99B3-BDB55B20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15/fr" TargetMode="External"/><Relationship Id="rId13" Type="http://schemas.openxmlformats.org/officeDocument/2006/relationships/hyperlink" Target="https://www.itu.int/md/S25-CL-C-0120/fr" TargetMode="External"/><Relationship Id="rId18" Type="http://schemas.openxmlformats.org/officeDocument/2006/relationships/hyperlink" Target="https://www.itu.int/md/S25-CL-C-0125/f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CL-C-0119/fr" TargetMode="External"/><Relationship Id="rId17" Type="http://schemas.openxmlformats.org/officeDocument/2006/relationships/hyperlink" Target="https://www.itu.int/md/S25-CL-C-0124/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5-CL-C-0123/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118/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CL-C-0122/f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S25-CL-C-0117/fr" TargetMode="External"/><Relationship Id="rId19" Type="http://schemas.openxmlformats.org/officeDocument/2006/relationships/hyperlink" Target="https://www.itu.int/md/S25-CL-C-0126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116/fr" TargetMode="External"/><Relationship Id="rId14" Type="http://schemas.openxmlformats.org/officeDocument/2006/relationships/hyperlink" Target="https://www.itu.int/md/S25-CL-C-0121/fr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1</TotalTime>
  <Pages>1</Pages>
  <Words>195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2024</dc:subject>
  <dc:creator/>
  <cp:keywords>C2024, C24, Council-24</cp:keywords>
  <dc:description/>
  <cp:lastModifiedBy>GBS</cp:lastModifiedBy>
  <cp:revision>3</cp:revision>
  <dcterms:created xsi:type="dcterms:W3CDTF">2025-09-19T09:33:00Z</dcterms:created>
  <dcterms:modified xsi:type="dcterms:W3CDTF">2025-09-19T09:33:00Z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