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2C59E7" w:rsidRPr="00BB6FD8" w14:paraId="3FA9C9E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949F853" w14:textId="381B68BF" w:rsidR="002C59E7" w:rsidRPr="00BB6FD8" w:rsidRDefault="002C59E7" w:rsidP="002C59E7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15C8491E" w14:textId="5672BCC5" w:rsidR="002C59E7" w:rsidRPr="00BB6FD8" w:rsidRDefault="002C59E7" w:rsidP="002C59E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0105A">
              <w:rPr>
                <w:b/>
                <w:bCs/>
                <w:noProof/>
                <w:color w:val="000000"/>
                <w:lang w:val="es-ES"/>
              </w:rPr>
              <w:t>Documento C25/</w:t>
            </w:r>
            <w:r w:rsidR="007E197D">
              <w:rPr>
                <w:b/>
                <w:bCs/>
                <w:noProof/>
                <w:color w:val="000000"/>
                <w:lang w:val="es-ES"/>
              </w:rPr>
              <w:t>119</w:t>
            </w:r>
            <w:r w:rsidRPr="0030105A">
              <w:rPr>
                <w:b/>
                <w:bCs/>
                <w:noProof/>
                <w:color w:val="000000"/>
                <w:lang w:val="es-ES"/>
              </w:rPr>
              <w:t>-S</w:t>
            </w:r>
          </w:p>
        </w:tc>
      </w:tr>
      <w:tr w:rsidR="002C59E7" w:rsidRPr="00666D09" w14:paraId="7E82328E" w14:textId="77777777" w:rsidTr="00C538FC">
        <w:trPr>
          <w:cantSplit/>
        </w:trPr>
        <w:tc>
          <w:tcPr>
            <w:tcW w:w="3969" w:type="dxa"/>
            <w:vMerge/>
          </w:tcPr>
          <w:p w14:paraId="6FB2AF9A" w14:textId="77777777" w:rsidR="002C59E7" w:rsidRPr="00BB6FD8" w:rsidRDefault="002C59E7" w:rsidP="002C59E7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507923E" w14:textId="5CCDB54E" w:rsidR="002C59E7" w:rsidRPr="007E197D" w:rsidRDefault="007E197D" w:rsidP="002C59E7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 w:rsidRPr="007E197D">
              <w:rPr>
                <w:b/>
                <w:bCs/>
                <w:noProof/>
                <w:color w:val="000000"/>
                <w:lang w:val="es-ES"/>
              </w:rPr>
              <w:t>9</w:t>
            </w:r>
            <w:r w:rsidR="00367E81" w:rsidRPr="007E197D">
              <w:rPr>
                <w:b/>
                <w:bCs/>
                <w:noProof/>
                <w:color w:val="000000"/>
                <w:lang w:val="es-ES"/>
              </w:rPr>
              <w:t xml:space="preserve"> de ju</w:t>
            </w:r>
            <w:r w:rsidRPr="007E197D">
              <w:rPr>
                <w:b/>
                <w:bCs/>
                <w:noProof/>
                <w:color w:val="000000"/>
                <w:lang w:val="es-ES"/>
              </w:rPr>
              <w:t>l</w:t>
            </w:r>
            <w:r w:rsidR="00367E81" w:rsidRPr="007E197D">
              <w:rPr>
                <w:b/>
                <w:bCs/>
                <w:noProof/>
                <w:color w:val="000000"/>
                <w:lang w:val="es-ES"/>
              </w:rPr>
              <w:t>io</w:t>
            </w:r>
            <w:r w:rsidR="002C59E7" w:rsidRPr="007E197D">
              <w:rPr>
                <w:b/>
                <w:bCs/>
                <w:noProof/>
                <w:color w:val="000000"/>
                <w:lang w:val="es-ES"/>
              </w:rPr>
              <w:t xml:space="preserve"> de 2025</w:t>
            </w:r>
          </w:p>
        </w:tc>
      </w:tr>
      <w:tr w:rsidR="002C59E7" w:rsidRPr="00BB6FD8" w14:paraId="4E4F1683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63DA7037" w14:textId="77777777" w:rsidR="002C59E7" w:rsidRPr="00666D09" w:rsidRDefault="002C59E7" w:rsidP="002C59E7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4E0FC6EB" w14:textId="3458552C" w:rsidR="002C59E7" w:rsidRPr="007E197D" w:rsidRDefault="002C59E7" w:rsidP="002C59E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7E197D">
              <w:rPr>
                <w:b/>
                <w:bCs/>
                <w:noProof/>
                <w:color w:val="000000"/>
                <w:lang w:val="es-ES"/>
              </w:rPr>
              <w:t>Original: inglés</w:t>
            </w:r>
          </w:p>
        </w:tc>
      </w:tr>
      <w:tr w:rsidR="00FE57F6" w:rsidRPr="00BB6FD8" w14:paraId="7851D6B6" w14:textId="77777777" w:rsidTr="00C538FC">
        <w:trPr>
          <w:cantSplit/>
          <w:trHeight w:val="23"/>
        </w:trPr>
        <w:tc>
          <w:tcPr>
            <w:tcW w:w="3969" w:type="dxa"/>
          </w:tcPr>
          <w:p w14:paraId="4B1F8411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31A7046" w14:textId="7777777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0"/>
    <w:p w14:paraId="6E8AB764" w14:textId="15A1EA1B" w:rsidR="002C59E7" w:rsidRPr="0030105A" w:rsidRDefault="002A13B9" w:rsidP="002C59E7">
      <w:pPr>
        <w:pStyle w:val="ResNo"/>
        <w:rPr>
          <w:noProof/>
          <w:lang w:val="es-ES"/>
        </w:rPr>
      </w:pPr>
      <w:r w:rsidRPr="0030105A">
        <w:rPr>
          <w:caps w:val="0"/>
          <w:noProof/>
          <w:lang w:val="es-ES"/>
        </w:rPr>
        <w:t>RESOLUCIÓN</w:t>
      </w:r>
      <w:r w:rsidR="0091434D">
        <w:rPr>
          <w:caps w:val="0"/>
          <w:noProof/>
          <w:lang w:val="es-ES"/>
        </w:rPr>
        <w:t xml:space="preserve"> </w:t>
      </w:r>
      <w:r w:rsidR="007E197D">
        <w:rPr>
          <w:caps w:val="0"/>
          <w:noProof/>
          <w:lang w:val="es-ES"/>
        </w:rPr>
        <w:t>1435</w:t>
      </w:r>
    </w:p>
    <w:p w14:paraId="14404EC5" w14:textId="33FF8459" w:rsidR="00712029" w:rsidRDefault="00712029" w:rsidP="00712029">
      <w:pPr>
        <w:jc w:val="center"/>
      </w:pPr>
      <w:r w:rsidRPr="000D2B2C">
        <w:t xml:space="preserve">(adoptada en la </w:t>
      </w:r>
      <w:r w:rsidR="000D2B2C" w:rsidRPr="000D2B2C">
        <w:t xml:space="preserve">octava </w:t>
      </w:r>
      <w:r w:rsidRPr="000D2B2C">
        <w:t>Sesión Plenaria)</w:t>
      </w:r>
    </w:p>
    <w:p w14:paraId="5AAA670B" w14:textId="36A89EEC" w:rsidR="002C59E7" w:rsidRPr="0030105A" w:rsidRDefault="002A13B9" w:rsidP="002C59E7">
      <w:pPr>
        <w:pStyle w:val="Restitle"/>
        <w:rPr>
          <w:noProof/>
          <w:lang w:val="es-ES"/>
        </w:rPr>
      </w:pPr>
      <w:r>
        <w:rPr>
          <w:bCs/>
          <w:noProof/>
          <w:lang w:val="es-ES"/>
        </w:rPr>
        <w:t>P</w:t>
      </w:r>
      <w:r w:rsidR="002C59E7" w:rsidRPr="0030105A">
        <w:rPr>
          <w:bCs/>
          <w:noProof/>
          <w:lang w:val="es-ES"/>
        </w:rPr>
        <w:t>resupuesto bienal de la Unión para 2026-2027</w:t>
      </w:r>
    </w:p>
    <w:p w14:paraId="2CADF5F8" w14:textId="77777777" w:rsidR="00FE3CE9" w:rsidRPr="0030105A" w:rsidRDefault="00FE3CE9" w:rsidP="00FE3CE9">
      <w:pPr>
        <w:pStyle w:val="Normalaftertitle"/>
        <w:rPr>
          <w:noProof/>
          <w:lang w:val="es-ES"/>
        </w:rPr>
      </w:pPr>
      <w:r w:rsidRPr="0030105A">
        <w:rPr>
          <w:noProof/>
          <w:lang w:val="es-ES"/>
        </w:rPr>
        <w:t xml:space="preserve">El Consejo </w:t>
      </w:r>
      <w:r w:rsidRPr="0030105A">
        <w:rPr>
          <w:lang w:val="es-ES"/>
        </w:rPr>
        <w:t>de</w:t>
      </w:r>
      <w:r w:rsidRPr="0030105A">
        <w:rPr>
          <w:noProof/>
          <w:lang w:val="es-ES"/>
        </w:rPr>
        <w:t xml:space="preserve"> la UIT,</w:t>
      </w:r>
    </w:p>
    <w:p w14:paraId="28C202D6" w14:textId="77777777" w:rsidR="00FE3CE9" w:rsidRPr="00D57AF6" w:rsidRDefault="00FE3CE9" w:rsidP="00FE3CE9">
      <w:pPr>
        <w:pStyle w:val="call0"/>
        <w:rPr>
          <w:lang w:val="es-ES"/>
        </w:rPr>
      </w:pPr>
      <w:r w:rsidRPr="00D57AF6">
        <w:rPr>
          <w:lang w:val="es-ES"/>
        </w:rPr>
        <w:t>vistas</w:t>
      </w:r>
    </w:p>
    <w:p w14:paraId="35F3A59F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noProof/>
          <w:lang w:val="es-ES"/>
        </w:rPr>
        <w:t>las disposiciones del Convenio de la UIT,</w:t>
      </w:r>
    </w:p>
    <w:p w14:paraId="5F2586BC" w14:textId="77777777" w:rsidR="00FE3CE9" w:rsidRPr="0030105A" w:rsidRDefault="00FE3CE9" w:rsidP="00FE3CE9">
      <w:pPr>
        <w:pStyle w:val="call0"/>
        <w:rPr>
          <w:lang w:val="es-ES"/>
        </w:rPr>
      </w:pPr>
      <w:r w:rsidRPr="00656615">
        <w:rPr>
          <w:lang w:val="es-ES"/>
        </w:rPr>
        <w:t>teniendo presente</w:t>
      </w:r>
    </w:p>
    <w:p w14:paraId="3DAEC4D8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i/>
          <w:iCs/>
          <w:noProof/>
          <w:lang w:val="es-ES"/>
        </w:rPr>
        <w:t>a)</w:t>
      </w:r>
      <w:r w:rsidRPr="0030105A">
        <w:rPr>
          <w:noProof/>
          <w:lang w:val="es-ES"/>
        </w:rPr>
        <w:tab/>
        <w:t>lo dispuesto en la Decisión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5 (Rev.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Bucarest, 2022) de la Conferencia de Plenipotenciarios sobre los ingresos y gastos de la Unión para el periodo 2024-2027, en la que se estipula que el importe de la unidad contributiva de los Estados Miembros para los años 2026-2027 deberá establecerse en 318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000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CHF;</w:t>
      </w:r>
    </w:p>
    <w:p w14:paraId="74C2778B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i/>
          <w:iCs/>
          <w:noProof/>
          <w:lang w:val="es-ES"/>
        </w:rPr>
        <w:t>b)</w:t>
      </w:r>
      <w:r w:rsidRPr="0030105A">
        <w:rPr>
          <w:noProof/>
          <w:lang w:val="es-ES"/>
        </w:rPr>
        <w:tab/>
        <w:t>las disposiciones del Artículo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11 del Reglamento Financiero y las Reglas Financieras de la Unión, sobre las transferencias de consignaciones presupuestarias,</w:t>
      </w:r>
    </w:p>
    <w:p w14:paraId="637110F8" w14:textId="77777777" w:rsidR="00FE3CE9" w:rsidRPr="0030105A" w:rsidRDefault="00FE3CE9" w:rsidP="00FE3CE9">
      <w:pPr>
        <w:pStyle w:val="call0"/>
        <w:rPr>
          <w:lang w:val="es-ES"/>
        </w:rPr>
      </w:pPr>
      <w:r w:rsidRPr="0030105A">
        <w:rPr>
          <w:lang w:val="es-ES"/>
        </w:rPr>
        <w:t>resuelve aprobar</w:t>
      </w:r>
    </w:p>
    <w:p w14:paraId="03A4F581" w14:textId="77777777" w:rsidR="00FE3CE9" w:rsidRDefault="00FE3CE9" w:rsidP="00FE3CE9">
      <w:pPr>
        <w:jc w:val="both"/>
        <w:rPr>
          <w:noProof/>
          <w:lang w:val="es-ES"/>
        </w:rPr>
      </w:pPr>
      <w:r w:rsidRPr="0030105A">
        <w:rPr>
          <w:noProof/>
          <w:lang w:val="es-ES"/>
        </w:rPr>
        <w:t>el presupuesto bienal de la Unión para 2026-2027, que asciende a 1</w:t>
      </w:r>
      <w:r>
        <w:rPr>
          <w:noProof/>
          <w:lang w:val="es-ES"/>
        </w:rPr>
        <w:t>60 </w:t>
      </w:r>
      <w:r w:rsidRPr="0030105A">
        <w:rPr>
          <w:noProof/>
          <w:lang w:val="es-ES"/>
        </w:rPr>
        <w:t>12</w:t>
      </w:r>
      <w:r>
        <w:rPr>
          <w:noProof/>
          <w:lang w:val="es-ES"/>
        </w:rPr>
        <w:t>2 </w:t>
      </w:r>
      <w:r w:rsidRPr="0030105A">
        <w:rPr>
          <w:noProof/>
          <w:lang w:val="es-ES"/>
        </w:rPr>
        <w:t>000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 xml:space="preserve">CHF para 2026 y a </w:t>
      </w:r>
      <w:r>
        <w:rPr>
          <w:noProof/>
          <w:lang w:val="es-ES"/>
        </w:rPr>
        <w:t>167 108 </w:t>
      </w:r>
      <w:r w:rsidRPr="0030105A">
        <w:rPr>
          <w:noProof/>
          <w:lang w:val="es-ES"/>
        </w:rPr>
        <w:t>000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 para 2027 o 3</w:t>
      </w:r>
      <w:r>
        <w:rPr>
          <w:noProof/>
          <w:lang w:val="es-ES"/>
        </w:rPr>
        <w:t>27 </w:t>
      </w:r>
      <w:r w:rsidRPr="0030105A">
        <w:rPr>
          <w:noProof/>
          <w:lang w:val="es-ES"/>
        </w:rPr>
        <w:t>23</w:t>
      </w:r>
      <w:r>
        <w:rPr>
          <w:noProof/>
          <w:lang w:val="es-ES"/>
        </w:rPr>
        <w:t>0 </w:t>
      </w:r>
      <w:r w:rsidRPr="0030105A">
        <w:rPr>
          <w:noProof/>
          <w:lang w:val="es-ES"/>
        </w:rPr>
        <w:t>000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 para el bienio 2026-2027, desglosado como sigue:</w:t>
      </w:r>
    </w:p>
    <w:p w14:paraId="6A6B0F8E" w14:textId="77777777" w:rsidR="00FE3CE9" w:rsidRDefault="00FE3CE9" w:rsidP="00FE3CE9">
      <w:pPr>
        <w:pStyle w:val="Figure"/>
        <w:rPr>
          <w:noProof/>
          <w:lang w:val="es-ES"/>
        </w:rPr>
      </w:pPr>
      <w:r w:rsidRPr="00656615">
        <w:rPr>
          <w:noProof/>
        </w:rPr>
        <w:drawing>
          <wp:inline distT="0" distB="0" distL="0" distR="0" wp14:anchorId="66DEACEF" wp14:editId="079D405E">
            <wp:extent cx="5760085" cy="2055495"/>
            <wp:effectExtent l="0" t="0" r="0" b="1905"/>
            <wp:docPr id="1885176922" name="Picture 1885176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B58C" w14:textId="77777777" w:rsidR="00FE3CE9" w:rsidRPr="0030105A" w:rsidRDefault="00FE3CE9" w:rsidP="00FE3CE9">
      <w:pPr>
        <w:pStyle w:val="call0"/>
        <w:rPr>
          <w:lang w:val="es-ES"/>
        </w:rPr>
      </w:pPr>
      <w:r w:rsidRPr="00656615">
        <w:rPr>
          <w:lang w:val="es-ES"/>
        </w:rPr>
        <w:lastRenderedPageBreak/>
        <w:t>resuelve además</w:t>
      </w:r>
    </w:p>
    <w:p w14:paraId="5581721B" w14:textId="08D45C32" w:rsidR="00FE3CE9" w:rsidRPr="0030105A" w:rsidRDefault="00FE3CE9" w:rsidP="00FE3CE9">
      <w:pPr>
        <w:keepNext/>
        <w:keepLines/>
        <w:jc w:val="both"/>
        <w:rPr>
          <w:noProof/>
          <w:lang w:val="es-ES"/>
        </w:rPr>
      </w:pPr>
      <w:r w:rsidRPr="0030105A">
        <w:rPr>
          <w:noProof/>
          <w:lang w:val="es-ES"/>
        </w:rPr>
        <w:t>1</w:t>
      </w:r>
      <w:r w:rsidRPr="0030105A">
        <w:rPr>
          <w:noProof/>
          <w:lang w:val="es-ES"/>
        </w:rPr>
        <w:tab/>
        <w:t>fijar el importe de la unidad contributiva anual para 2026 y 2027 en 318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000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CHF, basándose en la clase de contribución elegida por los Estados Miembros con arreglo al número 160 de la Constitución de la UIT y al número 468 del Convenio, o sea en base a un total de 35</w:t>
      </w:r>
      <w:r w:rsidR="007E197D">
        <w:rPr>
          <w:noProof/>
          <w:lang w:val="es-ES"/>
        </w:rPr>
        <w:t>6</w:t>
      </w:r>
      <w:r w:rsidRPr="0030105A">
        <w:rPr>
          <w:noProof/>
          <w:lang w:val="es-ES"/>
        </w:rPr>
        <w:t xml:space="preserve"> unidades;</w:t>
      </w:r>
    </w:p>
    <w:p w14:paraId="62036321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noProof/>
          <w:lang w:val="es-ES"/>
        </w:rPr>
        <w:t>2</w:t>
      </w:r>
      <w:r w:rsidRPr="0030105A">
        <w:rPr>
          <w:noProof/>
          <w:lang w:val="es-ES"/>
        </w:rPr>
        <w:tab/>
        <w:t>establecer en 63 600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 el valor anual de la unidad contributiva para 2026 y 2027, destinada a sufragar los gastos del Sector de Radiocomunicaciones (UIT-R), el Sector de Normalización de las Telecomunicaciones (UIT-T) y el Sector de Desarrollo de las Telecomunicaciones (UIT-D), importe abonable por los Miembros de Sector de conformidad con el número 480 del Convenio;</w:t>
      </w:r>
    </w:p>
    <w:p w14:paraId="36FEC35A" w14:textId="77777777" w:rsidR="00FE3CE9" w:rsidRPr="0030105A" w:rsidRDefault="00FE3CE9" w:rsidP="00FE3CE9">
      <w:pPr>
        <w:overflowPunct/>
        <w:autoSpaceDE/>
        <w:autoSpaceDN/>
        <w:adjustRightInd/>
        <w:snapToGrid w:val="0"/>
        <w:jc w:val="both"/>
        <w:textAlignment w:val="auto"/>
        <w:rPr>
          <w:noProof/>
          <w:lang w:val="es-ES"/>
        </w:rPr>
      </w:pPr>
      <w:r w:rsidRPr="0030105A">
        <w:rPr>
          <w:noProof/>
          <w:lang w:val="es-ES"/>
        </w:rPr>
        <w:t>3</w:t>
      </w:r>
      <w:r w:rsidRPr="0030105A">
        <w:rPr>
          <w:noProof/>
          <w:lang w:val="es-ES"/>
        </w:rPr>
        <w:tab/>
        <w:t>fijar la contribución financiera de los Asociados en las cantidades siguientes:</w:t>
      </w:r>
    </w:p>
    <w:p w14:paraId="66992FC8" w14:textId="77777777" w:rsidR="00FE3CE9" w:rsidRPr="0030105A" w:rsidRDefault="00FE3CE9" w:rsidP="00FE3CE9">
      <w:pPr>
        <w:pStyle w:val="enumlev1"/>
        <w:jc w:val="both"/>
        <w:rPr>
          <w:noProof/>
          <w:lang w:val="es-ES"/>
        </w:rPr>
      </w:pPr>
      <w:r w:rsidRPr="0030105A">
        <w:rPr>
          <w:i/>
          <w:iCs/>
          <w:noProof/>
          <w:lang w:val="es-ES"/>
        </w:rPr>
        <w:t>a)</w:t>
      </w:r>
      <w:r w:rsidRPr="0030105A">
        <w:rPr>
          <w:noProof/>
          <w:lang w:val="es-ES"/>
        </w:rPr>
        <w:tab/>
        <w:t>10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600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 para los Asociados que participen en las actividades del UIT-T y el UIT-R;</w:t>
      </w:r>
    </w:p>
    <w:p w14:paraId="1DCAEE90" w14:textId="77777777" w:rsidR="00FE3CE9" w:rsidRPr="0030105A" w:rsidRDefault="00FE3CE9" w:rsidP="00FE3CE9">
      <w:pPr>
        <w:pStyle w:val="enumlev1"/>
        <w:jc w:val="both"/>
        <w:rPr>
          <w:noProof/>
          <w:lang w:val="es-ES"/>
        </w:rPr>
      </w:pPr>
      <w:r w:rsidRPr="0030105A">
        <w:rPr>
          <w:i/>
          <w:iCs/>
          <w:noProof/>
          <w:lang w:val="es-ES"/>
        </w:rPr>
        <w:t>b)</w:t>
      </w:r>
      <w:r w:rsidRPr="0030105A">
        <w:rPr>
          <w:noProof/>
          <w:lang w:val="es-ES"/>
        </w:rPr>
        <w:tab/>
        <w:t>3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975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 para los Asociados que participen en las actividades del UIT-D;</w:t>
      </w:r>
    </w:p>
    <w:p w14:paraId="0D2EDB2A" w14:textId="77777777" w:rsidR="00FE3CE9" w:rsidRPr="0030105A" w:rsidRDefault="00FE3CE9" w:rsidP="00FE3CE9">
      <w:pPr>
        <w:pStyle w:val="enumlev1"/>
        <w:jc w:val="both"/>
        <w:rPr>
          <w:noProof/>
          <w:spacing w:val="-2"/>
          <w:lang w:val="es-ES"/>
        </w:rPr>
      </w:pPr>
      <w:r w:rsidRPr="0030105A">
        <w:rPr>
          <w:i/>
          <w:iCs/>
          <w:noProof/>
          <w:lang w:val="es-ES"/>
        </w:rPr>
        <w:t>c)</w:t>
      </w:r>
      <w:r w:rsidRPr="0030105A">
        <w:rPr>
          <w:noProof/>
          <w:lang w:val="es-ES"/>
        </w:rPr>
        <w:tab/>
        <w:t>1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987,50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 para los Asociados de los países en desarrollo que participen en las actividades del UIT−D;</w:t>
      </w:r>
    </w:p>
    <w:p w14:paraId="599A8D5C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noProof/>
          <w:lang w:val="es-ES"/>
        </w:rPr>
        <w:t>4</w:t>
      </w:r>
      <w:r w:rsidRPr="0030105A">
        <w:rPr>
          <w:noProof/>
          <w:lang w:val="es-ES"/>
        </w:rPr>
        <w:tab/>
        <w:t>fijar el canon anual para las Instituciones Académicas, incluidas las universidades y sus organismos de investigación asociados en las cantidades siguientes:</w:t>
      </w:r>
    </w:p>
    <w:p w14:paraId="192DD79E" w14:textId="77777777" w:rsidR="00FE3CE9" w:rsidRPr="0030105A" w:rsidRDefault="00FE3CE9" w:rsidP="00FE3CE9">
      <w:pPr>
        <w:pStyle w:val="enumlev1"/>
        <w:jc w:val="both"/>
        <w:rPr>
          <w:noProof/>
          <w:lang w:val="es-ES"/>
        </w:rPr>
      </w:pPr>
      <w:r w:rsidRPr="0030105A">
        <w:rPr>
          <w:i/>
          <w:iCs/>
          <w:noProof/>
          <w:lang w:val="es-ES"/>
        </w:rPr>
        <w:t>a)</w:t>
      </w:r>
      <w:r w:rsidRPr="0030105A">
        <w:rPr>
          <w:noProof/>
          <w:lang w:val="es-ES"/>
        </w:rPr>
        <w:tab/>
        <w:t>3 975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 para las Instituciones Académicas de países desarrollados que participan en los trabajos de los tres Sectores;</w:t>
      </w:r>
    </w:p>
    <w:p w14:paraId="0EB59009" w14:textId="77777777" w:rsidR="00FE3CE9" w:rsidRPr="0030105A" w:rsidRDefault="00FE3CE9" w:rsidP="00FE3CE9">
      <w:pPr>
        <w:pStyle w:val="enumlev1"/>
        <w:jc w:val="both"/>
        <w:rPr>
          <w:noProof/>
          <w:lang w:val="es-ES"/>
        </w:rPr>
      </w:pPr>
      <w:r w:rsidRPr="005B4732">
        <w:rPr>
          <w:i/>
          <w:iCs/>
          <w:noProof/>
          <w:lang w:val="es-ES"/>
        </w:rPr>
        <w:t>b)</w:t>
      </w:r>
      <w:r w:rsidRPr="005B4732">
        <w:rPr>
          <w:noProof/>
          <w:lang w:val="es-ES"/>
        </w:rPr>
        <w:tab/>
        <w:t>1 987,50</w:t>
      </w:r>
      <w:r>
        <w:rPr>
          <w:noProof/>
          <w:lang w:val="es-ES"/>
        </w:rPr>
        <w:t> </w:t>
      </w:r>
      <w:r w:rsidRPr="005B4732">
        <w:rPr>
          <w:noProof/>
          <w:lang w:val="es-ES"/>
        </w:rPr>
        <w:t>CHF para las Instituciones Académicas de países en desarrollo que</w:t>
      </w:r>
      <w:r w:rsidRPr="0030105A">
        <w:rPr>
          <w:noProof/>
          <w:lang w:val="es-ES"/>
        </w:rPr>
        <w:t xml:space="preserve"> participan en los trabajos de los tres Sectores;</w:t>
      </w:r>
    </w:p>
    <w:p w14:paraId="66634F42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noProof/>
          <w:lang w:val="es-ES"/>
        </w:rPr>
        <w:t>5</w:t>
      </w:r>
      <w:r w:rsidRPr="0030105A">
        <w:rPr>
          <w:noProof/>
          <w:lang w:val="es-ES"/>
        </w:rPr>
        <w:tab/>
        <w:t xml:space="preserve">autorizar, durante la ejecución del presupuesto para 2026-2027, a la Secretaria General a ajustar las consignaciones de las partidas de gastos a) y b) siguientes, de conformidad con las modificaciones resultantes de la utilización de la Cuenta de Provisión, y siempre que ésta se mantenga al nivel prescrito en la Decisión 5 (Rev. Bucarest, 2022): </w:t>
      </w:r>
    </w:p>
    <w:p w14:paraId="0AE47457" w14:textId="77777777" w:rsidR="00FE3CE9" w:rsidRPr="0030105A" w:rsidRDefault="00FE3CE9" w:rsidP="00FE3CE9">
      <w:pPr>
        <w:pStyle w:val="enumlev1"/>
        <w:jc w:val="both"/>
        <w:rPr>
          <w:noProof/>
          <w:lang w:val="es-ES"/>
        </w:rPr>
      </w:pPr>
      <w:r w:rsidRPr="0030105A">
        <w:rPr>
          <w:i/>
          <w:iCs/>
          <w:noProof/>
          <w:lang w:val="es-ES"/>
        </w:rPr>
        <w:t>a)</w:t>
      </w:r>
      <w:r w:rsidRPr="0030105A">
        <w:rPr>
          <w:noProof/>
          <w:lang w:val="es-ES"/>
        </w:rPr>
        <w:tab/>
        <w:t>los aumentos de las escalas de sueldos, las contribuciones para pensiones y los subsidios, incluidos los ajustes por lugar de destino, aplicables en Ginebra, establecidos por el régimen común de las Naciones Unidas;</w:t>
      </w:r>
    </w:p>
    <w:p w14:paraId="794FED84" w14:textId="77777777" w:rsidR="00FE3CE9" w:rsidRPr="0030105A" w:rsidRDefault="00FE3CE9" w:rsidP="00FE3CE9">
      <w:pPr>
        <w:pStyle w:val="enumlev1"/>
        <w:jc w:val="both"/>
        <w:rPr>
          <w:noProof/>
          <w:lang w:val="es-ES"/>
        </w:rPr>
      </w:pPr>
      <w:r w:rsidRPr="0030105A">
        <w:rPr>
          <w:i/>
          <w:iCs/>
          <w:noProof/>
          <w:lang w:val="es-ES"/>
        </w:rPr>
        <w:t>b)</w:t>
      </w:r>
      <w:r w:rsidRPr="0030105A">
        <w:rPr>
          <w:noProof/>
          <w:lang w:val="es-ES"/>
        </w:rPr>
        <w:tab/>
        <w:t>las fluctuaciones del tipo de cambio entre el franco suizo y el dólar de Estados Unidos en la medida en que dicho tipo afecte a los costes del personal al que se aplican las escalas de sueldos de las Naciones Unidas;</w:t>
      </w:r>
    </w:p>
    <w:p w14:paraId="0A57DED6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noProof/>
          <w:lang w:val="es-ES"/>
        </w:rPr>
        <w:t>6</w:t>
      </w:r>
      <w:r w:rsidRPr="0030105A">
        <w:rPr>
          <w:noProof/>
          <w:lang w:val="es-ES"/>
        </w:rPr>
        <w:tab/>
        <w:t xml:space="preserve">encargar a la Secretaria General que someta cada año al Consejo un Informe detallado con toda la documentación que justifique las medidas adoptadas, acompañada de una exposición de las consecuencias financieras del </w:t>
      </w:r>
      <w:r w:rsidRPr="0030105A">
        <w:rPr>
          <w:i/>
          <w:iCs/>
          <w:noProof/>
          <w:lang w:val="es-ES"/>
        </w:rPr>
        <w:t>resuelve además</w:t>
      </w:r>
      <w:r w:rsidRPr="0030105A">
        <w:rPr>
          <w:noProof/>
          <w:lang w:val="es-ES"/>
        </w:rPr>
        <w:t xml:space="preserve"> 5;</w:t>
      </w:r>
    </w:p>
    <w:p w14:paraId="680C7136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noProof/>
          <w:lang w:val="es-ES"/>
        </w:rPr>
        <w:t>7</w:t>
      </w:r>
      <w:r w:rsidRPr="0030105A">
        <w:rPr>
          <w:noProof/>
          <w:lang w:val="es-ES"/>
        </w:rPr>
        <w:tab/>
        <w:t xml:space="preserve">conceder a la Secretaria General, para el bienio 2026-2027, con respecto a la </w:t>
      </w:r>
      <w:r w:rsidRPr="0030105A">
        <w:rPr>
          <w:i/>
          <w:iCs/>
          <w:noProof/>
          <w:lang w:val="es-ES"/>
        </w:rPr>
        <w:t>Regla</w:t>
      </w:r>
      <w:r>
        <w:rPr>
          <w:i/>
          <w:iCs/>
          <w:noProof/>
          <w:lang w:val="es-ES"/>
        </w:rPr>
        <w:t> </w:t>
      </w:r>
      <w:r w:rsidRPr="0030105A">
        <w:rPr>
          <w:i/>
          <w:iCs/>
          <w:noProof/>
          <w:lang w:val="es-ES"/>
        </w:rPr>
        <w:t>6.1</w:t>
      </w:r>
      <w:r w:rsidRPr="0030105A">
        <w:rPr>
          <w:noProof/>
          <w:lang w:val="es-ES"/>
        </w:rPr>
        <w:t xml:space="preserve"> del Reglamento Financiero y las Reglas Financieras, la flexibilidad necesaria para compensar los excedentes de gastos en las categorías 1 y 2 (gastos de personal) con ahorros efectuados en las categorías 3 a 9 (gastos distintos de los de personal) y efectuar las transferencias necesarias, en su caso;</w:t>
      </w:r>
    </w:p>
    <w:p w14:paraId="40600AAB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noProof/>
          <w:lang w:val="es-ES"/>
        </w:rPr>
        <w:t>8</w:t>
      </w:r>
      <w:r w:rsidRPr="0030105A">
        <w:rPr>
          <w:noProof/>
          <w:lang w:val="es-ES"/>
        </w:rPr>
        <w:tab/>
        <w:t>autorizar que, en caso necesario, se equilibren las cuentas de 2026-2027 con el superávit de ingresos;</w:t>
      </w:r>
    </w:p>
    <w:p w14:paraId="3F862B19" w14:textId="77777777" w:rsidR="00FE3CE9" w:rsidRPr="0030105A" w:rsidRDefault="00FE3CE9" w:rsidP="00FE3CE9">
      <w:pPr>
        <w:jc w:val="both"/>
        <w:rPr>
          <w:noProof/>
          <w:lang w:val="es-ES"/>
        </w:rPr>
      </w:pPr>
      <w:r w:rsidRPr="0030105A">
        <w:rPr>
          <w:noProof/>
          <w:lang w:val="es-ES"/>
        </w:rPr>
        <w:lastRenderedPageBreak/>
        <w:t>9</w:t>
      </w:r>
      <w:r w:rsidRPr="0030105A">
        <w:rPr>
          <w:noProof/>
          <w:lang w:val="es-ES"/>
        </w:rPr>
        <w:tab/>
        <w:t>encargar a la Secretaria General que en enero de 2026 transfiera 1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millón</w:t>
      </w:r>
      <w:r>
        <w:rPr>
          <w:noProof/>
          <w:lang w:val="es-ES"/>
        </w:rPr>
        <w:t> </w:t>
      </w:r>
      <w:r w:rsidRPr="0030105A">
        <w:rPr>
          <w:noProof/>
          <w:lang w:val="es-ES"/>
        </w:rPr>
        <w:t>CHF de la Cuenta de Provisión al fondo del seguro médico posterior a la separación del servicio para cubrir el pasivo a largo plazo no financiado.</w:t>
      </w:r>
    </w:p>
    <w:p w14:paraId="0D5F3DA7" w14:textId="193023EB" w:rsidR="002C59E7" w:rsidRDefault="00FE3CE9" w:rsidP="00FE3CE9">
      <w:pPr>
        <w:spacing w:before="840"/>
        <w:jc w:val="both"/>
        <w:rPr>
          <w:noProof/>
          <w:lang w:val="es-ES"/>
        </w:rPr>
      </w:pPr>
      <w:r w:rsidRPr="0030105A">
        <w:rPr>
          <w:b/>
          <w:bCs/>
          <w:noProof/>
          <w:lang w:val="es-ES"/>
        </w:rPr>
        <w:t>Anexos</w:t>
      </w:r>
      <w:r w:rsidRPr="0030105A">
        <w:rPr>
          <w:noProof/>
          <w:lang w:val="es-ES"/>
        </w:rPr>
        <w:t>: Cuadros</w:t>
      </w:r>
      <w:r>
        <w:rPr>
          <w:noProof/>
          <w:lang w:val="es-ES"/>
        </w:rPr>
        <w:t xml:space="preserve"> 1 al 12</w:t>
      </w:r>
    </w:p>
    <w:p w14:paraId="02267086" w14:textId="77777777" w:rsidR="002C59E7" w:rsidRDefault="002C59E7" w:rsidP="002C59E7">
      <w:pPr>
        <w:rPr>
          <w:lang w:val="es-ES"/>
        </w:rPr>
      </w:pPr>
    </w:p>
    <w:p w14:paraId="1A7DBD2E" w14:textId="77777777" w:rsidR="002C59E7" w:rsidRDefault="002C59E7" w:rsidP="002C59E7">
      <w:pPr>
        <w:rPr>
          <w:lang w:val="es-ES"/>
        </w:rPr>
        <w:sectPr w:rsidR="002C59E7" w:rsidSect="00C538F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412B115D" w14:textId="77777777" w:rsidR="00FE3CE9" w:rsidRDefault="00FE3CE9" w:rsidP="00FE3CE9">
      <w:pPr>
        <w:pStyle w:val="Figure"/>
        <w:rPr>
          <w:lang w:val="es-ES"/>
        </w:rPr>
      </w:pPr>
      <w:r w:rsidRPr="003513A2">
        <w:rPr>
          <w:noProof/>
        </w:rPr>
        <w:lastRenderedPageBreak/>
        <w:drawing>
          <wp:inline distT="0" distB="0" distL="0" distR="0" wp14:anchorId="7F92A8F7" wp14:editId="386916CC">
            <wp:extent cx="7451090" cy="2733040"/>
            <wp:effectExtent l="0" t="0" r="0" b="0"/>
            <wp:docPr id="1051407322" name="Picture 1051407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09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5FDAB" w14:textId="77777777" w:rsidR="00FE3CE9" w:rsidRDefault="00FE3CE9" w:rsidP="00FE3CE9">
      <w:pPr>
        <w:rPr>
          <w:lang w:val="es-ES"/>
        </w:rPr>
      </w:pPr>
      <w:r>
        <w:rPr>
          <w:lang w:val="es-ES"/>
        </w:rPr>
        <w:br w:type="page"/>
      </w:r>
    </w:p>
    <w:p w14:paraId="14215DA5" w14:textId="77777777" w:rsidR="00FE3CE9" w:rsidRDefault="00FE3CE9" w:rsidP="00FE3CE9">
      <w:pPr>
        <w:pStyle w:val="Figure"/>
        <w:rPr>
          <w:lang w:val="es-ES"/>
        </w:rPr>
      </w:pPr>
      <w:r w:rsidRPr="003513A2">
        <w:rPr>
          <w:noProof/>
        </w:rPr>
        <w:lastRenderedPageBreak/>
        <w:drawing>
          <wp:inline distT="0" distB="0" distL="0" distR="0" wp14:anchorId="329C6EBF" wp14:editId="365158AC">
            <wp:extent cx="7142480" cy="5760085"/>
            <wp:effectExtent l="0" t="0" r="1270" b="0"/>
            <wp:docPr id="1051407321" name="Picture 1051407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80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3238" w14:textId="77777777" w:rsidR="00FE3CE9" w:rsidRPr="003513A2" w:rsidRDefault="00FE3CE9" w:rsidP="00FE3CE9">
      <w:pPr>
        <w:pStyle w:val="Figure"/>
        <w:rPr>
          <w:lang w:val="es-ES"/>
        </w:rPr>
      </w:pPr>
      <w:r w:rsidRPr="003513A2">
        <w:rPr>
          <w:noProof/>
        </w:rPr>
        <w:lastRenderedPageBreak/>
        <w:drawing>
          <wp:inline distT="0" distB="0" distL="0" distR="0" wp14:anchorId="69C39CAB" wp14:editId="105E3254">
            <wp:extent cx="8321675" cy="5760085"/>
            <wp:effectExtent l="0" t="0" r="3175" b="0"/>
            <wp:docPr id="1051407320" name="Picture 105140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67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D7FC9" w14:textId="77777777" w:rsidR="00FE3CE9" w:rsidRDefault="00FE3CE9" w:rsidP="00FE3CE9">
      <w:pPr>
        <w:pStyle w:val="Figure"/>
        <w:rPr>
          <w:lang w:val="es-ES"/>
        </w:rPr>
      </w:pPr>
      <w:r w:rsidRPr="003513A2">
        <w:rPr>
          <w:noProof/>
        </w:rPr>
        <w:lastRenderedPageBreak/>
        <w:drawing>
          <wp:inline distT="0" distB="0" distL="0" distR="0" wp14:anchorId="08BD6AB4" wp14:editId="65B338FB">
            <wp:extent cx="8888730" cy="3028315"/>
            <wp:effectExtent l="0" t="0" r="7620" b="635"/>
            <wp:docPr id="1051407319" name="Picture 1051407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B5857" w14:textId="77777777" w:rsidR="00FE3CE9" w:rsidRDefault="00FE3CE9" w:rsidP="00FE3CE9">
      <w:pPr>
        <w:pStyle w:val="Figure"/>
        <w:rPr>
          <w:lang w:val="es-ES"/>
        </w:rPr>
      </w:pPr>
      <w:r w:rsidRPr="003513A2">
        <w:rPr>
          <w:noProof/>
        </w:rPr>
        <w:lastRenderedPageBreak/>
        <w:drawing>
          <wp:inline distT="0" distB="0" distL="0" distR="0" wp14:anchorId="279DDADD" wp14:editId="6DE2166A">
            <wp:extent cx="8888730" cy="2946400"/>
            <wp:effectExtent l="0" t="0" r="7620" b="6350"/>
            <wp:docPr id="1051407318" name="Picture 1051407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A474E" w14:textId="77777777" w:rsidR="00FE3CE9" w:rsidRDefault="00FE3CE9" w:rsidP="00FE3CE9">
      <w:pPr>
        <w:pStyle w:val="Figure"/>
        <w:rPr>
          <w:lang w:val="es-ES"/>
        </w:rPr>
      </w:pPr>
      <w:r w:rsidRPr="003513A2">
        <w:rPr>
          <w:noProof/>
        </w:rPr>
        <w:lastRenderedPageBreak/>
        <w:drawing>
          <wp:inline distT="0" distB="0" distL="0" distR="0" wp14:anchorId="1582E150" wp14:editId="590A76D4">
            <wp:extent cx="8888730" cy="3415030"/>
            <wp:effectExtent l="0" t="0" r="7620" b="0"/>
            <wp:docPr id="1051407317" name="Picture 1051407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BD57E" w14:textId="77777777" w:rsidR="00FE3CE9" w:rsidRDefault="00FE3CE9" w:rsidP="00FE3CE9">
      <w:pPr>
        <w:pStyle w:val="Figure"/>
        <w:rPr>
          <w:lang w:val="es-ES"/>
        </w:rPr>
      </w:pPr>
      <w:r w:rsidRPr="003513A2">
        <w:rPr>
          <w:noProof/>
        </w:rPr>
        <w:lastRenderedPageBreak/>
        <w:drawing>
          <wp:inline distT="0" distB="0" distL="0" distR="0" wp14:anchorId="017D88C6" wp14:editId="47F4BAAB">
            <wp:extent cx="8812530" cy="4984115"/>
            <wp:effectExtent l="0" t="0" r="7620" b="6985"/>
            <wp:docPr id="1051407316" name="Picture 1051407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53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6B44D" w14:textId="77777777" w:rsidR="00FE3CE9" w:rsidRDefault="00FE3CE9" w:rsidP="00FE3CE9">
      <w:pPr>
        <w:pStyle w:val="Figure"/>
        <w:rPr>
          <w:lang w:val="es-ES"/>
        </w:rPr>
      </w:pPr>
      <w:r w:rsidRPr="003513A2">
        <w:rPr>
          <w:noProof/>
        </w:rPr>
        <w:lastRenderedPageBreak/>
        <w:drawing>
          <wp:inline distT="0" distB="0" distL="0" distR="0" wp14:anchorId="12AA0871" wp14:editId="20129F95">
            <wp:extent cx="8888730" cy="3475990"/>
            <wp:effectExtent l="0" t="0" r="7620" b="0"/>
            <wp:docPr id="1051407315" name="Picture 1051407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280D" w14:textId="77777777" w:rsidR="00FE3CE9" w:rsidRDefault="00FE3CE9" w:rsidP="00FE3CE9">
      <w:pPr>
        <w:pStyle w:val="Figure"/>
        <w:rPr>
          <w:lang w:val="es-ES"/>
        </w:rPr>
      </w:pPr>
      <w:r w:rsidRPr="003513A2">
        <w:rPr>
          <w:noProof/>
        </w:rPr>
        <w:lastRenderedPageBreak/>
        <w:drawing>
          <wp:inline distT="0" distB="0" distL="0" distR="0" wp14:anchorId="0580EA61" wp14:editId="3DAC3726">
            <wp:extent cx="8888730" cy="3441700"/>
            <wp:effectExtent l="0" t="0" r="7620" b="6350"/>
            <wp:docPr id="1051407314" name="Picture 1051407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90C8" w14:textId="77777777" w:rsidR="00FE3CE9" w:rsidRDefault="00FE3CE9" w:rsidP="00FE3CE9">
      <w:pPr>
        <w:pStyle w:val="Figure"/>
        <w:rPr>
          <w:lang w:val="es-ES"/>
        </w:rPr>
      </w:pPr>
      <w:r w:rsidRPr="006829B7">
        <w:rPr>
          <w:noProof/>
        </w:rPr>
        <w:lastRenderedPageBreak/>
        <w:drawing>
          <wp:inline distT="0" distB="0" distL="0" distR="0" wp14:anchorId="12CC7138" wp14:editId="48201E9A">
            <wp:extent cx="8888730" cy="3518535"/>
            <wp:effectExtent l="0" t="0" r="7620" b="5715"/>
            <wp:docPr id="1051407313" name="Picture 1051407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07C97" w14:textId="77777777" w:rsidR="00FE3CE9" w:rsidRDefault="00FE3CE9" w:rsidP="00FE3CE9">
      <w:pPr>
        <w:pStyle w:val="Figure"/>
        <w:rPr>
          <w:lang w:val="es-ES"/>
        </w:rPr>
      </w:pPr>
      <w:r w:rsidRPr="006829B7">
        <w:rPr>
          <w:noProof/>
        </w:rPr>
        <w:lastRenderedPageBreak/>
        <w:drawing>
          <wp:inline distT="0" distB="0" distL="0" distR="0" wp14:anchorId="1342C8B3" wp14:editId="041A2AD6">
            <wp:extent cx="8888730" cy="3596640"/>
            <wp:effectExtent l="0" t="0" r="7620" b="3810"/>
            <wp:docPr id="1051407312" name="Picture 1051407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592D2" w14:textId="77777777" w:rsidR="00FE3CE9" w:rsidRDefault="00FE3CE9" w:rsidP="00FE3CE9">
      <w:pPr>
        <w:pStyle w:val="Figure"/>
        <w:rPr>
          <w:lang w:val="es-ES"/>
        </w:rPr>
      </w:pPr>
      <w:r w:rsidRPr="004954AB">
        <w:rPr>
          <w:noProof/>
        </w:rPr>
        <w:lastRenderedPageBreak/>
        <w:drawing>
          <wp:inline distT="0" distB="0" distL="0" distR="0" wp14:anchorId="7AEA02DE" wp14:editId="70C15E80">
            <wp:extent cx="8888730" cy="3841750"/>
            <wp:effectExtent l="0" t="0" r="7620" b="6350"/>
            <wp:docPr id="47" name="Picture 4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screenshot of a computer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8873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7CDCE" w14:textId="77777777" w:rsidR="00FE3CE9" w:rsidRDefault="00FE3CE9" w:rsidP="00FE3CE9">
      <w:pPr>
        <w:pStyle w:val="Figure"/>
        <w:rPr>
          <w:lang w:val="es-ES"/>
        </w:rPr>
      </w:pPr>
      <w:r w:rsidRPr="008D1885">
        <w:rPr>
          <w:noProof/>
        </w:rPr>
        <w:lastRenderedPageBreak/>
        <w:drawing>
          <wp:inline distT="0" distB="0" distL="0" distR="0" wp14:anchorId="1DBC9230" wp14:editId="6640F402">
            <wp:extent cx="8888730" cy="4048125"/>
            <wp:effectExtent l="0" t="0" r="7620" b="0"/>
            <wp:docPr id="1051407304" name="Picture 105140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692D1" w14:textId="77777777" w:rsidR="00FE3CE9" w:rsidRDefault="00FE3CE9" w:rsidP="00FE3CE9">
      <w:pPr>
        <w:pStyle w:val="Figure"/>
        <w:rPr>
          <w:lang w:val="es-ES"/>
        </w:rPr>
      </w:pPr>
      <w:r w:rsidRPr="008D1885">
        <w:rPr>
          <w:noProof/>
        </w:rPr>
        <w:lastRenderedPageBreak/>
        <w:drawing>
          <wp:inline distT="0" distB="0" distL="0" distR="0" wp14:anchorId="64DDCFE2" wp14:editId="2C7D052B">
            <wp:extent cx="8888730" cy="3912870"/>
            <wp:effectExtent l="0" t="0" r="7620" b="0"/>
            <wp:docPr id="1051407303" name="Picture 105140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21295" w14:textId="77777777" w:rsidR="00FE3CE9" w:rsidRDefault="00FE3CE9" w:rsidP="00FE3CE9">
      <w:pPr>
        <w:pStyle w:val="Figure"/>
        <w:rPr>
          <w:lang w:val="es-ES"/>
        </w:rPr>
      </w:pPr>
      <w:r w:rsidRPr="008D1885">
        <w:rPr>
          <w:noProof/>
        </w:rPr>
        <w:lastRenderedPageBreak/>
        <w:drawing>
          <wp:inline distT="0" distB="0" distL="0" distR="0" wp14:anchorId="533C03F5" wp14:editId="4070B6D4">
            <wp:extent cx="8888730" cy="4437380"/>
            <wp:effectExtent l="0" t="0" r="7620" b="1270"/>
            <wp:docPr id="1051407302" name="Picture 1051407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4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63980" w14:textId="77777777" w:rsidR="00FE3CE9" w:rsidRDefault="00FE3CE9" w:rsidP="00FE3CE9">
      <w:pPr>
        <w:pStyle w:val="Figure"/>
        <w:rPr>
          <w:lang w:val="es-ES"/>
        </w:rPr>
      </w:pPr>
      <w:r w:rsidRPr="006829B7">
        <w:rPr>
          <w:noProof/>
        </w:rPr>
        <w:lastRenderedPageBreak/>
        <w:drawing>
          <wp:inline distT="0" distB="0" distL="0" distR="0" wp14:anchorId="3F22C147" wp14:editId="335D879A">
            <wp:extent cx="8888730" cy="4099560"/>
            <wp:effectExtent l="0" t="0" r="7620" b="0"/>
            <wp:docPr id="1051407305" name="Picture 1051407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EAD2" w14:textId="77777777" w:rsidR="00FE3CE9" w:rsidRDefault="00FE3CE9" w:rsidP="00FE3CE9">
      <w:pPr>
        <w:pStyle w:val="Figure"/>
        <w:rPr>
          <w:lang w:val="es-ES"/>
        </w:rPr>
      </w:pPr>
      <w:r w:rsidRPr="006829B7">
        <w:rPr>
          <w:noProof/>
        </w:rPr>
        <w:lastRenderedPageBreak/>
        <w:drawing>
          <wp:inline distT="0" distB="0" distL="0" distR="0" wp14:anchorId="2627EB60" wp14:editId="647D7FD7">
            <wp:extent cx="8888730" cy="4015740"/>
            <wp:effectExtent l="0" t="0" r="7620" b="0"/>
            <wp:docPr id="1051407306" name="Picture 1051407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489E0" w14:textId="77777777" w:rsidR="00FE3CE9" w:rsidRDefault="00FE3CE9" w:rsidP="00FE3CE9">
      <w:pPr>
        <w:pStyle w:val="Figure"/>
        <w:rPr>
          <w:lang w:val="es-ES"/>
        </w:rPr>
      </w:pPr>
      <w:r w:rsidRPr="006829B7">
        <w:rPr>
          <w:noProof/>
        </w:rPr>
        <w:lastRenderedPageBreak/>
        <w:drawing>
          <wp:inline distT="0" distB="0" distL="0" distR="0" wp14:anchorId="3D9E3D43" wp14:editId="7AA10B3A">
            <wp:extent cx="8888730" cy="3906520"/>
            <wp:effectExtent l="0" t="0" r="7620" b="0"/>
            <wp:docPr id="1051407307" name="Picture 1051407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90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7406D" w14:textId="77777777" w:rsidR="00FE3CE9" w:rsidRDefault="00FE3CE9" w:rsidP="00FE3CE9">
      <w:pPr>
        <w:pStyle w:val="Figure"/>
        <w:rPr>
          <w:lang w:val="es-ES"/>
        </w:rPr>
      </w:pPr>
      <w:r w:rsidRPr="006829B7">
        <w:rPr>
          <w:noProof/>
        </w:rPr>
        <w:lastRenderedPageBreak/>
        <w:drawing>
          <wp:inline distT="0" distB="0" distL="0" distR="0" wp14:anchorId="0F38B2C0" wp14:editId="0D2E1AD6">
            <wp:extent cx="8888730" cy="4757420"/>
            <wp:effectExtent l="0" t="0" r="7620" b="0"/>
            <wp:docPr id="1051407308" name="Picture 1051407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64389" w14:textId="77777777" w:rsidR="00FE3CE9" w:rsidRDefault="00FE3CE9" w:rsidP="00FE3CE9">
      <w:pPr>
        <w:pStyle w:val="Figure"/>
        <w:rPr>
          <w:lang w:val="es-ES"/>
        </w:rPr>
      </w:pPr>
      <w:r w:rsidRPr="006829B7">
        <w:rPr>
          <w:noProof/>
        </w:rPr>
        <w:lastRenderedPageBreak/>
        <w:drawing>
          <wp:inline distT="0" distB="0" distL="0" distR="0" wp14:anchorId="3CC8483A" wp14:editId="6A87B3A8">
            <wp:extent cx="8888730" cy="5035550"/>
            <wp:effectExtent l="0" t="0" r="7620" b="0"/>
            <wp:docPr id="1051407309" name="Picture 1051407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5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D45F" w14:textId="77777777" w:rsidR="00FE3CE9" w:rsidRDefault="00FE3CE9" w:rsidP="00FE3CE9">
      <w:pPr>
        <w:pStyle w:val="Figure"/>
        <w:rPr>
          <w:lang w:val="es-ES"/>
        </w:rPr>
      </w:pPr>
      <w:r w:rsidRPr="006829B7">
        <w:rPr>
          <w:noProof/>
        </w:rPr>
        <w:lastRenderedPageBreak/>
        <w:drawing>
          <wp:inline distT="0" distB="0" distL="0" distR="0" wp14:anchorId="73042505" wp14:editId="010D2DBA">
            <wp:extent cx="8888730" cy="5027295"/>
            <wp:effectExtent l="0" t="0" r="7620" b="1905"/>
            <wp:docPr id="1051407310" name="Picture 1051407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50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CC4B1" w14:textId="77777777" w:rsidR="00FE3CE9" w:rsidRDefault="00FE3CE9" w:rsidP="00FE3CE9">
      <w:pPr>
        <w:pStyle w:val="Figure"/>
        <w:rPr>
          <w:lang w:val="es-ES"/>
        </w:rPr>
      </w:pPr>
      <w:r w:rsidRPr="006829B7">
        <w:rPr>
          <w:noProof/>
        </w:rPr>
        <w:lastRenderedPageBreak/>
        <w:drawing>
          <wp:inline distT="0" distB="0" distL="0" distR="0" wp14:anchorId="719FE440" wp14:editId="1E04677C">
            <wp:extent cx="6828155" cy="2964180"/>
            <wp:effectExtent l="0" t="0" r="0" b="0"/>
            <wp:docPr id="1051407311" name="Picture 1051407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C32AA" w14:textId="77777777" w:rsidR="003B694B" w:rsidRDefault="003B694B" w:rsidP="00411C49">
      <w:pPr>
        <w:pStyle w:val="Reasons"/>
      </w:pPr>
    </w:p>
    <w:p w14:paraId="69309532" w14:textId="77777777" w:rsidR="003B694B" w:rsidRDefault="003B694B">
      <w:pPr>
        <w:jc w:val="center"/>
      </w:pPr>
      <w:r>
        <w:t>______________</w:t>
      </w:r>
    </w:p>
    <w:sectPr w:rsidR="003B694B" w:rsidSect="00CA5E4A">
      <w:headerReference w:type="first" r:id="rId36"/>
      <w:pgSz w:w="16834" w:h="11907" w:orient="landscape" w:code="9"/>
      <w:pgMar w:top="1134" w:right="1134" w:bottom="1134" w:left="1134" w:header="510" w:footer="510" w:gutter="0"/>
      <w:paperSrc w:first="7" w:other="7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0565" w14:textId="77777777" w:rsidR="00EF4995" w:rsidRDefault="00EF4995">
      <w:r>
        <w:separator/>
      </w:r>
    </w:p>
  </w:endnote>
  <w:endnote w:type="continuationSeparator" w:id="0">
    <w:p w14:paraId="37786BD2" w14:textId="77777777" w:rsidR="00EF4995" w:rsidRDefault="00EF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D6FF" w14:textId="77777777" w:rsidR="00B060DF" w:rsidRDefault="00B060DF">
    <w:pPr>
      <w:pStyle w:val="Footer"/>
    </w:pPr>
  </w:p>
  <w:p w14:paraId="0F8BEC07" w14:textId="77777777" w:rsidR="00430AC9" w:rsidRDefault="00430A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41FFEE28" w14:textId="77777777" w:rsidTr="00E31DCE">
      <w:trPr>
        <w:jc w:val="center"/>
      </w:trPr>
      <w:tc>
        <w:tcPr>
          <w:tcW w:w="1803" w:type="dxa"/>
          <w:vAlign w:val="center"/>
        </w:tcPr>
        <w:p w14:paraId="30FE5DD5" w14:textId="33CBECCC" w:rsidR="003273A4" w:rsidRDefault="003273A4" w:rsidP="003273A4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9627A70" w14:textId="573749E3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7E197D">
            <w:rPr>
              <w:bCs/>
            </w:rPr>
            <w:t>119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420F71" w14:textId="77777777" w:rsidR="00430AC9" w:rsidRDefault="00430A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10D62DB0" w14:textId="77777777" w:rsidTr="00E31DCE">
      <w:trPr>
        <w:jc w:val="center"/>
      </w:trPr>
      <w:tc>
        <w:tcPr>
          <w:tcW w:w="1803" w:type="dxa"/>
          <w:vAlign w:val="center"/>
        </w:tcPr>
        <w:p w14:paraId="2B6C2883" w14:textId="77777777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6F5AFE2E" w14:textId="2E07A1F4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7E197D">
            <w:rPr>
              <w:bCs/>
            </w:rPr>
            <w:t>119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3A37FE6" w14:textId="77777777" w:rsidR="00760F1C" w:rsidRPr="00F24B71" w:rsidRDefault="00760F1C" w:rsidP="00F24B71">
    <w:pPr>
      <w:pStyle w:val="Footer"/>
    </w:pPr>
  </w:p>
  <w:p w14:paraId="73207BF0" w14:textId="77777777" w:rsidR="00430AC9" w:rsidRDefault="00430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90B9" w14:textId="77777777" w:rsidR="00EF4995" w:rsidRDefault="00EF4995">
      <w:r>
        <w:t>____________________</w:t>
      </w:r>
    </w:p>
  </w:footnote>
  <w:footnote w:type="continuationSeparator" w:id="0">
    <w:p w14:paraId="64D465C9" w14:textId="77777777" w:rsidR="00EF4995" w:rsidRDefault="00EF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A3EB" w14:textId="77777777" w:rsidR="00B060DF" w:rsidRDefault="00B060DF">
    <w:pPr>
      <w:pStyle w:val="Header"/>
    </w:pPr>
  </w:p>
  <w:p w14:paraId="48D53806" w14:textId="77777777" w:rsidR="00430AC9" w:rsidRDefault="00430A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5FB242F0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5E24D900" w14:textId="77777777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1F09E64" wp14:editId="46F9332D">
                <wp:extent cx="3672000" cy="612867"/>
                <wp:effectExtent l="0" t="0" r="0" b="0"/>
                <wp:docPr id="1277874092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46A5BF8C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4BECC4D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D1ECF" wp14:editId="1B03E6C2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2B58E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02B8" w14:textId="49FE1D3D" w:rsidR="002C59E7" w:rsidRDefault="002C5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78B"/>
    <w:multiLevelType w:val="hybridMultilevel"/>
    <w:tmpl w:val="6CD0DC38"/>
    <w:lvl w:ilvl="0" w:tplc="9F1A31CA">
      <w:numFmt w:val="bullet"/>
      <w:lvlText w:val="-"/>
      <w:lvlJc w:val="left"/>
      <w:pPr>
        <w:ind w:left="920" w:hanging="5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446"/>
    <w:multiLevelType w:val="hybridMultilevel"/>
    <w:tmpl w:val="DBEA5F38"/>
    <w:lvl w:ilvl="0" w:tplc="9F1A31CA">
      <w:numFmt w:val="bullet"/>
      <w:lvlText w:val="-"/>
      <w:lvlJc w:val="left"/>
      <w:pPr>
        <w:ind w:left="920" w:hanging="5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31053"/>
    <w:multiLevelType w:val="hybridMultilevel"/>
    <w:tmpl w:val="FBA23ED0"/>
    <w:lvl w:ilvl="0" w:tplc="1D3A9D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85503">
    <w:abstractNumId w:val="0"/>
  </w:num>
  <w:num w:numId="2" w16cid:durableId="1620138274">
    <w:abstractNumId w:val="1"/>
  </w:num>
  <w:num w:numId="3" w16cid:durableId="6488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7"/>
    <w:rsid w:val="000007D1"/>
    <w:rsid w:val="0000223B"/>
    <w:rsid w:val="0000590C"/>
    <w:rsid w:val="000112F9"/>
    <w:rsid w:val="00015ACB"/>
    <w:rsid w:val="00041AE6"/>
    <w:rsid w:val="0006007D"/>
    <w:rsid w:val="00091805"/>
    <w:rsid w:val="00091EC1"/>
    <w:rsid w:val="00093EEB"/>
    <w:rsid w:val="000B0D00"/>
    <w:rsid w:val="000B7C15"/>
    <w:rsid w:val="000C5D91"/>
    <w:rsid w:val="000D1D0F"/>
    <w:rsid w:val="000D2B2C"/>
    <w:rsid w:val="000E3F07"/>
    <w:rsid w:val="000F2A7C"/>
    <w:rsid w:val="000F5290"/>
    <w:rsid w:val="0010165C"/>
    <w:rsid w:val="0011699E"/>
    <w:rsid w:val="0014063F"/>
    <w:rsid w:val="00146BFB"/>
    <w:rsid w:val="001559F5"/>
    <w:rsid w:val="00155C0F"/>
    <w:rsid w:val="00157AC4"/>
    <w:rsid w:val="0016169C"/>
    <w:rsid w:val="00172286"/>
    <w:rsid w:val="001B6E2B"/>
    <w:rsid w:val="001C1C40"/>
    <w:rsid w:val="001E10C2"/>
    <w:rsid w:val="001F14A2"/>
    <w:rsid w:val="00202A4E"/>
    <w:rsid w:val="0022062B"/>
    <w:rsid w:val="00225CEC"/>
    <w:rsid w:val="002261DA"/>
    <w:rsid w:val="0023148B"/>
    <w:rsid w:val="002751BD"/>
    <w:rsid w:val="002801AA"/>
    <w:rsid w:val="00290DC4"/>
    <w:rsid w:val="00291B70"/>
    <w:rsid w:val="002946E2"/>
    <w:rsid w:val="002A13B9"/>
    <w:rsid w:val="002B28D4"/>
    <w:rsid w:val="002C3F32"/>
    <w:rsid w:val="002C4676"/>
    <w:rsid w:val="002C59E7"/>
    <w:rsid w:val="002C70B0"/>
    <w:rsid w:val="002D259B"/>
    <w:rsid w:val="002F3CC4"/>
    <w:rsid w:val="003032E2"/>
    <w:rsid w:val="0031300A"/>
    <w:rsid w:val="00321216"/>
    <w:rsid w:val="00322B22"/>
    <w:rsid w:val="003273A4"/>
    <w:rsid w:val="00330757"/>
    <w:rsid w:val="003363B1"/>
    <w:rsid w:val="00343072"/>
    <w:rsid w:val="0034796E"/>
    <w:rsid w:val="00367E81"/>
    <w:rsid w:val="003B205D"/>
    <w:rsid w:val="003B694B"/>
    <w:rsid w:val="00430AC9"/>
    <w:rsid w:val="0045786E"/>
    <w:rsid w:val="00473962"/>
    <w:rsid w:val="00480022"/>
    <w:rsid w:val="004B5D49"/>
    <w:rsid w:val="004C0EE9"/>
    <w:rsid w:val="004D10D3"/>
    <w:rsid w:val="004D3A3C"/>
    <w:rsid w:val="004D47A1"/>
    <w:rsid w:val="004D4AAD"/>
    <w:rsid w:val="004F5DAC"/>
    <w:rsid w:val="004F7ED4"/>
    <w:rsid w:val="00513630"/>
    <w:rsid w:val="0052027A"/>
    <w:rsid w:val="00521C89"/>
    <w:rsid w:val="00523EF4"/>
    <w:rsid w:val="00546F92"/>
    <w:rsid w:val="00560125"/>
    <w:rsid w:val="00585553"/>
    <w:rsid w:val="0058713E"/>
    <w:rsid w:val="00594318"/>
    <w:rsid w:val="005B1EF5"/>
    <w:rsid w:val="005B34D9"/>
    <w:rsid w:val="005B4732"/>
    <w:rsid w:val="005C0790"/>
    <w:rsid w:val="005C78E0"/>
    <w:rsid w:val="005D0CCF"/>
    <w:rsid w:val="005D1EF9"/>
    <w:rsid w:val="005F3AB7"/>
    <w:rsid w:val="005F3BCB"/>
    <w:rsid w:val="005F410F"/>
    <w:rsid w:val="0060149A"/>
    <w:rsid w:val="00601924"/>
    <w:rsid w:val="006240F0"/>
    <w:rsid w:val="006447EA"/>
    <w:rsid w:val="0064481D"/>
    <w:rsid w:val="0064731F"/>
    <w:rsid w:val="00651C71"/>
    <w:rsid w:val="00664572"/>
    <w:rsid w:val="00666D09"/>
    <w:rsid w:val="00670F18"/>
    <w:rsid w:val="006710F6"/>
    <w:rsid w:val="00671135"/>
    <w:rsid w:val="00677A97"/>
    <w:rsid w:val="006823DD"/>
    <w:rsid w:val="00693ED2"/>
    <w:rsid w:val="006C1B56"/>
    <w:rsid w:val="006D4761"/>
    <w:rsid w:val="006F62DC"/>
    <w:rsid w:val="00712029"/>
    <w:rsid w:val="00722D04"/>
    <w:rsid w:val="00726872"/>
    <w:rsid w:val="00730F84"/>
    <w:rsid w:val="0074135D"/>
    <w:rsid w:val="00760F1C"/>
    <w:rsid w:val="007657F0"/>
    <w:rsid w:val="0077110E"/>
    <w:rsid w:val="0077252D"/>
    <w:rsid w:val="007955DA"/>
    <w:rsid w:val="007B2904"/>
    <w:rsid w:val="007E197D"/>
    <w:rsid w:val="007E5DD3"/>
    <w:rsid w:val="007E78B7"/>
    <w:rsid w:val="007F350B"/>
    <w:rsid w:val="008007F1"/>
    <w:rsid w:val="00806C7C"/>
    <w:rsid w:val="00820BE4"/>
    <w:rsid w:val="0084020A"/>
    <w:rsid w:val="008451E8"/>
    <w:rsid w:val="00851C09"/>
    <w:rsid w:val="008634DA"/>
    <w:rsid w:val="008656BA"/>
    <w:rsid w:val="008D18CE"/>
    <w:rsid w:val="008E15EE"/>
    <w:rsid w:val="008F6725"/>
    <w:rsid w:val="008F6ABC"/>
    <w:rsid w:val="00913B9C"/>
    <w:rsid w:val="0091434D"/>
    <w:rsid w:val="00925DAF"/>
    <w:rsid w:val="00927F93"/>
    <w:rsid w:val="0095105A"/>
    <w:rsid w:val="00956E77"/>
    <w:rsid w:val="0096751F"/>
    <w:rsid w:val="00997FBB"/>
    <w:rsid w:val="009A338E"/>
    <w:rsid w:val="009A6DD1"/>
    <w:rsid w:val="009B1812"/>
    <w:rsid w:val="009C6884"/>
    <w:rsid w:val="009E2DE7"/>
    <w:rsid w:val="009F4811"/>
    <w:rsid w:val="00A27CB3"/>
    <w:rsid w:val="00A54B6A"/>
    <w:rsid w:val="00A73931"/>
    <w:rsid w:val="00A94438"/>
    <w:rsid w:val="00AA390C"/>
    <w:rsid w:val="00AA4C2B"/>
    <w:rsid w:val="00AB18FA"/>
    <w:rsid w:val="00AE1477"/>
    <w:rsid w:val="00AF7322"/>
    <w:rsid w:val="00B0200A"/>
    <w:rsid w:val="00B060DF"/>
    <w:rsid w:val="00B078B7"/>
    <w:rsid w:val="00B15159"/>
    <w:rsid w:val="00B32BA6"/>
    <w:rsid w:val="00B574DB"/>
    <w:rsid w:val="00B826C2"/>
    <w:rsid w:val="00B8298E"/>
    <w:rsid w:val="00B8395D"/>
    <w:rsid w:val="00BA5B46"/>
    <w:rsid w:val="00BB6FD8"/>
    <w:rsid w:val="00BC5BAF"/>
    <w:rsid w:val="00BD0723"/>
    <w:rsid w:val="00BD2518"/>
    <w:rsid w:val="00BF1D1C"/>
    <w:rsid w:val="00C04A77"/>
    <w:rsid w:val="00C10B01"/>
    <w:rsid w:val="00C20C59"/>
    <w:rsid w:val="00C2727F"/>
    <w:rsid w:val="00C35447"/>
    <w:rsid w:val="00C538FC"/>
    <w:rsid w:val="00C554FD"/>
    <w:rsid w:val="00C55B1F"/>
    <w:rsid w:val="00C63B21"/>
    <w:rsid w:val="00C7703F"/>
    <w:rsid w:val="00C85694"/>
    <w:rsid w:val="00CA5E4A"/>
    <w:rsid w:val="00CD7B57"/>
    <w:rsid w:val="00CF1A67"/>
    <w:rsid w:val="00D14CB4"/>
    <w:rsid w:val="00D24FAE"/>
    <w:rsid w:val="00D2750E"/>
    <w:rsid w:val="00D375E0"/>
    <w:rsid w:val="00D50A36"/>
    <w:rsid w:val="00D55575"/>
    <w:rsid w:val="00D57AF6"/>
    <w:rsid w:val="00D62446"/>
    <w:rsid w:val="00DA4EA2"/>
    <w:rsid w:val="00DB38BC"/>
    <w:rsid w:val="00DC3D3E"/>
    <w:rsid w:val="00DC6ACA"/>
    <w:rsid w:val="00DD2ABF"/>
    <w:rsid w:val="00DD365C"/>
    <w:rsid w:val="00DE2C90"/>
    <w:rsid w:val="00DE3B24"/>
    <w:rsid w:val="00E06947"/>
    <w:rsid w:val="00E11319"/>
    <w:rsid w:val="00E21444"/>
    <w:rsid w:val="00E34072"/>
    <w:rsid w:val="00E3592D"/>
    <w:rsid w:val="00E4556B"/>
    <w:rsid w:val="00E50D76"/>
    <w:rsid w:val="00E8018B"/>
    <w:rsid w:val="00E92DE8"/>
    <w:rsid w:val="00EB1212"/>
    <w:rsid w:val="00ED65AB"/>
    <w:rsid w:val="00EE3523"/>
    <w:rsid w:val="00EF4995"/>
    <w:rsid w:val="00F04BDF"/>
    <w:rsid w:val="00F12850"/>
    <w:rsid w:val="00F13833"/>
    <w:rsid w:val="00F15432"/>
    <w:rsid w:val="00F24B71"/>
    <w:rsid w:val="00F24C6A"/>
    <w:rsid w:val="00F33BF4"/>
    <w:rsid w:val="00F62D22"/>
    <w:rsid w:val="00F7105E"/>
    <w:rsid w:val="00F7365E"/>
    <w:rsid w:val="00F75F57"/>
    <w:rsid w:val="00F77D6A"/>
    <w:rsid w:val="00F82FEE"/>
    <w:rsid w:val="00F92BED"/>
    <w:rsid w:val="00F975D5"/>
    <w:rsid w:val="00FA5D27"/>
    <w:rsid w:val="00FB752E"/>
    <w:rsid w:val="00FC2E0A"/>
    <w:rsid w:val="00FD57D3"/>
    <w:rsid w:val="00FE3CE9"/>
    <w:rsid w:val="00FE3D1A"/>
    <w:rsid w:val="00FE57F6"/>
    <w:rsid w:val="00FE590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EC686"/>
  <w15:docId w15:val="{90F85119-166F-4178-AB26-B73A70DA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qFormat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qFormat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qFormat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4D10D3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92BED"/>
    <w:pPr>
      <w:framePr w:hSpace="181" w:wrap="around" w:vAnchor="page" w:hAnchor="page" w:x="1821" w:y="2314"/>
      <w:spacing w:before="120" w:after="160"/>
      <w:jc w:val="left"/>
    </w:pPr>
    <w:rPr>
      <w:rFonts w:cstheme="minorHAnsi"/>
      <w:cap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59E7"/>
    <w:pPr>
      <w:ind w:left="720"/>
      <w:contextualSpacing/>
    </w:pPr>
    <w:rPr>
      <w:lang w:val="en-GB"/>
    </w:rPr>
  </w:style>
  <w:style w:type="paragraph" w:customStyle="1" w:styleId="call0">
    <w:name w:val="call"/>
    <w:basedOn w:val="Normal"/>
    <w:next w:val="Normal"/>
    <w:rsid w:val="002C59E7"/>
    <w:pPr>
      <w:keepNext/>
      <w:keepLines/>
      <w:spacing w:before="160"/>
      <w:ind w:left="794" w:hanging="357"/>
    </w:pPr>
    <w:rPr>
      <w:i/>
      <w:lang w:val="en-GB"/>
    </w:rPr>
  </w:style>
  <w:style w:type="paragraph" w:styleId="NormalWeb">
    <w:name w:val="Normal (Web)"/>
    <w:basedOn w:val="Normal"/>
    <w:uiPriority w:val="99"/>
    <w:unhideWhenUsed/>
    <w:rsid w:val="00523EF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730F84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30F84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</w:rPr>
  </w:style>
  <w:style w:type="character" w:styleId="CommentReference">
    <w:name w:val="annotation reference"/>
    <w:basedOn w:val="DefaultParagraphFont"/>
    <w:semiHidden/>
    <w:unhideWhenUsed/>
    <w:rsid w:val="00367E8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7E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7E81"/>
    <w:rPr>
      <w:rFonts w:ascii="Calibri" w:hAnsi="Calibri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7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7E81"/>
    <w:rPr>
      <w:rFonts w:ascii="Calibri" w:hAnsi="Calibri"/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emf"/><Relationship Id="rId25" Type="http://schemas.openxmlformats.org/officeDocument/2006/relationships/image" Target="media/image14.png"/><Relationship Id="rId33" Type="http://schemas.openxmlformats.org/officeDocument/2006/relationships/image" Target="media/image22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GS\PS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51CD-6E7E-4854-ABCC-F8C8A47C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PS_Council25.dotx</Template>
  <TotalTime>9</TotalTime>
  <Pages>25</Pages>
  <Words>689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Proyecto de Resolución - Presupuesto bienal de la Unión para 2026-2027</vt:lpstr>
    </vt:vector>
  </TitlesOfParts>
  <Manager>Secretaría General - Pool</Manager>
  <Company>International Telecommunication Union</Company>
  <LinksUpToDate>false</LinksUpToDate>
  <CharactersWithSpaces>4197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1435 - Presupuesto bienal de la Unión para 2026-2027</dc:title>
  <dc:subject>Consejo 2025 de la UIT</dc:subject>
  <dc:creator/>
  <cp:keywords>C2025, C25, Council-25</cp:keywords>
  <dc:description/>
  <cp:lastPrinted>2006-03-24T09:51:00Z</cp:lastPrinted>
  <dcterms:created xsi:type="dcterms:W3CDTF">2025-06-27T10:29:00Z</dcterms:created>
  <dcterms:modified xsi:type="dcterms:W3CDTF">2025-07-31T14:59:00Z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