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6"/>
        <w:gridCol w:w="2695"/>
      </w:tblGrid>
      <w:tr w:rsidR="007B0AA0" w14:paraId="072A18E9" w14:textId="77777777" w:rsidTr="00BD2254">
        <w:tc>
          <w:tcPr>
            <w:tcW w:w="6376" w:type="dxa"/>
          </w:tcPr>
          <w:p w14:paraId="511D4AE6" w14:textId="2C3C658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695" w:type="dxa"/>
          </w:tcPr>
          <w:p w14:paraId="6BCF34D1" w14:textId="3992DC09" w:rsidR="007B0AA0" w:rsidRPr="00D6063D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D6063D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D6063D">
              <w:rPr>
                <w:b/>
                <w:bCs/>
                <w:lang w:bidi="ar-EG"/>
              </w:rPr>
              <w:t>C2</w:t>
            </w:r>
            <w:r w:rsidR="006F363C" w:rsidRPr="00D6063D">
              <w:rPr>
                <w:b/>
                <w:bCs/>
                <w:lang w:bidi="ar-EG"/>
              </w:rPr>
              <w:t>5</w:t>
            </w:r>
            <w:r w:rsidRPr="00D6063D">
              <w:rPr>
                <w:b/>
                <w:bCs/>
                <w:lang w:bidi="ar-EG"/>
              </w:rPr>
              <w:t>/</w:t>
            </w:r>
            <w:r w:rsidR="006B6268" w:rsidRPr="00D6063D">
              <w:rPr>
                <w:b/>
                <w:bCs/>
                <w:lang w:bidi="ar-EG"/>
              </w:rPr>
              <w:t>118</w:t>
            </w:r>
            <w:r w:rsidRPr="00D6063D">
              <w:rPr>
                <w:b/>
                <w:bCs/>
                <w:lang w:bidi="ar-EG"/>
              </w:rPr>
              <w:t>-A</w:t>
            </w:r>
          </w:p>
        </w:tc>
      </w:tr>
      <w:tr w:rsidR="007B0AA0" w14:paraId="05814D0F" w14:textId="77777777" w:rsidTr="00BD2254">
        <w:tc>
          <w:tcPr>
            <w:tcW w:w="6376" w:type="dxa"/>
          </w:tcPr>
          <w:p w14:paraId="750A542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695" w:type="dxa"/>
          </w:tcPr>
          <w:p w14:paraId="284BF84C" w14:textId="457D6833" w:rsidR="007B0AA0" w:rsidRPr="00D6063D" w:rsidRDefault="00D6063D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D6063D">
              <w:rPr>
                <w:b/>
                <w:bCs/>
              </w:rPr>
              <w:t>9</w:t>
            </w:r>
            <w:r w:rsidR="00315A41" w:rsidRPr="00D6063D">
              <w:rPr>
                <w:rFonts w:hint="cs"/>
                <w:b/>
                <w:bCs/>
                <w:rtl/>
              </w:rPr>
              <w:t xml:space="preserve"> </w:t>
            </w:r>
            <w:r w:rsidRPr="00D6063D">
              <w:rPr>
                <w:rFonts w:hint="cs"/>
                <w:b/>
                <w:bCs/>
                <w:rtl/>
              </w:rPr>
              <w:t>يوليو</w:t>
            </w:r>
            <w:r w:rsidR="00315A41" w:rsidRPr="00D6063D">
              <w:rPr>
                <w:rFonts w:hint="cs"/>
                <w:b/>
                <w:bCs/>
                <w:rtl/>
              </w:rPr>
              <w:t>‏ 2025</w:t>
            </w:r>
          </w:p>
        </w:tc>
      </w:tr>
      <w:tr w:rsidR="007B0AA0" w14:paraId="5CDBA823" w14:textId="77777777" w:rsidTr="00BD2254">
        <w:tc>
          <w:tcPr>
            <w:tcW w:w="6376" w:type="dxa"/>
          </w:tcPr>
          <w:p w14:paraId="4C75FCE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695" w:type="dxa"/>
          </w:tcPr>
          <w:p w14:paraId="65753769" w14:textId="2ECE266E" w:rsidR="007B0AA0" w:rsidRPr="00D6063D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D6063D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7A8CBF53" w14:textId="77777777" w:rsidTr="00BD2254">
        <w:tc>
          <w:tcPr>
            <w:tcW w:w="6376" w:type="dxa"/>
          </w:tcPr>
          <w:p w14:paraId="71CE1D41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695" w:type="dxa"/>
          </w:tcPr>
          <w:p w14:paraId="0B453EF4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4673C2AD" w14:textId="6F07A4AB" w:rsidR="003E10CA" w:rsidRPr="00D6063D" w:rsidRDefault="003E10CA" w:rsidP="003E10CA">
      <w:pPr>
        <w:pStyle w:val="ResNo"/>
      </w:pPr>
      <w:r w:rsidRPr="00D6063D">
        <w:rPr>
          <w:rtl/>
        </w:rPr>
        <w:t xml:space="preserve">القرار </w:t>
      </w:r>
      <w:r w:rsidR="006B6268" w:rsidRPr="00D6063D">
        <w:t>1434</w:t>
      </w:r>
    </w:p>
    <w:p w14:paraId="1089B4D3" w14:textId="0E2BFFEF" w:rsidR="003E10CA" w:rsidRPr="002E5C39" w:rsidRDefault="006B6268" w:rsidP="00BA214C">
      <w:pPr>
        <w:jc w:val="center"/>
        <w:rPr>
          <w:lang w:val="es-ES" w:bidi="ar-EG"/>
        </w:rPr>
      </w:pPr>
      <w:r w:rsidRPr="002E5C39">
        <w:rPr>
          <w:color w:val="000000"/>
          <w:rtl/>
        </w:rPr>
        <w:t>(المعتمد في الجلسة العامة الثامنة)</w:t>
      </w:r>
    </w:p>
    <w:p w14:paraId="62004BB3" w14:textId="77777777" w:rsidR="003E10CA" w:rsidRPr="00DB4D69" w:rsidRDefault="003E10CA" w:rsidP="003E10CA">
      <w:pPr>
        <w:pStyle w:val="Restitle"/>
      </w:pPr>
      <w:r w:rsidRPr="00DB4D69">
        <w:rPr>
          <w:rtl/>
        </w:rPr>
        <w:t>مخصصات الوفورات المحققة في تنفيذ ميزانية 2024</w:t>
      </w:r>
    </w:p>
    <w:p w14:paraId="4064FE99" w14:textId="77777777" w:rsidR="003E10CA" w:rsidRPr="00DB4D69" w:rsidRDefault="003E10CA" w:rsidP="003E10CA">
      <w:pPr>
        <w:pStyle w:val="Normalaftertitle"/>
      </w:pPr>
      <w:r w:rsidRPr="00DB4D69">
        <w:rPr>
          <w:rtl/>
        </w:rPr>
        <w:t>إن مجلس الاتحاد الدولي للاتصالات،</w:t>
      </w:r>
    </w:p>
    <w:p w14:paraId="7D8814FC" w14:textId="77777777" w:rsidR="003E10CA" w:rsidRPr="00DB4D69" w:rsidRDefault="003E10CA" w:rsidP="003E10CA">
      <w:pPr>
        <w:pStyle w:val="Call"/>
      </w:pPr>
      <w:r w:rsidRPr="00DB4D69">
        <w:rPr>
          <w:rtl/>
        </w:rPr>
        <w:t>إذ يضع في اعتباره</w:t>
      </w:r>
    </w:p>
    <w:p w14:paraId="689A0CD8" w14:textId="77777777" w:rsidR="003E10CA" w:rsidRPr="00DB4D69" w:rsidRDefault="003E10CA" w:rsidP="003E10CA">
      <w:r w:rsidRPr="00DB4D69">
        <w:rPr>
          <w:rtl/>
        </w:rPr>
        <w:t>الوفورات المحققة في تنفيذ (نتيجة) ميزانية 2024 البالغة</w:t>
      </w:r>
      <w:r w:rsidRPr="00DB4D69">
        <w:rPr>
          <w:rFonts w:hint="cs"/>
          <w:rtl/>
        </w:rPr>
        <w:t> </w:t>
      </w:r>
      <w:r w:rsidRPr="00DB4D69">
        <w:t>5 652 000</w:t>
      </w:r>
      <w:r w:rsidRPr="00DB4D69">
        <w:rPr>
          <w:rtl/>
        </w:rPr>
        <w:t xml:space="preserve"> فرنك سويسري،</w:t>
      </w:r>
    </w:p>
    <w:p w14:paraId="78EB99B3" w14:textId="77777777" w:rsidR="003E10CA" w:rsidRPr="00DB4D69" w:rsidRDefault="003E10CA" w:rsidP="003E10CA">
      <w:pPr>
        <w:pStyle w:val="Call"/>
      </w:pPr>
      <w:r w:rsidRPr="00DB4D69">
        <w:rPr>
          <w:rtl/>
        </w:rPr>
        <w:t>وإذ يضع في اعتباره أيضاً</w:t>
      </w:r>
    </w:p>
    <w:p w14:paraId="01746310" w14:textId="77777777" w:rsidR="003E10CA" w:rsidRPr="00DB4D69" w:rsidRDefault="003E10CA" w:rsidP="003E10CA">
      <w:r w:rsidRPr="00DB4D69">
        <w:rPr>
          <w:rtl/>
        </w:rPr>
        <w:t xml:space="preserve">حالة صندوق تنمية تكنولوجيا المعلومات والاتصالات </w:t>
      </w:r>
      <w:r w:rsidRPr="00DB4D69">
        <w:t>(ICT-DF)</w:t>
      </w:r>
      <w:r w:rsidRPr="00DB4D69">
        <w:rPr>
          <w:rtl/>
        </w:rPr>
        <w:t>،</w:t>
      </w:r>
    </w:p>
    <w:p w14:paraId="69091A2D" w14:textId="77777777" w:rsidR="003E10CA" w:rsidRPr="00DB4D69" w:rsidRDefault="003E10CA" w:rsidP="003E10CA">
      <w:pPr>
        <w:pStyle w:val="Call"/>
      </w:pPr>
      <w:r w:rsidRPr="00DB4D69">
        <w:rPr>
          <w:rtl/>
        </w:rPr>
        <w:t>يقرر</w:t>
      </w:r>
    </w:p>
    <w:p w14:paraId="1D3E277D" w14:textId="4E9CBD83" w:rsidR="003E10CA" w:rsidRPr="00D6063D" w:rsidRDefault="003E10CA" w:rsidP="003E10CA">
      <w:pPr>
        <w:rPr>
          <w:spacing w:val="-2"/>
          <w:rtl/>
          <w:lang w:val="ar-SA" w:eastAsia="zh-TW" w:bidi="en-GB"/>
        </w:rPr>
      </w:pPr>
      <w:r w:rsidRPr="00D6063D">
        <w:rPr>
          <w:spacing w:val="-2"/>
          <w:rtl/>
        </w:rPr>
        <w:t>تخصيص الأموال اللازمة لكي تنفَّذ خلال السنة الأولى قرارات الجمعية العالمية لتقييس الاتصالات لعام 2024 (</w:t>
      </w:r>
      <w:r w:rsidRPr="00D6063D">
        <w:rPr>
          <w:spacing w:val="-2"/>
        </w:rPr>
        <w:t>556 000</w:t>
      </w:r>
      <w:r w:rsidRPr="00D6063D">
        <w:rPr>
          <w:spacing w:val="-2"/>
          <w:rtl/>
        </w:rPr>
        <w:t xml:space="preserve"> فرنك سويسري)؛ وقرارات المؤتمر العالمي للاتصالات الراديوية لعام 2023 (</w:t>
      </w:r>
      <w:r w:rsidRPr="00D6063D">
        <w:rPr>
          <w:spacing w:val="-2"/>
        </w:rPr>
        <w:t>300 000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 سويسري)؛ وخارطة طريق التحول بما في ذلك خارطة طريق تحسين الموقع الإلكتروني</w:t>
      </w:r>
      <w:r w:rsidRPr="00D6063D">
        <w:rPr>
          <w:rFonts w:hint="cs"/>
          <w:spacing w:val="-2"/>
          <w:rtl/>
        </w:rPr>
        <w:t xml:space="preserve"> </w:t>
      </w:r>
      <w:r w:rsidRPr="00D6063D">
        <w:rPr>
          <w:spacing w:val="-2"/>
          <w:rtl/>
        </w:rPr>
        <w:t>(</w:t>
      </w:r>
      <w:r w:rsidRPr="00D6063D">
        <w:rPr>
          <w:spacing w:val="-2"/>
        </w:rPr>
        <w:t>250 000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 سويسري)، والأعمال التحضيرية للمنتدى العالمي لسياسات الاتصالات/تكنولوجيا المعلومات والاتصالات لعام 2026 (</w:t>
      </w:r>
      <w:r w:rsidRPr="00D6063D">
        <w:rPr>
          <w:spacing w:val="-2"/>
        </w:rPr>
        <w:t>180 000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</w:t>
      </w:r>
      <w:r w:rsidR="00D6063D" w:rsidRPr="00D6063D">
        <w:rPr>
          <w:rFonts w:hint="cs"/>
          <w:spacing w:val="-2"/>
          <w:rtl/>
        </w:rPr>
        <w:t> </w:t>
      </w:r>
      <w:r w:rsidRPr="00D6063D">
        <w:rPr>
          <w:spacing w:val="-2"/>
          <w:rtl/>
        </w:rPr>
        <w:t>سويسري)، وصندوق صيانة</w:t>
      </w:r>
      <w:r w:rsidR="00D6063D">
        <w:rPr>
          <w:rFonts w:hint="cs"/>
          <w:spacing w:val="-2"/>
          <w:rtl/>
        </w:rPr>
        <w:t> </w:t>
      </w:r>
      <w:r w:rsidRPr="00D6063D">
        <w:rPr>
          <w:spacing w:val="-2"/>
          <w:rtl/>
        </w:rPr>
        <w:t>المباني (</w:t>
      </w:r>
      <w:r w:rsidRPr="00D6063D">
        <w:rPr>
          <w:spacing w:val="-2"/>
        </w:rPr>
        <w:t>1 000 000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 سويسري)؛ وصندوق رأسمال تكنولوجيا المعلومات والاتصالات (</w:t>
      </w:r>
      <w:r w:rsidRPr="00D6063D">
        <w:rPr>
          <w:spacing w:val="-2"/>
        </w:rPr>
        <w:t>1 500 000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 سويسري)؛ و</w:t>
      </w:r>
      <w:r w:rsidRPr="00D6063D">
        <w:rPr>
          <w:spacing w:val="-2"/>
        </w:rPr>
        <w:t>500 000</w:t>
      </w:r>
      <w:r w:rsidRPr="00D6063D">
        <w:rPr>
          <w:rFonts w:hint="cs"/>
          <w:spacing w:val="-2"/>
          <w:rtl/>
          <w:lang w:bidi="ar-EG"/>
        </w:rPr>
        <w:t xml:space="preserve"> </w:t>
      </w:r>
      <w:r w:rsidRPr="00D6063D">
        <w:rPr>
          <w:spacing w:val="-2"/>
          <w:rtl/>
        </w:rPr>
        <w:t>فرنك سويسري للأنشطة المتعلقة بالذكاء الاصطناعي</w:t>
      </w:r>
      <w:r w:rsidRPr="00D6063D">
        <w:rPr>
          <w:rFonts w:hint="cs"/>
          <w:spacing w:val="-2"/>
          <w:rtl/>
        </w:rPr>
        <w:t>، و</w:t>
      </w:r>
      <w:r w:rsidRPr="00D6063D">
        <w:rPr>
          <w:spacing w:val="-2"/>
          <w:rtl/>
        </w:rPr>
        <w:t>صندوق تنمية تكنولوجيا المعلومات والاتصالات</w:t>
      </w:r>
      <w:r w:rsidRPr="00D6063D">
        <w:rPr>
          <w:rFonts w:hint="cs"/>
          <w:spacing w:val="-2"/>
          <w:rtl/>
        </w:rPr>
        <w:t xml:space="preserve"> (</w:t>
      </w:r>
      <w:r w:rsidRPr="00D6063D">
        <w:rPr>
          <w:spacing w:val="-2"/>
        </w:rPr>
        <w:t>524 000</w:t>
      </w:r>
      <w:r w:rsidRPr="00D6063D">
        <w:rPr>
          <w:rFonts w:hint="cs"/>
          <w:spacing w:val="-2"/>
          <w:rtl/>
          <w:lang w:bidi="ar-EG"/>
        </w:rPr>
        <w:t xml:space="preserve"> فرنك سويسري)، واستمرارية أعمال الاجتماعات (</w:t>
      </w:r>
      <w:r w:rsidRPr="00D6063D">
        <w:rPr>
          <w:spacing w:val="-2"/>
          <w:lang w:bidi="ar-EG"/>
        </w:rPr>
        <w:t>389 000</w:t>
      </w:r>
      <w:r w:rsidRPr="00D6063D">
        <w:rPr>
          <w:rFonts w:hint="cs"/>
          <w:spacing w:val="-2"/>
          <w:rtl/>
          <w:lang w:bidi="ar-EG"/>
        </w:rPr>
        <w:t xml:space="preserve"> فرنك سويسري)</w:t>
      </w:r>
      <w:r w:rsidRPr="00D6063D">
        <w:rPr>
          <w:rFonts w:hint="cs"/>
          <w:spacing w:val="-2"/>
          <w:rtl/>
        </w:rPr>
        <w:t>.</w:t>
      </w:r>
    </w:p>
    <w:p w14:paraId="086C5359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E10E" w14:textId="77777777" w:rsidR="009145A3" w:rsidRDefault="009145A3" w:rsidP="006C3242">
      <w:pPr>
        <w:spacing w:before="0" w:line="240" w:lineRule="auto"/>
      </w:pPr>
      <w:r>
        <w:separator/>
      </w:r>
    </w:p>
  </w:endnote>
  <w:endnote w:type="continuationSeparator" w:id="0">
    <w:p w14:paraId="076F20C1" w14:textId="77777777" w:rsidR="009145A3" w:rsidRDefault="009145A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97"/>
      <w:gridCol w:w="399"/>
    </w:tblGrid>
    <w:tr w:rsidR="00F50E3F" w:rsidRPr="007B0AA0" w14:paraId="5ECCEA53" w14:textId="77777777" w:rsidTr="00357086">
      <w:trPr>
        <w:jc w:val="center"/>
      </w:trPr>
      <w:tc>
        <w:tcPr>
          <w:tcW w:w="868" w:type="pct"/>
          <w:vAlign w:val="center"/>
        </w:tcPr>
        <w:p w14:paraId="4A80A4F5" w14:textId="7C36EEB9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proofErr w:type="spellStart"/>
          <w:r>
            <w:rPr>
              <w:rFonts w:ascii="Calibri" w:hAnsi="Calibri" w:cs="Arial"/>
              <w:sz w:val="18"/>
              <w:szCs w:val="14"/>
            </w:rPr>
            <w:t>gDoc</w:t>
          </w:r>
          <w:proofErr w:type="spellEnd"/>
          <w:r>
            <w:rPr>
              <w:rFonts w:ascii="Calibri" w:hAnsi="Calibri" w:cs="Arial"/>
              <w:sz w:val="18"/>
              <w:szCs w:val="14"/>
            </w:rPr>
            <w:t xml:space="preserve"> #</w:t>
          </w:r>
        </w:p>
      </w:tc>
      <w:tc>
        <w:tcPr>
          <w:tcW w:w="3912" w:type="pct"/>
        </w:tcPr>
        <w:p w14:paraId="44452392" w14:textId="0552794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B726657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646605E" w14:textId="35896343" w:rsidR="006C3242" w:rsidRPr="0026373E" w:rsidRDefault="006C3242" w:rsidP="006F363C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6836"/>
      <w:gridCol w:w="397"/>
    </w:tblGrid>
    <w:tr w:rsidR="007B0AA0" w:rsidRPr="007B0AA0" w14:paraId="4434AC8B" w14:textId="77777777" w:rsidTr="006B12E5">
      <w:trPr>
        <w:jc w:val="center"/>
      </w:trPr>
      <w:tc>
        <w:tcPr>
          <w:tcW w:w="1013" w:type="pct"/>
          <w:vAlign w:val="center"/>
        </w:tcPr>
        <w:p w14:paraId="2E7D335D" w14:textId="1F321CA0" w:rsidR="007B0AA0" w:rsidRPr="00660DEA" w:rsidRDefault="002E5C39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council.itu.int/2025/</w:t>
            </w:r>
          </w:hyperlink>
        </w:p>
      </w:tc>
      <w:tc>
        <w:tcPr>
          <w:tcW w:w="3768" w:type="pct"/>
        </w:tcPr>
        <w:p w14:paraId="14284DDB" w14:textId="79D49EE5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6B6268">
            <w:rPr>
              <w:rFonts w:ascii="Calibri" w:hAnsi="Calibri" w:cs="Arial"/>
              <w:bCs/>
              <w:color w:val="7F7F7F"/>
              <w:sz w:val="18"/>
            </w:rPr>
            <w:t>118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93F8094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3CC3739" w14:textId="129692C6" w:rsidR="0006468A" w:rsidRPr="007B0AA0" w:rsidRDefault="0006468A" w:rsidP="006F363C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E816" w14:textId="77777777" w:rsidR="009145A3" w:rsidRDefault="009145A3" w:rsidP="006C3242">
      <w:pPr>
        <w:spacing w:before="0" w:line="240" w:lineRule="auto"/>
      </w:pPr>
      <w:r>
        <w:separator/>
      </w:r>
    </w:p>
  </w:footnote>
  <w:footnote w:type="continuationSeparator" w:id="0">
    <w:p w14:paraId="58F21AF7" w14:textId="77777777" w:rsidR="009145A3" w:rsidRDefault="009145A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3FB6" w14:textId="07AA1FF6" w:rsidR="007B0AA0" w:rsidRDefault="007648A6" w:rsidP="00BD2254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F560" wp14:editId="240BC64F">
              <wp:simplePos x="0" y="0"/>
              <wp:positionH relativeFrom="page">
                <wp:posOffset>7455535</wp:posOffset>
              </wp:positionH>
              <wp:positionV relativeFrom="topMargin">
                <wp:posOffset>629920</wp:posOffset>
              </wp:positionV>
              <wp:extent cx="108000" cy="414000"/>
              <wp:effectExtent l="0" t="0" r="6350" b="571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414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3045B8C" id="Rectangle 5" o:spid="_x0000_s1026" style="position:absolute;margin-left:587.05pt;margin-top:49.6pt;width:8.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738D48DE" wp14:editId="282DD707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1193898">
    <w:abstractNumId w:val="9"/>
  </w:num>
  <w:num w:numId="2" w16cid:durableId="276521777">
    <w:abstractNumId w:val="7"/>
  </w:num>
  <w:num w:numId="3" w16cid:durableId="1617520030">
    <w:abstractNumId w:val="6"/>
  </w:num>
  <w:num w:numId="4" w16cid:durableId="1484152102">
    <w:abstractNumId w:val="5"/>
  </w:num>
  <w:num w:numId="5" w16cid:durableId="1927036173">
    <w:abstractNumId w:val="4"/>
  </w:num>
  <w:num w:numId="6" w16cid:durableId="203293660">
    <w:abstractNumId w:val="8"/>
  </w:num>
  <w:num w:numId="7" w16cid:durableId="27603686">
    <w:abstractNumId w:val="3"/>
  </w:num>
  <w:num w:numId="8" w16cid:durableId="1518619391">
    <w:abstractNumId w:val="2"/>
  </w:num>
  <w:num w:numId="9" w16cid:durableId="1944922871">
    <w:abstractNumId w:val="1"/>
  </w:num>
  <w:num w:numId="10" w16cid:durableId="1467701516">
    <w:abstractNumId w:val="0"/>
  </w:num>
  <w:num w:numId="11" w16cid:durableId="1038161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7D"/>
    <w:rsid w:val="0006468A"/>
    <w:rsid w:val="00090574"/>
    <w:rsid w:val="000C1C0E"/>
    <w:rsid w:val="000C548A"/>
    <w:rsid w:val="00101107"/>
    <w:rsid w:val="001C0169"/>
    <w:rsid w:val="001D1D50"/>
    <w:rsid w:val="001D64C7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5C39"/>
    <w:rsid w:val="002E6541"/>
    <w:rsid w:val="00315A41"/>
    <w:rsid w:val="00321216"/>
    <w:rsid w:val="00334924"/>
    <w:rsid w:val="003409BC"/>
    <w:rsid w:val="00357185"/>
    <w:rsid w:val="00383829"/>
    <w:rsid w:val="003971ED"/>
    <w:rsid w:val="003D6B69"/>
    <w:rsid w:val="003E10CA"/>
    <w:rsid w:val="003E2D9E"/>
    <w:rsid w:val="003F4B29"/>
    <w:rsid w:val="00420F8A"/>
    <w:rsid w:val="0042686F"/>
    <w:rsid w:val="004317D8"/>
    <w:rsid w:val="0043260A"/>
    <w:rsid w:val="00434183"/>
    <w:rsid w:val="00443869"/>
    <w:rsid w:val="00447F32"/>
    <w:rsid w:val="00491BA9"/>
    <w:rsid w:val="004A4701"/>
    <w:rsid w:val="004B7334"/>
    <w:rsid w:val="004E11DC"/>
    <w:rsid w:val="00525DDD"/>
    <w:rsid w:val="00527294"/>
    <w:rsid w:val="005409AC"/>
    <w:rsid w:val="0055516A"/>
    <w:rsid w:val="0058491B"/>
    <w:rsid w:val="00592EA5"/>
    <w:rsid w:val="005A3170"/>
    <w:rsid w:val="0060373D"/>
    <w:rsid w:val="00644EC6"/>
    <w:rsid w:val="00660DEA"/>
    <w:rsid w:val="00677396"/>
    <w:rsid w:val="0069200F"/>
    <w:rsid w:val="006A2379"/>
    <w:rsid w:val="006A65CB"/>
    <w:rsid w:val="006B12E5"/>
    <w:rsid w:val="006B6268"/>
    <w:rsid w:val="006C3242"/>
    <w:rsid w:val="006C5E04"/>
    <w:rsid w:val="006C7CC0"/>
    <w:rsid w:val="006F363C"/>
    <w:rsid w:val="006F63F7"/>
    <w:rsid w:val="007025C7"/>
    <w:rsid w:val="00706D7A"/>
    <w:rsid w:val="00722F0D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A7F84"/>
    <w:rsid w:val="009145A3"/>
    <w:rsid w:val="0091702E"/>
    <w:rsid w:val="00923B0C"/>
    <w:rsid w:val="009264E0"/>
    <w:rsid w:val="0094021C"/>
    <w:rsid w:val="00952F86"/>
    <w:rsid w:val="00982B28"/>
    <w:rsid w:val="009D313F"/>
    <w:rsid w:val="00A4573B"/>
    <w:rsid w:val="00A47A5A"/>
    <w:rsid w:val="00A56301"/>
    <w:rsid w:val="00A63AE6"/>
    <w:rsid w:val="00A6683B"/>
    <w:rsid w:val="00A97F94"/>
    <w:rsid w:val="00AA7EA2"/>
    <w:rsid w:val="00B03099"/>
    <w:rsid w:val="00B05BC8"/>
    <w:rsid w:val="00B30F5E"/>
    <w:rsid w:val="00B64B47"/>
    <w:rsid w:val="00B95654"/>
    <w:rsid w:val="00BA214C"/>
    <w:rsid w:val="00BD2254"/>
    <w:rsid w:val="00C002DE"/>
    <w:rsid w:val="00C238EE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063D"/>
    <w:rsid w:val="00D63735"/>
    <w:rsid w:val="00D77D0F"/>
    <w:rsid w:val="00D80648"/>
    <w:rsid w:val="00DA1CF0"/>
    <w:rsid w:val="00DC1E02"/>
    <w:rsid w:val="00DC24B4"/>
    <w:rsid w:val="00DC5FB0"/>
    <w:rsid w:val="00DD2ABF"/>
    <w:rsid w:val="00DF16DC"/>
    <w:rsid w:val="00E45211"/>
    <w:rsid w:val="00E473C5"/>
    <w:rsid w:val="00E61BE8"/>
    <w:rsid w:val="00E83FF1"/>
    <w:rsid w:val="00E92863"/>
    <w:rsid w:val="00EB796D"/>
    <w:rsid w:val="00ED13BC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CB0515"/>
  <w15:chartTrackingRefBased/>
  <w15:docId w15:val="{CFC61D7D-ACE7-4740-B25B-7E79D5D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link w:val="ResNoChar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link w:val="RestitleChar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660DEA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3E10CA"/>
    <w:rPr>
      <w:rFonts w:ascii="Dubai" w:hAnsi="Dubai" w:cs="Dubai"/>
      <w:i/>
      <w:iCs/>
    </w:rPr>
  </w:style>
  <w:style w:type="character" w:customStyle="1" w:styleId="NormalaftertitleChar">
    <w:name w:val="Normal after title Char"/>
    <w:basedOn w:val="DefaultParagraphFont"/>
    <w:link w:val="Normalaftertitle"/>
    <w:rsid w:val="003E10CA"/>
    <w:rPr>
      <w:rFonts w:ascii="Dubai" w:hAnsi="Dubai" w:cs="Dubai"/>
      <w:lang w:bidi="ar-SY"/>
    </w:rPr>
  </w:style>
  <w:style w:type="character" w:customStyle="1" w:styleId="ResNoChar">
    <w:name w:val="Res_No Char"/>
    <w:basedOn w:val="DefaultParagraphFont"/>
    <w:link w:val="ResNo"/>
    <w:rsid w:val="003E10CA"/>
    <w:rPr>
      <w:rFonts w:ascii="Dubai" w:hAnsi="Dubai" w:cs="Dubai"/>
      <w:sz w:val="26"/>
      <w:szCs w:val="26"/>
    </w:rPr>
  </w:style>
  <w:style w:type="character" w:customStyle="1" w:styleId="RestitleChar">
    <w:name w:val="Res_title Char"/>
    <w:basedOn w:val="DefaultParagraphFont"/>
    <w:link w:val="Restitle"/>
    <w:rsid w:val="003E10CA"/>
    <w:rPr>
      <w:rFonts w:ascii="Dubai" w:hAnsi="Dubai" w:cs="Dubai"/>
      <w:b/>
      <w:bCs/>
      <w:sz w:val="28"/>
      <w:szCs w:val="28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1434 - Allocations of savings achieved in 2024 budget implementation</vt:lpstr>
    </vt:vector>
  </TitlesOfParts>
  <Manager>GBS</Manager>
  <Company>International Telecommunication Union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1434 - Allocations of savings achieved in 2024 budget implementation</dc:title>
  <dc:subject>ITU Council 2025</dc:subject>
  <cp:keywords>C2025, C25, Council-25</cp:keywords>
  <dc:description/>
  <dcterms:created xsi:type="dcterms:W3CDTF">2025-08-01T14:57:00Z</dcterms:created>
  <dcterms:modified xsi:type="dcterms:W3CDTF">2025-08-01T14:59:00Z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