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3E218B46" w14:textId="77777777" w:rsidTr="005C449C">
        <w:tc>
          <w:tcPr>
            <w:tcW w:w="6105" w:type="dxa"/>
          </w:tcPr>
          <w:p w14:paraId="2F46B3B4" w14:textId="14514CF6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4668D0DD" w14:textId="1F24E4C8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6F363C">
              <w:rPr>
                <w:b/>
                <w:bCs/>
                <w:lang w:bidi="ar-EG"/>
              </w:rPr>
              <w:t>5</w:t>
            </w:r>
            <w:r w:rsidRPr="007B0AA0">
              <w:rPr>
                <w:b/>
                <w:bCs/>
                <w:lang w:bidi="ar-EG"/>
              </w:rPr>
              <w:t>/</w:t>
            </w:r>
            <w:r w:rsidR="000642B9">
              <w:rPr>
                <w:b/>
                <w:bCs/>
                <w:lang w:bidi="ar-EG"/>
              </w:rPr>
              <w:t>116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7C130CBD" w14:textId="77777777" w:rsidTr="005C449C">
        <w:tc>
          <w:tcPr>
            <w:tcW w:w="6105" w:type="dxa"/>
          </w:tcPr>
          <w:p w14:paraId="27E8BFDE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27156D69" w14:textId="6F2304DC" w:rsidR="007B0AA0" w:rsidRPr="007B0AA0" w:rsidRDefault="005C449C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9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يوليو </w:t>
            </w:r>
            <w:r>
              <w:rPr>
                <w:b/>
                <w:bCs/>
                <w:lang w:bidi="ar-EG"/>
              </w:rPr>
              <w:t>2025</w:t>
            </w:r>
          </w:p>
        </w:tc>
      </w:tr>
      <w:tr w:rsidR="007B0AA0" w14:paraId="65BDB9BB" w14:textId="77777777" w:rsidTr="005C449C">
        <w:tc>
          <w:tcPr>
            <w:tcW w:w="6105" w:type="dxa"/>
          </w:tcPr>
          <w:p w14:paraId="01DCA653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08E574C7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18084AE3" w14:textId="77777777" w:rsidTr="005C449C">
        <w:tc>
          <w:tcPr>
            <w:tcW w:w="6105" w:type="dxa"/>
          </w:tcPr>
          <w:p w14:paraId="3A8B17B0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66" w:type="dxa"/>
          </w:tcPr>
          <w:p w14:paraId="0518808D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6145B4AA" w14:textId="77777777" w:rsidR="000642B9" w:rsidRPr="000642B9" w:rsidRDefault="000642B9" w:rsidP="000642B9">
      <w:pPr>
        <w:pStyle w:val="DecNo"/>
        <w:rPr>
          <w:lang w:bidi="ar-EG"/>
        </w:rPr>
      </w:pPr>
      <w:r w:rsidRPr="000642B9">
        <w:rPr>
          <w:rtl/>
        </w:rPr>
        <w:t xml:space="preserve">القـرار </w:t>
      </w:r>
      <w:r w:rsidRPr="000642B9">
        <w:rPr>
          <w:lang w:bidi="ar-EG"/>
        </w:rPr>
        <w:t>1432</w:t>
      </w:r>
    </w:p>
    <w:p w14:paraId="4A30D352" w14:textId="77777777" w:rsidR="000642B9" w:rsidRPr="000642B9" w:rsidRDefault="000642B9" w:rsidP="000642B9">
      <w:pPr>
        <w:jc w:val="center"/>
        <w:rPr>
          <w:lang w:val="ar-SA" w:bidi="ar-EG"/>
        </w:rPr>
      </w:pPr>
      <w:r w:rsidRPr="000642B9">
        <w:rPr>
          <w:rtl/>
        </w:rPr>
        <w:t>(المعتم</w:t>
      </w:r>
      <w:r w:rsidRPr="000642B9">
        <w:rPr>
          <w:rFonts w:hint="cs"/>
          <w:rtl/>
        </w:rPr>
        <w:t>َ</w:t>
      </w:r>
      <w:r w:rsidRPr="000642B9">
        <w:rPr>
          <w:rtl/>
        </w:rPr>
        <w:t>د في الجلسة العامة الثامنة)</w:t>
      </w:r>
    </w:p>
    <w:p w14:paraId="4E27CA67" w14:textId="77777777" w:rsidR="000642B9" w:rsidRPr="000642B9" w:rsidRDefault="000642B9" w:rsidP="000642B9">
      <w:pPr>
        <w:pStyle w:val="Dectitle"/>
        <w:rPr>
          <w:lang w:val="ar-SA" w:bidi="ar-EG"/>
        </w:rPr>
      </w:pPr>
      <w:bookmarkStart w:id="0" w:name="_Toc131156200"/>
      <w:r w:rsidRPr="000642B9">
        <w:rPr>
          <w:rtl/>
          <w:lang w:bidi="ar-SY"/>
        </w:rPr>
        <w:t>تقرير الإدارة المالية والبيانات المالية المراجعة للسنة المالية 2024</w:t>
      </w:r>
      <w:bookmarkStart w:id="1" w:name="_Int_ujVKbKfT"/>
      <w:bookmarkEnd w:id="0"/>
      <w:bookmarkEnd w:id="1"/>
    </w:p>
    <w:p w14:paraId="678CB48C" w14:textId="38227EE5" w:rsidR="000642B9" w:rsidRPr="000642B9" w:rsidRDefault="000642B9" w:rsidP="007335F9">
      <w:pPr>
        <w:pStyle w:val="Normalaftertitle"/>
        <w:rPr>
          <w:lang w:val="ar-SA" w:bidi="ar-EG"/>
        </w:rPr>
      </w:pPr>
      <w:r w:rsidRPr="000642B9">
        <w:rPr>
          <w:rtl/>
        </w:rPr>
        <w:t>إن مجلس الاتحاد</w:t>
      </w:r>
      <w:r w:rsidR="007335F9">
        <w:rPr>
          <w:rFonts w:hint="cs"/>
          <w:rtl/>
        </w:rPr>
        <w:t xml:space="preserve"> الدولي للاتصالات</w:t>
      </w:r>
      <w:r w:rsidRPr="000642B9">
        <w:rPr>
          <w:rtl/>
        </w:rPr>
        <w:t>،</w:t>
      </w:r>
    </w:p>
    <w:p w14:paraId="1BF7449D" w14:textId="77777777" w:rsidR="000642B9" w:rsidRPr="000642B9" w:rsidRDefault="000642B9" w:rsidP="000642B9">
      <w:pPr>
        <w:pStyle w:val="Call"/>
        <w:rPr>
          <w:lang w:val="ar-SA" w:bidi="ar-EG"/>
        </w:rPr>
      </w:pPr>
      <w:r w:rsidRPr="000642B9">
        <w:rPr>
          <w:rtl/>
        </w:rPr>
        <w:t>إذ يأخذ بعين الاعتبار</w:t>
      </w:r>
    </w:p>
    <w:p w14:paraId="78100822" w14:textId="629EE551" w:rsidR="000642B9" w:rsidRPr="000642B9" w:rsidRDefault="000642B9" w:rsidP="000642B9">
      <w:pPr>
        <w:rPr>
          <w:rtl/>
        </w:rPr>
      </w:pPr>
      <w:r w:rsidRPr="000642B9">
        <w:rPr>
          <w:rtl/>
        </w:rPr>
        <w:t xml:space="preserve">أحكام </w:t>
      </w:r>
      <w:hyperlink r:id="rId8" w:history="1">
        <w:r w:rsidRPr="000642B9">
          <w:rPr>
            <w:rStyle w:val="Hyperlink"/>
            <w:rFonts w:ascii="Dubai" w:eastAsiaTheme="minorEastAsia" w:hAnsi="Dubai" w:cs="Dubai"/>
            <w:noProof w:val="0"/>
            <w:color w:val="0000FF"/>
            <w:sz w:val="22"/>
            <w:u w:val="single"/>
            <w:rtl/>
            <w:lang w:val="en-US" w:eastAsia="zh-CN"/>
          </w:rPr>
          <w:t>الرقم </w:t>
        </w:r>
        <w:r w:rsidRPr="000642B9">
          <w:rPr>
            <w:rStyle w:val="Hyperlink"/>
            <w:rFonts w:ascii="Dubai" w:eastAsiaTheme="minorEastAsia" w:hAnsi="Dubai" w:cs="Dubai"/>
            <w:noProof w:val="0"/>
            <w:color w:val="0000FF"/>
            <w:sz w:val="22"/>
            <w:u w:val="single"/>
            <w:lang w:val="en-US" w:eastAsia="zh-CN" w:bidi="ar-EG"/>
          </w:rPr>
          <w:t>101</w:t>
        </w:r>
      </w:hyperlink>
      <w:r w:rsidRPr="000642B9">
        <w:rPr>
          <w:rtl/>
        </w:rPr>
        <w:t xml:space="preserve"> من اتفاقية الاتحاد الدولي للاتصالات و</w:t>
      </w:r>
      <w:hyperlink r:id="rId9" w:history="1">
        <w:r w:rsidRPr="000642B9">
          <w:rPr>
            <w:rStyle w:val="Hyperlink"/>
            <w:rFonts w:ascii="Dubai" w:eastAsiaTheme="minorEastAsia" w:hAnsi="Dubai" w:cs="Dubai"/>
            <w:noProof w:val="0"/>
            <w:color w:val="0000FF"/>
            <w:sz w:val="22"/>
            <w:u w:val="single"/>
            <w:rtl/>
            <w:lang w:val="en-US" w:eastAsia="zh-CN"/>
          </w:rPr>
          <w:t xml:space="preserve">المادة </w:t>
        </w:r>
        <w:r w:rsidRPr="000642B9">
          <w:rPr>
            <w:rStyle w:val="Hyperlink"/>
            <w:rFonts w:ascii="Dubai" w:eastAsiaTheme="minorEastAsia" w:hAnsi="Dubai" w:cs="Dubai"/>
            <w:noProof w:val="0"/>
            <w:color w:val="0000FF"/>
            <w:sz w:val="22"/>
            <w:u w:val="single"/>
            <w:lang w:val="en-US" w:eastAsia="zh-CN" w:bidi="ar-EG"/>
          </w:rPr>
          <w:t>30</w:t>
        </w:r>
      </w:hyperlink>
      <w:r w:rsidRPr="000642B9">
        <w:rPr>
          <w:rtl/>
        </w:rPr>
        <w:t xml:space="preserve"> من اللوائح المالية للاتحاد</w:t>
      </w:r>
      <w:r w:rsidRPr="000642B9">
        <w:rPr>
          <w:rFonts w:hint="cs"/>
          <w:rtl/>
        </w:rPr>
        <w:t>،</w:t>
      </w:r>
    </w:p>
    <w:p w14:paraId="1A14FD09" w14:textId="77777777" w:rsidR="000642B9" w:rsidRPr="000642B9" w:rsidRDefault="000642B9" w:rsidP="000642B9">
      <w:pPr>
        <w:pStyle w:val="Call"/>
        <w:rPr>
          <w:lang w:val="ar-SA" w:bidi="ar-EG"/>
        </w:rPr>
      </w:pPr>
      <w:r w:rsidRPr="000642B9">
        <w:rPr>
          <w:rtl/>
        </w:rPr>
        <w:t>وقد اطّلع على</w:t>
      </w:r>
    </w:p>
    <w:p w14:paraId="323BFF56" w14:textId="77777777" w:rsidR="000642B9" w:rsidRPr="000642B9" w:rsidRDefault="000642B9" w:rsidP="000642B9">
      <w:pPr>
        <w:rPr>
          <w:lang w:val="ar-SA" w:bidi="ar-EG"/>
        </w:rPr>
      </w:pPr>
      <w:r w:rsidRPr="000642B9">
        <w:rPr>
          <w:rtl/>
        </w:rPr>
        <w:t>تقرير الإدارة المالية المرا</w:t>
      </w:r>
      <w:r w:rsidRPr="000642B9">
        <w:rPr>
          <w:rFonts w:hint="cs"/>
          <w:rtl/>
        </w:rPr>
        <w:t>جَ</w:t>
      </w:r>
      <w:r w:rsidRPr="000642B9">
        <w:rPr>
          <w:rtl/>
        </w:rPr>
        <w:t>ع للسنة المالية 2024، الذي يغطي حسابات السنة المالية 2024 لميزانية الاتحاد، والحسابات المراج</w:t>
      </w:r>
      <w:r w:rsidRPr="000642B9">
        <w:rPr>
          <w:rFonts w:hint="cs"/>
          <w:rtl/>
        </w:rPr>
        <w:t>َ</w:t>
      </w:r>
      <w:r w:rsidRPr="000642B9">
        <w:rPr>
          <w:rtl/>
        </w:rPr>
        <w:t>عة لعام 2024،</w:t>
      </w:r>
      <w:bookmarkStart w:id="2" w:name="_Int_FvNvTxPz"/>
      <w:bookmarkStart w:id="3" w:name="_Int_9IATo8Rp"/>
      <w:bookmarkEnd w:id="2"/>
      <w:bookmarkEnd w:id="3"/>
    </w:p>
    <w:p w14:paraId="42BF6181" w14:textId="77777777" w:rsidR="000642B9" w:rsidRPr="000642B9" w:rsidRDefault="000642B9" w:rsidP="000642B9">
      <w:pPr>
        <w:pStyle w:val="Call"/>
        <w:rPr>
          <w:lang w:val="ar-SA" w:bidi="ar-EG"/>
        </w:rPr>
      </w:pPr>
      <w:r w:rsidRPr="000642B9">
        <w:rPr>
          <w:rtl/>
        </w:rPr>
        <w:t>وقد أخذ علماً</w:t>
      </w:r>
    </w:p>
    <w:p w14:paraId="430C74D8" w14:textId="08F29768" w:rsidR="000642B9" w:rsidRPr="000642B9" w:rsidRDefault="000642B9" w:rsidP="000642B9">
      <w:pPr>
        <w:rPr>
          <w:lang w:val="ar-SA" w:bidi="ar-EG"/>
        </w:rPr>
      </w:pPr>
      <w:r w:rsidRPr="000642B9">
        <w:rPr>
          <w:rtl/>
        </w:rPr>
        <w:t xml:space="preserve">بتقرير المراجع الخارجي الوارد في الوثيقة </w:t>
      </w:r>
      <w:hyperlink r:id="rId10" w:history="1">
        <w:r w:rsidRPr="000642B9">
          <w:rPr>
            <w:rStyle w:val="Hyperlink"/>
            <w:rFonts w:ascii="Dubai" w:eastAsiaTheme="minorEastAsia" w:hAnsi="Dubai" w:cs="Dubai"/>
            <w:noProof w:val="0"/>
            <w:color w:val="0000FF"/>
            <w:sz w:val="22"/>
            <w:u w:val="single"/>
            <w:lang w:val="en-US" w:eastAsia="zh-CN" w:bidi="ar-EG"/>
          </w:rPr>
          <w:t>C25/41</w:t>
        </w:r>
      </w:hyperlink>
      <w:r w:rsidRPr="000642B9">
        <w:rPr>
          <w:rtl/>
        </w:rPr>
        <w:t>،</w:t>
      </w:r>
    </w:p>
    <w:p w14:paraId="4FEB5A49" w14:textId="59BEE1BF" w:rsidR="000642B9" w:rsidRPr="000642B9" w:rsidRDefault="000642B9" w:rsidP="000642B9">
      <w:pPr>
        <w:pStyle w:val="Call"/>
        <w:tabs>
          <w:tab w:val="left" w:pos="2748"/>
        </w:tabs>
        <w:rPr>
          <w:lang w:val="ar-SA" w:bidi="ar-EG"/>
        </w:rPr>
      </w:pPr>
      <w:bookmarkStart w:id="4" w:name="_Hlk39237827"/>
      <w:r w:rsidRPr="000642B9">
        <w:rPr>
          <w:rtl/>
        </w:rPr>
        <w:t>يقرر</w:t>
      </w:r>
    </w:p>
    <w:p w14:paraId="513E6216" w14:textId="7F228B6D" w:rsidR="000642B9" w:rsidRDefault="000642B9" w:rsidP="000642B9">
      <w:pPr>
        <w:rPr>
          <w:lang w:bidi="ar-EG"/>
        </w:rPr>
      </w:pPr>
      <w:r w:rsidRPr="000642B9">
        <w:rPr>
          <w:rtl/>
        </w:rPr>
        <w:t xml:space="preserve">أن يوافق على تقرير الإدارة المالية للسنة المالية 2024 (الوثيقة </w:t>
      </w:r>
      <w:hyperlink r:id="rId11" w:history="1">
        <w:r w:rsidRPr="000642B9">
          <w:rPr>
            <w:rStyle w:val="Hyperlink"/>
            <w:rFonts w:ascii="Dubai" w:eastAsiaTheme="minorEastAsia" w:hAnsi="Dubai" w:cs="Dubai"/>
            <w:noProof w:val="0"/>
            <w:color w:val="0000FF"/>
            <w:sz w:val="22"/>
            <w:u w:val="single"/>
            <w:lang w:val="en-US" w:eastAsia="zh-CN" w:bidi="ar-EG"/>
          </w:rPr>
          <w:t>C25/40</w:t>
        </w:r>
      </w:hyperlink>
      <w:r w:rsidRPr="000642B9">
        <w:rPr>
          <w:rtl/>
        </w:rPr>
        <w:t>) الذي يغطي حسابات الاتحاد لعام 2024.</w:t>
      </w:r>
      <w:bookmarkEnd w:id="4"/>
    </w:p>
    <w:p w14:paraId="2C53B5B6" w14:textId="4DD721F4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86E8" w14:textId="77777777" w:rsidR="00EA0AFB" w:rsidRDefault="00EA0AFB" w:rsidP="006C3242">
      <w:pPr>
        <w:spacing w:before="0" w:line="240" w:lineRule="auto"/>
      </w:pPr>
      <w:r>
        <w:separator/>
      </w:r>
    </w:p>
  </w:endnote>
  <w:endnote w:type="continuationSeparator" w:id="0">
    <w:p w14:paraId="08395026" w14:textId="77777777" w:rsidR="00EA0AFB" w:rsidRDefault="00EA0AF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43CB8F20" w14:textId="77777777" w:rsidTr="00A67F05">
      <w:trPr>
        <w:jc w:val="center"/>
      </w:trPr>
      <w:tc>
        <w:tcPr>
          <w:tcW w:w="868" w:type="pct"/>
          <w:vAlign w:val="center"/>
        </w:tcPr>
        <w:p w14:paraId="6800A5BB" w14:textId="77777777" w:rsidR="00F50E3F" w:rsidRPr="007B0AA0" w:rsidRDefault="006F363C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>
            <w:rPr>
              <w:rFonts w:ascii="Calibri" w:hAnsi="Calibri" w:cs="Arial"/>
              <w:sz w:val="18"/>
              <w:szCs w:val="14"/>
            </w:rPr>
            <w:t>gDoc #</w:t>
          </w:r>
        </w:p>
      </w:tc>
      <w:tc>
        <w:tcPr>
          <w:tcW w:w="3912" w:type="pct"/>
        </w:tcPr>
        <w:p w14:paraId="7BE2EBBE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/xx-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B7ADF0B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33E8834" w14:textId="77777777" w:rsidR="006C3242" w:rsidRPr="0026373E" w:rsidRDefault="006C3242" w:rsidP="00BA04B2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000280A8" w14:textId="77777777" w:rsidTr="00A67F05">
      <w:trPr>
        <w:jc w:val="center"/>
      </w:trPr>
      <w:tc>
        <w:tcPr>
          <w:tcW w:w="1013" w:type="pct"/>
          <w:vAlign w:val="center"/>
        </w:tcPr>
        <w:p w14:paraId="281683AC" w14:textId="77777777" w:rsidR="007B0AA0" w:rsidRPr="00660DEA" w:rsidRDefault="007335F9" w:rsidP="00A67F0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660DEA" w:rsidRPr="00660DEA">
              <w:rPr>
                <w:rStyle w:val="Hyperlink"/>
              </w:rPr>
              <w:t>council.itu.int/2025</w:t>
            </w:r>
          </w:hyperlink>
        </w:p>
      </w:tc>
      <w:tc>
        <w:tcPr>
          <w:tcW w:w="3768" w:type="pct"/>
        </w:tcPr>
        <w:p w14:paraId="02C618C2" w14:textId="03002E83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0642B9">
            <w:rPr>
              <w:rFonts w:ascii="Calibri" w:hAnsi="Calibri" w:cs="Arial"/>
              <w:bCs/>
              <w:color w:val="7F7F7F"/>
              <w:sz w:val="18"/>
            </w:rPr>
            <w:t>116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4B07198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B0E6C7C" w14:textId="77777777" w:rsidR="0006468A" w:rsidRPr="007B0AA0" w:rsidRDefault="0006468A" w:rsidP="00BA04B2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7823" w14:textId="77777777" w:rsidR="00EA0AFB" w:rsidRDefault="00EA0AFB" w:rsidP="006C3242">
      <w:pPr>
        <w:spacing w:before="0" w:line="240" w:lineRule="auto"/>
      </w:pPr>
      <w:r>
        <w:separator/>
      </w:r>
    </w:p>
  </w:footnote>
  <w:footnote w:type="continuationSeparator" w:id="0">
    <w:p w14:paraId="2315D99D" w14:textId="77777777" w:rsidR="00EA0AFB" w:rsidRDefault="00EA0AF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5B1C" w14:textId="77777777" w:rsidR="007B0AA0" w:rsidRDefault="007648A6" w:rsidP="00935AAC">
    <w:pPr>
      <w:pStyle w:val="Header"/>
      <w:spacing w:before="120" w:after="60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D68B0" wp14:editId="638619E7">
              <wp:simplePos x="0" y="0"/>
              <wp:positionH relativeFrom="page">
                <wp:posOffset>7453630</wp:posOffset>
              </wp:positionH>
              <wp:positionV relativeFrom="topMargin">
                <wp:posOffset>641294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D5802" id="Rectangle 5" o:spid="_x0000_s1026" style="position:absolute;margin-left:586.9pt;margin-top:50.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wK/AEAANkDAAAOAAAAZHJzL2Uyb0RvYy54bWysU8GO0zAQvSPxD5bvNElpu9uo6WrVahHS&#10;AisWPsB1nMTC8Zix27R8PWOnWwrcEBfL45l5fu95vLo79oYdFHoNtuLFJOdMWQm1tm3Fv355eHPL&#10;mQ/C1sKAVRU/Kc/v1q9frQZXqil0YGqFjECsLwdX8S4EV2aZl53qhZ+AU5aSDWAvAoXYZjWKgdB7&#10;k03zfJENgLVDkMp7Ot2OSb5O+E2jZPjUNF4FZipO3EJaMa27uGbrlShbFK7T8kxD/AOLXmhLl16g&#10;tiIItkf9F1SvJYKHJkwk9Bk0jZYqaSA1Rf6HmudOOJW0kDneXWzy/w9Wfjw8IdN1xeecWdHTE30m&#10;04RtjWLzaM/gfElVz+4Jo0DvHkF+88zCpqMqdY8IQ6dETaSKWJ/91hADT61sN3yAmtDFPkBy6thg&#10;HwHJA3ZMD3K6PIg6BibpcDnNb4iXpMzbRb64Te+VifKl16EP7xT0LG4qjsQ8YYvDow+RiyhfShJ3&#10;MLp+0MakANvdxiA7iDga+XKzTXKpxV+XGRuLLcS2ETGeJJFR1+jPDuoTaUQY54v+A206wB+cDTRb&#10;Ffff9wIVZ+a9JZ+WxWwWhzEFs/nNlAK8zuyuM8JKgqp44GzcbsI4wHuHuu3opiKJtnBP3jY6CY++&#10;j6zOZGl+kh/nWY8Deh2nql8/cv0TAAD//wMAUEsDBBQABgAIAAAAIQD/k3/B4gAAAA0BAAAPAAAA&#10;ZHJzL2Rvd25yZXYueG1sTI9BT8JAEIXvJv6HzZhwk21LtE3tlhAiB4IHRS7clu7YVruztbtA8dc7&#10;nPT2XublzfeK+Wg7ccLBt44UxNMIBFLlTEu1gt376j4D4YMmoztHqOCCHubl7U2hc+PO9IanbagF&#10;l5DPtYImhD6X0lcNWu2nrkfi24cbrA5sh1qaQZ+53HYyiaJHaXVL/KHRPS4brL62R6sg7JM6vbxu&#10;QrJ73ny/fK7X7Y/ZKzW5GxdPIAKO4S8MV3xGh5KZDu5IxouOfZzOmD2wimJedY3EWTYDcWD1kGYg&#10;y0L+X1H+AgAA//8DAFBLAQItABQABgAIAAAAIQC2gziS/gAAAOEBAAATAAAAAAAAAAAAAAAAAAAA&#10;AABbQ29udGVudF9UeXBlc10ueG1sUEsBAi0AFAAGAAgAAAAhADj9If/WAAAAlAEAAAsAAAAAAAAA&#10;AAAAAAAALwEAAF9yZWxzLy5yZWxzUEsBAi0AFAAGAAgAAAAhACsZXAr8AQAA2QMAAA4AAAAAAAAA&#10;AAAAAAAALgIAAGRycy9lMm9Eb2MueG1sUEsBAi0AFAAGAAgAAAAhAP+Tf8HiAAAADQEAAA8AAAAA&#10;AAAAAAAAAAAAVgQAAGRycy9kb3ducmV2LnhtbFBLBQYAAAAABAAEAPMAAABlBQAAAAA=&#10;" fillcolor="#009cd5" stroked="f">
              <w10:wrap anchorx="page" anchory="margin"/>
            </v:rect>
          </w:pict>
        </mc:Fallback>
      </mc:AlternateContent>
    </w:r>
    <w:r w:rsidR="00420F8A">
      <w:rPr>
        <w:rFonts w:ascii="Avenir Nxt2 W1G Medium" w:eastAsia="Avenir Nxt2 W1G Medium" w:hAnsi="Avenir Nxt2 W1G Medium" w:cs="Avenir Nxt2 W1G Medium"/>
        <w:noProof/>
      </w:rPr>
      <w:drawing>
        <wp:inline distT="0" distB="0" distL="0" distR="0" wp14:anchorId="2A9C9753" wp14:editId="54660DEA">
          <wp:extent cx="2999433" cy="612775"/>
          <wp:effectExtent l="0" t="0" r="0" b="0"/>
          <wp:docPr id="163156739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67398" name="Picture 1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02"/>
                  <a:stretch/>
                </pic:blipFill>
                <pic:spPr bwMode="auto">
                  <a:xfrm>
                    <a:off x="0" y="0"/>
                    <a:ext cx="2999932" cy="61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4102975">
    <w:abstractNumId w:val="9"/>
  </w:num>
  <w:num w:numId="2" w16cid:durableId="2088652523">
    <w:abstractNumId w:val="7"/>
  </w:num>
  <w:num w:numId="3" w16cid:durableId="608047059">
    <w:abstractNumId w:val="6"/>
  </w:num>
  <w:num w:numId="4" w16cid:durableId="1691226421">
    <w:abstractNumId w:val="5"/>
  </w:num>
  <w:num w:numId="5" w16cid:durableId="1208681877">
    <w:abstractNumId w:val="4"/>
  </w:num>
  <w:num w:numId="6" w16cid:durableId="990794621">
    <w:abstractNumId w:val="8"/>
  </w:num>
  <w:num w:numId="7" w16cid:durableId="978535496">
    <w:abstractNumId w:val="3"/>
  </w:num>
  <w:num w:numId="8" w16cid:durableId="278731108">
    <w:abstractNumId w:val="2"/>
  </w:num>
  <w:num w:numId="9" w16cid:durableId="375666187">
    <w:abstractNumId w:val="1"/>
  </w:num>
  <w:num w:numId="10" w16cid:durableId="1390569131">
    <w:abstractNumId w:val="0"/>
  </w:num>
  <w:num w:numId="11" w16cid:durableId="321587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46"/>
    <w:rsid w:val="000642B9"/>
    <w:rsid w:val="0006468A"/>
    <w:rsid w:val="00090574"/>
    <w:rsid w:val="000C1C0E"/>
    <w:rsid w:val="000C548A"/>
    <w:rsid w:val="00191059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67546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20F8A"/>
    <w:rsid w:val="0042686F"/>
    <w:rsid w:val="004317D8"/>
    <w:rsid w:val="0043260A"/>
    <w:rsid w:val="00434183"/>
    <w:rsid w:val="00443869"/>
    <w:rsid w:val="00447F32"/>
    <w:rsid w:val="00491BA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5C449C"/>
    <w:rsid w:val="005E1715"/>
    <w:rsid w:val="00660DEA"/>
    <w:rsid w:val="0067739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35F9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95CB1"/>
    <w:rsid w:val="008A7F84"/>
    <w:rsid w:val="008E35A7"/>
    <w:rsid w:val="0091702E"/>
    <w:rsid w:val="00923B0C"/>
    <w:rsid w:val="00924F46"/>
    <w:rsid w:val="00935AAC"/>
    <w:rsid w:val="0094021C"/>
    <w:rsid w:val="00952F86"/>
    <w:rsid w:val="00982B28"/>
    <w:rsid w:val="009D313F"/>
    <w:rsid w:val="00A47A5A"/>
    <w:rsid w:val="00A56DA6"/>
    <w:rsid w:val="00A63AE6"/>
    <w:rsid w:val="00A6683B"/>
    <w:rsid w:val="00A67F05"/>
    <w:rsid w:val="00A97F94"/>
    <w:rsid w:val="00AA7EA2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C1E02"/>
    <w:rsid w:val="00DC24B4"/>
    <w:rsid w:val="00DC5FB0"/>
    <w:rsid w:val="00DF16DC"/>
    <w:rsid w:val="00E45211"/>
    <w:rsid w:val="00E473C5"/>
    <w:rsid w:val="00E61BE8"/>
    <w:rsid w:val="00E83FF1"/>
    <w:rsid w:val="00E92863"/>
    <w:rsid w:val="00E979B2"/>
    <w:rsid w:val="00EA0AFB"/>
    <w:rsid w:val="00EB796D"/>
    <w:rsid w:val="00EC4EAD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29D1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1B7FA"/>
  <w15:chartTrackingRefBased/>
  <w15:docId w15:val="{D044F02D-C042-42DE-99FD-DB44FD62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660DEA"/>
    <w:rPr>
      <w:rFonts w:ascii="Calibri" w:eastAsia="Calibri" w:hAnsi="Calibri" w:cs="Arial"/>
      <w:noProof/>
      <w:color w:val="5B9BD5" w:themeColor="accent1"/>
      <w:sz w:val="18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Convention-a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5-CL-C-0040/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25-CL-C-0041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Pages/Financial-Regulations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Work\2025\7\Templates\Arabic%20Templates%202025\SG\PA_Council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 2025.dotx</Template>
  <TotalTime>2</TotalTime>
  <Pages>1</Pages>
  <Words>97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1432 - Financial operating report and audited financial statements for the 2024 financial year</dc:title>
  <dc:subject>ITU Council 2025</dc:subject>
  <cp:keywords>C2025; Council-25; C25</cp:keywords>
  <dc:description/>
  <dcterms:created xsi:type="dcterms:W3CDTF">2025-08-01T14:31:00Z</dcterms:created>
  <dcterms:modified xsi:type="dcterms:W3CDTF">2025-08-01T14:33:00Z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