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B0116D" w14:paraId="27086C4C" w14:textId="77777777" w:rsidTr="00C538FC">
        <w:trPr>
          <w:cantSplit/>
          <w:trHeight w:val="23"/>
        </w:trPr>
        <w:tc>
          <w:tcPr>
            <w:tcW w:w="3969" w:type="dxa"/>
            <w:vMerge w:val="restart"/>
            <w:tcMar>
              <w:left w:w="0" w:type="dxa"/>
            </w:tcMar>
          </w:tcPr>
          <w:p w14:paraId="6C9F60D2" w14:textId="04D70D27" w:rsidR="00FE57F6" w:rsidRPr="00B0116D" w:rsidRDefault="00FE57F6" w:rsidP="00100F55">
            <w:pPr>
              <w:tabs>
                <w:tab w:val="left" w:pos="851"/>
              </w:tabs>
              <w:spacing w:before="0" w:line="240" w:lineRule="atLeast"/>
              <w:rPr>
                <w:b/>
              </w:rPr>
            </w:pPr>
            <w:bookmarkStart w:id="0" w:name="_Hlk133421839"/>
          </w:p>
        </w:tc>
        <w:tc>
          <w:tcPr>
            <w:tcW w:w="5245" w:type="dxa"/>
          </w:tcPr>
          <w:p w14:paraId="3952580B" w14:textId="0CD0C8B1" w:rsidR="00FE57F6" w:rsidRPr="00B0116D" w:rsidRDefault="00FE57F6" w:rsidP="00C538FC">
            <w:pPr>
              <w:tabs>
                <w:tab w:val="left" w:pos="851"/>
              </w:tabs>
              <w:spacing w:before="0" w:line="240" w:lineRule="atLeast"/>
              <w:jc w:val="right"/>
              <w:rPr>
                <w:b/>
              </w:rPr>
            </w:pPr>
            <w:r w:rsidRPr="00B0116D">
              <w:rPr>
                <w:b/>
              </w:rPr>
              <w:t>Document</w:t>
            </w:r>
            <w:r w:rsidR="00F24B71" w:rsidRPr="00B0116D">
              <w:rPr>
                <w:b/>
              </w:rPr>
              <w:t>o</w:t>
            </w:r>
            <w:r w:rsidRPr="00B0116D">
              <w:rPr>
                <w:b/>
              </w:rPr>
              <w:t xml:space="preserve"> C2</w:t>
            </w:r>
            <w:r w:rsidR="00BB6FD8" w:rsidRPr="00B0116D">
              <w:rPr>
                <w:b/>
              </w:rPr>
              <w:t>5</w:t>
            </w:r>
            <w:r w:rsidRPr="00B0116D">
              <w:rPr>
                <w:b/>
              </w:rPr>
              <w:t>/</w:t>
            </w:r>
            <w:r w:rsidR="00472BEE">
              <w:rPr>
                <w:b/>
              </w:rPr>
              <w:t>115</w:t>
            </w:r>
            <w:r w:rsidRPr="00B0116D">
              <w:rPr>
                <w:b/>
              </w:rPr>
              <w:t>-</w:t>
            </w:r>
            <w:r w:rsidR="00F24B71" w:rsidRPr="00B0116D">
              <w:rPr>
                <w:b/>
              </w:rPr>
              <w:t>S</w:t>
            </w:r>
          </w:p>
        </w:tc>
      </w:tr>
      <w:tr w:rsidR="00FE57F6" w:rsidRPr="00B0116D" w14:paraId="0870838F" w14:textId="77777777" w:rsidTr="00C538FC">
        <w:trPr>
          <w:cantSplit/>
        </w:trPr>
        <w:tc>
          <w:tcPr>
            <w:tcW w:w="3969" w:type="dxa"/>
            <w:vMerge/>
          </w:tcPr>
          <w:p w14:paraId="092F7255" w14:textId="77777777" w:rsidR="00FE57F6" w:rsidRPr="00B0116D" w:rsidRDefault="00FE57F6" w:rsidP="00C538FC">
            <w:pPr>
              <w:tabs>
                <w:tab w:val="left" w:pos="851"/>
              </w:tabs>
              <w:spacing w:line="240" w:lineRule="atLeast"/>
              <w:rPr>
                <w:b/>
              </w:rPr>
            </w:pPr>
          </w:p>
        </w:tc>
        <w:tc>
          <w:tcPr>
            <w:tcW w:w="5245" w:type="dxa"/>
          </w:tcPr>
          <w:p w14:paraId="7C41EEBB" w14:textId="1BA67E93" w:rsidR="00FE57F6" w:rsidRPr="00B0116D" w:rsidRDefault="00472BEE" w:rsidP="00C538FC">
            <w:pPr>
              <w:tabs>
                <w:tab w:val="left" w:pos="851"/>
              </w:tabs>
              <w:spacing w:before="0"/>
              <w:jc w:val="right"/>
              <w:rPr>
                <w:b/>
              </w:rPr>
            </w:pPr>
            <w:r>
              <w:rPr>
                <w:b/>
              </w:rPr>
              <w:t>9</w:t>
            </w:r>
            <w:r w:rsidR="00100F55" w:rsidRPr="00B0116D">
              <w:rPr>
                <w:b/>
              </w:rPr>
              <w:t xml:space="preserve"> de </w:t>
            </w:r>
            <w:r w:rsidR="00E26516">
              <w:rPr>
                <w:b/>
              </w:rPr>
              <w:t>ju</w:t>
            </w:r>
            <w:r>
              <w:rPr>
                <w:b/>
              </w:rPr>
              <w:t>l</w:t>
            </w:r>
            <w:r w:rsidR="00E26516">
              <w:rPr>
                <w:b/>
              </w:rPr>
              <w:t>io</w:t>
            </w:r>
            <w:r w:rsidR="00100F55" w:rsidRPr="00B0116D">
              <w:rPr>
                <w:b/>
              </w:rPr>
              <w:t xml:space="preserve"> de 2025</w:t>
            </w:r>
          </w:p>
        </w:tc>
      </w:tr>
      <w:tr w:rsidR="00FE57F6" w:rsidRPr="00B0116D" w14:paraId="7943D823" w14:textId="77777777" w:rsidTr="00C538FC">
        <w:trPr>
          <w:cantSplit/>
          <w:trHeight w:val="23"/>
        </w:trPr>
        <w:tc>
          <w:tcPr>
            <w:tcW w:w="3969" w:type="dxa"/>
            <w:vMerge/>
          </w:tcPr>
          <w:p w14:paraId="5F73AFBB" w14:textId="77777777" w:rsidR="00FE57F6" w:rsidRPr="00B0116D" w:rsidRDefault="00FE57F6" w:rsidP="00C538FC">
            <w:pPr>
              <w:tabs>
                <w:tab w:val="left" w:pos="851"/>
              </w:tabs>
              <w:spacing w:line="240" w:lineRule="atLeast"/>
              <w:rPr>
                <w:b/>
              </w:rPr>
            </w:pPr>
          </w:p>
        </w:tc>
        <w:tc>
          <w:tcPr>
            <w:tcW w:w="5245" w:type="dxa"/>
          </w:tcPr>
          <w:p w14:paraId="74298E45" w14:textId="77777777" w:rsidR="00FE57F6" w:rsidRPr="00B0116D" w:rsidRDefault="00F24B71" w:rsidP="00C538FC">
            <w:pPr>
              <w:tabs>
                <w:tab w:val="left" w:pos="851"/>
              </w:tabs>
              <w:spacing w:before="0" w:line="240" w:lineRule="atLeast"/>
              <w:jc w:val="right"/>
              <w:rPr>
                <w:b/>
                <w:bCs/>
              </w:rPr>
            </w:pPr>
            <w:r w:rsidRPr="00B0116D">
              <w:rPr>
                <w:rFonts w:cstheme="minorHAnsi"/>
                <w:b/>
                <w:bCs/>
              </w:rPr>
              <w:t>Original: inglés</w:t>
            </w:r>
          </w:p>
        </w:tc>
      </w:tr>
      <w:tr w:rsidR="00FE57F6" w:rsidRPr="00B0116D" w14:paraId="5DF6B687" w14:textId="77777777" w:rsidTr="00C538FC">
        <w:trPr>
          <w:cantSplit/>
          <w:trHeight w:val="23"/>
        </w:trPr>
        <w:tc>
          <w:tcPr>
            <w:tcW w:w="3969" w:type="dxa"/>
          </w:tcPr>
          <w:p w14:paraId="3AC7A649" w14:textId="77777777" w:rsidR="00FE57F6" w:rsidRPr="00B0116D" w:rsidRDefault="00FE57F6" w:rsidP="00C538FC">
            <w:pPr>
              <w:tabs>
                <w:tab w:val="left" w:pos="851"/>
              </w:tabs>
              <w:spacing w:line="240" w:lineRule="atLeast"/>
              <w:rPr>
                <w:b/>
              </w:rPr>
            </w:pPr>
          </w:p>
        </w:tc>
        <w:tc>
          <w:tcPr>
            <w:tcW w:w="5245" w:type="dxa"/>
          </w:tcPr>
          <w:p w14:paraId="184303D5" w14:textId="77777777" w:rsidR="00FE57F6" w:rsidRPr="00B0116D" w:rsidRDefault="00FE57F6" w:rsidP="00C538FC">
            <w:pPr>
              <w:tabs>
                <w:tab w:val="left" w:pos="851"/>
              </w:tabs>
              <w:spacing w:before="0" w:line="240" w:lineRule="atLeast"/>
              <w:jc w:val="right"/>
              <w:rPr>
                <w:b/>
              </w:rPr>
            </w:pPr>
          </w:p>
        </w:tc>
      </w:tr>
    </w:tbl>
    <w:bookmarkEnd w:id="0"/>
    <w:p w14:paraId="546904BB" w14:textId="1B7B7B6A" w:rsidR="00100F55" w:rsidRDefault="00100F55" w:rsidP="00220D6C">
      <w:pPr>
        <w:pStyle w:val="ResNo"/>
      </w:pPr>
      <w:r w:rsidRPr="00B0116D">
        <w:t xml:space="preserve">RESOLUCIÓN </w:t>
      </w:r>
      <w:r w:rsidR="00472BEE">
        <w:t>1431</w:t>
      </w:r>
    </w:p>
    <w:p w14:paraId="309B8EC9" w14:textId="0F373A75" w:rsidR="00E26516" w:rsidRPr="00E26516" w:rsidRDefault="00334B55" w:rsidP="00334B55">
      <w:pPr>
        <w:jc w:val="center"/>
      </w:pPr>
      <w:r w:rsidRPr="00977E96">
        <w:t xml:space="preserve">(adoptada en la </w:t>
      </w:r>
      <w:r w:rsidR="00977E96">
        <w:t xml:space="preserve">primera </w:t>
      </w:r>
      <w:r w:rsidRPr="00977E96">
        <w:t>Sesión Plenaria)</w:t>
      </w:r>
    </w:p>
    <w:p w14:paraId="5BE7514C" w14:textId="77777777" w:rsidR="00100F55" w:rsidRPr="00B0116D" w:rsidRDefault="00100F55" w:rsidP="00220D6C">
      <w:pPr>
        <w:pStyle w:val="Restitle"/>
      </w:pPr>
      <w:r w:rsidRPr="00B0116D">
        <w:t>Plan Operacional de la Unión para 2026-2029</w:t>
      </w:r>
    </w:p>
    <w:p w14:paraId="5426C8DE" w14:textId="77777777" w:rsidR="00100F55" w:rsidRPr="00B0116D" w:rsidRDefault="00100F55" w:rsidP="00220D6C">
      <w:pPr>
        <w:pStyle w:val="Normalaftertitle"/>
      </w:pPr>
      <w:r w:rsidRPr="00B0116D">
        <w:t>El Consejo de la UIT,</w:t>
      </w:r>
    </w:p>
    <w:p w14:paraId="6EF4DAF1" w14:textId="77777777" w:rsidR="00100F55" w:rsidRPr="00B0116D" w:rsidRDefault="00100F55" w:rsidP="00220D6C">
      <w:pPr>
        <w:pStyle w:val="Call"/>
      </w:pPr>
      <w:r w:rsidRPr="00B0116D">
        <w:t>reconociendo</w:t>
      </w:r>
    </w:p>
    <w:p w14:paraId="428037C7" w14:textId="6181E63B" w:rsidR="00100F55" w:rsidRPr="00B0116D" w:rsidRDefault="00100F55" w:rsidP="00220D6C">
      <w:pPr>
        <w:jc w:val="both"/>
      </w:pPr>
      <w:r w:rsidRPr="00B0116D">
        <w:t xml:space="preserve">las disposiciones de los </w:t>
      </w:r>
      <w:r w:rsidR="00220D6C" w:rsidRPr="00B0116D">
        <w:t xml:space="preserve">Artículos </w:t>
      </w:r>
      <w:r w:rsidRPr="00B0116D">
        <w:t>5, 11A, 12, 14A, 15 y 18 del Convenio de la UIT,</w:t>
      </w:r>
    </w:p>
    <w:p w14:paraId="4BE89A3E" w14:textId="77777777" w:rsidR="00100F55" w:rsidRPr="00B0116D" w:rsidRDefault="00100F55" w:rsidP="00220D6C">
      <w:pPr>
        <w:pStyle w:val="Call"/>
        <w:jc w:val="both"/>
      </w:pPr>
      <w:r w:rsidRPr="00B0116D">
        <w:t>recordando</w:t>
      </w:r>
    </w:p>
    <w:p w14:paraId="35722B45" w14:textId="082514D6" w:rsidR="00100F55" w:rsidRPr="00B0116D" w:rsidRDefault="00100F55" w:rsidP="00220D6C">
      <w:pPr>
        <w:jc w:val="both"/>
      </w:pPr>
      <w:r w:rsidRPr="00B0116D">
        <w:t>la Resolución 71 (Rev. Bucarest, 2022) sobre el Plan Estratégico de la Unión</w:t>
      </w:r>
      <w:r w:rsidR="00D46CF1" w:rsidRPr="00B0116D">
        <w:t xml:space="preserve"> </w:t>
      </w:r>
      <w:r w:rsidRPr="00B0116D">
        <w:t>para 2024-2027 y la Resolución 151 (Rev. Bucarest, 2022) sobre la aplicación de la gestión basada en los resultados,</w:t>
      </w:r>
    </w:p>
    <w:p w14:paraId="77F2BB5F" w14:textId="77777777" w:rsidR="00100F55" w:rsidRPr="00B0116D" w:rsidRDefault="00100F55" w:rsidP="00220D6C">
      <w:pPr>
        <w:pStyle w:val="Call"/>
        <w:jc w:val="both"/>
      </w:pPr>
      <w:r w:rsidRPr="00B0116D">
        <w:t>habiendo considerado</w:t>
      </w:r>
    </w:p>
    <w:p w14:paraId="360B2C64" w14:textId="23904E45" w:rsidR="00100F55" w:rsidRPr="00B0116D" w:rsidRDefault="00100F55" w:rsidP="00220D6C">
      <w:pPr>
        <w:jc w:val="both"/>
      </w:pPr>
      <w:r w:rsidRPr="00B0116D">
        <w:t xml:space="preserve">el Plan Operativo de la Unión para 2026-2029 (Documento </w:t>
      </w:r>
      <w:hyperlink r:id="rId6" w:history="1">
        <w:r w:rsidRPr="00220D6C">
          <w:rPr>
            <w:rStyle w:val="Hyperlink"/>
          </w:rPr>
          <w:t>C25/28</w:t>
        </w:r>
      </w:hyperlink>
      <w:r w:rsidRPr="00B0116D">
        <w:t>),</w:t>
      </w:r>
    </w:p>
    <w:p w14:paraId="65B2BBFD" w14:textId="77777777" w:rsidR="00100F55" w:rsidRPr="00B0116D" w:rsidRDefault="00100F55" w:rsidP="00220D6C">
      <w:pPr>
        <w:pStyle w:val="Call"/>
      </w:pPr>
      <w:r w:rsidRPr="00B0116D">
        <w:t>habiendo considerado también</w:t>
      </w:r>
    </w:p>
    <w:p w14:paraId="14E2B394" w14:textId="1E5F7DF7" w:rsidR="00100F55" w:rsidRPr="00B0116D" w:rsidRDefault="00100F55" w:rsidP="00220D6C">
      <w:pPr>
        <w:jc w:val="both"/>
      </w:pPr>
      <w:r w:rsidRPr="00B0116D">
        <w:t xml:space="preserve">la necesidad de que </w:t>
      </w:r>
      <w:r w:rsidR="00977E96">
        <w:t>el</w:t>
      </w:r>
      <w:r w:rsidRPr="00B0116D">
        <w:t xml:space="preserve"> Secretari</w:t>
      </w:r>
      <w:r w:rsidR="00977E96">
        <w:t>o</w:t>
      </w:r>
      <w:r w:rsidRPr="00B0116D">
        <w:t xml:space="preserve"> General y los Directores de las Oficinas gocen de cierta flexibilidad en la puesta en marcha de los elementos correspondientes del Plan Operacional para tomar en consideración cualquier cambio que pueda producirse durante el intervalo entre dos reuniones del </w:t>
      </w:r>
      <w:r w:rsidR="00D67F1F" w:rsidRPr="00B0116D">
        <w:t>Consejo</w:t>
      </w:r>
      <w:r w:rsidRPr="00B0116D">
        <w:t>,</w:t>
      </w:r>
    </w:p>
    <w:p w14:paraId="580FE000" w14:textId="77777777" w:rsidR="00100F55" w:rsidRPr="00B0116D" w:rsidRDefault="00100F55" w:rsidP="00220D6C">
      <w:pPr>
        <w:pStyle w:val="Call"/>
      </w:pPr>
      <w:r w:rsidRPr="00B0116D">
        <w:t>resuelve</w:t>
      </w:r>
    </w:p>
    <w:p w14:paraId="7411326B" w14:textId="21728D01" w:rsidR="00100F55" w:rsidRPr="00B0116D" w:rsidRDefault="00100F55" w:rsidP="00220D6C">
      <w:pPr>
        <w:jc w:val="both"/>
      </w:pPr>
      <w:r w:rsidRPr="00B0116D">
        <w:t>1</w:t>
      </w:r>
      <w:r w:rsidRPr="00B0116D">
        <w:tab/>
        <w:t>aprobar el Plan Operacional de la Unión para 2026-2029; y</w:t>
      </w:r>
    </w:p>
    <w:p w14:paraId="2AA7C9CE" w14:textId="47F23AF5" w:rsidR="00F92BED" w:rsidRPr="00B0116D" w:rsidRDefault="00100F55" w:rsidP="00220D6C">
      <w:pPr>
        <w:jc w:val="both"/>
      </w:pPr>
      <w:r w:rsidRPr="00B0116D">
        <w:t>2</w:t>
      </w:r>
      <w:r w:rsidRPr="00B0116D">
        <w:tab/>
        <w:t>permitir a</w:t>
      </w:r>
      <w:r w:rsidR="00977E96">
        <w:t>l</w:t>
      </w:r>
      <w:r w:rsidRPr="00B0116D">
        <w:t xml:space="preserve"> Secretari</w:t>
      </w:r>
      <w:r w:rsidR="00977E96">
        <w:t>o</w:t>
      </w:r>
      <w:r w:rsidRPr="00B0116D">
        <w:t xml:space="preserve"> General y a los Directores la flexibilidad necesaria en la puesta en marcha de los elementos correspondientes del Plan Operacional de la Unión para 2026</w:t>
      </w:r>
      <w:r w:rsidR="00D67F1F">
        <w:noBreakHyphen/>
      </w:r>
      <w:r w:rsidRPr="00B0116D">
        <w:t>2029.</w:t>
      </w:r>
    </w:p>
    <w:p w14:paraId="01F5B19E" w14:textId="77777777" w:rsidR="00F92BED" w:rsidRPr="00B0116D" w:rsidRDefault="00F92BED" w:rsidP="00472BEE"/>
    <w:p w14:paraId="49AB9C57" w14:textId="77777777" w:rsidR="00F92BED" w:rsidRPr="00B0116D" w:rsidRDefault="00F92BED" w:rsidP="00472BEE">
      <w:pPr>
        <w:spacing w:before="360"/>
        <w:jc w:val="center"/>
      </w:pPr>
      <w:r w:rsidRPr="00B0116D">
        <w:t>______________</w:t>
      </w:r>
    </w:p>
    <w:sectPr w:rsidR="00F92BED" w:rsidRPr="00B0116D" w:rsidSect="00E26516">
      <w:footerReference w:type="default" r:id="rId7"/>
      <w:headerReference w:type="first" r:id="rId8"/>
      <w:footerReference w:type="first" r:id="rId9"/>
      <w:pgSz w:w="11907" w:h="16834"/>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77385" w14:textId="77777777" w:rsidR="00100F55" w:rsidRPr="00B0116D" w:rsidRDefault="00100F55">
      <w:r w:rsidRPr="00B0116D">
        <w:separator/>
      </w:r>
    </w:p>
  </w:endnote>
  <w:endnote w:type="continuationSeparator" w:id="0">
    <w:p w14:paraId="65FBBD33" w14:textId="77777777" w:rsidR="00100F55" w:rsidRPr="00B0116D" w:rsidRDefault="00100F55">
      <w:r w:rsidRPr="00B011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B0116D" w14:paraId="3EAAD17A" w14:textId="77777777" w:rsidTr="00E31DCE">
      <w:trPr>
        <w:jc w:val="center"/>
      </w:trPr>
      <w:tc>
        <w:tcPr>
          <w:tcW w:w="1803" w:type="dxa"/>
          <w:vAlign w:val="center"/>
        </w:tcPr>
        <w:p w14:paraId="24B63AD5" w14:textId="13207211" w:rsidR="003273A4" w:rsidRPr="00B0116D" w:rsidRDefault="003273A4" w:rsidP="003273A4">
          <w:pPr>
            <w:pStyle w:val="Header"/>
            <w:jc w:val="left"/>
          </w:pPr>
        </w:p>
      </w:tc>
      <w:tc>
        <w:tcPr>
          <w:tcW w:w="8261" w:type="dxa"/>
        </w:tcPr>
        <w:p w14:paraId="7DFBC468" w14:textId="2036A350" w:rsidR="003273A4" w:rsidRPr="00B0116D" w:rsidRDefault="003273A4" w:rsidP="00B060DF">
          <w:pPr>
            <w:pStyle w:val="Header"/>
            <w:tabs>
              <w:tab w:val="left" w:pos="6731"/>
              <w:tab w:val="right" w:pos="8505"/>
              <w:tab w:val="right" w:pos="9639"/>
            </w:tabs>
            <w:jc w:val="left"/>
            <w:rPr>
              <w:rFonts w:ascii="Arial" w:hAnsi="Arial" w:cs="Arial"/>
              <w:b/>
              <w:bCs/>
              <w:szCs w:val="18"/>
            </w:rPr>
          </w:pPr>
          <w:r w:rsidRPr="00B0116D">
            <w:rPr>
              <w:bCs/>
            </w:rPr>
            <w:tab/>
            <w:t>C2</w:t>
          </w:r>
          <w:r w:rsidR="00BB6FD8" w:rsidRPr="00B0116D">
            <w:rPr>
              <w:bCs/>
            </w:rPr>
            <w:t>5</w:t>
          </w:r>
          <w:r w:rsidRPr="00B0116D">
            <w:rPr>
              <w:bCs/>
            </w:rPr>
            <w:t>/</w:t>
          </w:r>
          <w:r w:rsidR="00E26516">
            <w:rPr>
              <w:bCs/>
            </w:rPr>
            <w:t>XX</w:t>
          </w:r>
          <w:r w:rsidRPr="00B0116D">
            <w:rPr>
              <w:bCs/>
            </w:rPr>
            <w:t>-S</w:t>
          </w:r>
          <w:r w:rsidRPr="00B0116D">
            <w:rPr>
              <w:bCs/>
            </w:rPr>
            <w:tab/>
          </w:r>
          <w:r w:rsidRPr="00B0116D">
            <w:fldChar w:fldCharType="begin"/>
          </w:r>
          <w:r w:rsidRPr="00B0116D">
            <w:instrText>PAGE</w:instrText>
          </w:r>
          <w:r w:rsidRPr="00B0116D">
            <w:fldChar w:fldCharType="separate"/>
          </w:r>
          <w:r w:rsidRPr="00B0116D">
            <w:t>1</w:t>
          </w:r>
          <w:r w:rsidRPr="00B0116D">
            <w:fldChar w:fldCharType="end"/>
          </w:r>
        </w:p>
      </w:tc>
    </w:tr>
  </w:tbl>
  <w:p w14:paraId="3A330D5D" w14:textId="77777777" w:rsidR="00760F1C" w:rsidRPr="00B0116D" w:rsidRDefault="00760F1C" w:rsidP="003273A4">
    <w:pPr>
      <w:pStyle w:val="Footer"/>
      <w:rPr>
        <w:b/>
        <w:bCs/>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26516" w:rsidRPr="00B0116D" w14:paraId="4BD8C5D7" w14:textId="77777777" w:rsidTr="00952E02">
      <w:trPr>
        <w:jc w:val="center"/>
      </w:trPr>
      <w:tc>
        <w:tcPr>
          <w:tcW w:w="1803" w:type="dxa"/>
          <w:vAlign w:val="center"/>
        </w:tcPr>
        <w:p w14:paraId="34D10AA5" w14:textId="63D240CE" w:rsidR="00E26516" w:rsidRPr="00B0116D" w:rsidRDefault="00370EAB" w:rsidP="00E26516">
          <w:pPr>
            <w:pStyle w:val="Header"/>
            <w:jc w:val="left"/>
          </w:pPr>
          <w:hyperlink r:id="rId1" w:anchor="/es" w:history="1">
            <w:r w:rsidRPr="0006759D">
              <w:rPr>
                <w:rStyle w:val="Hyperlink"/>
                <w:noProof/>
              </w:rPr>
              <w:t>council.itu.int/2025</w:t>
            </w:r>
          </w:hyperlink>
        </w:p>
      </w:tc>
      <w:tc>
        <w:tcPr>
          <w:tcW w:w="8261" w:type="dxa"/>
        </w:tcPr>
        <w:p w14:paraId="5292266B" w14:textId="1652F46E" w:rsidR="00E26516" w:rsidRPr="00B0116D" w:rsidRDefault="00E26516" w:rsidP="00E26516">
          <w:pPr>
            <w:pStyle w:val="Header"/>
            <w:tabs>
              <w:tab w:val="left" w:pos="6731"/>
              <w:tab w:val="right" w:pos="8505"/>
              <w:tab w:val="right" w:pos="9639"/>
            </w:tabs>
            <w:jc w:val="left"/>
            <w:rPr>
              <w:rFonts w:ascii="Arial" w:hAnsi="Arial" w:cs="Arial"/>
              <w:b/>
              <w:bCs/>
              <w:szCs w:val="18"/>
            </w:rPr>
          </w:pPr>
          <w:r w:rsidRPr="00B0116D">
            <w:rPr>
              <w:bCs/>
            </w:rPr>
            <w:tab/>
            <w:t>C25/</w:t>
          </w:r>
          <w:r w:rsidR="00472BEE">
            <w:rPr>
              <w:bCs/>
            </w:rPr>
            <w:t>115</w:t>
          </w:r>
          <w:r w:rsidRPr="00B0116D">
            <w:rPr>
              <w:bCs/>
            </w:rPr>
            <w:t>-S</w:t>
          </w:r>
          <w:r w:rsidRPr="00B0116D">
            <w:rPr>
              <w:bCs/>
            </w:rPr>
            <w:tab/>
          </w:r>
          <w:r w:rsidRPr="00B0116D">
            <w:fldChar w:fldCharType="begin"/>
          </w:r>
          <w:r w:rsidRPr="00B0116D">
            <w:instrText>PAGE</w:instrText>
          </w:r>
          <w:r w:rsidRPr="00B0116D">
            <w:fldChar w:fldCharType="separate"/>
          </w:r>
          <w:r>
            <w:t>2</w:t>
          </w:r>
          <w:r w:rsidRPr="00B0116D">
            <w:fldChar w:fldCharType="end"/>
          </w:r>
        </w:p>
      </w:tc>
    </w:tr>
  </w:tbl>
  <w:p w14:paraId="04A815C4" w14:textId="77777777" w:rsidR="00E26516" w:rsidRDefault="00E26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99A4F" w14:textId="77777777" w:rsidR="00100F55" w:rsidRPr="00B0116D" w:rsidRDefault="00100F55">
      <w:r w:rsidRPr="00B0116D">
        <w:t>____________________</w:t>
      </w:r>
    </w:p>
  </w:footnote>
  <w:footnote w:type="continuationSeparator" w:id="0">
    <w:p w14:paraId="35AFC9D3" w14:textId="77777777" w:rsidR="00100F55" w:rsidRPr="00B0116D" w:rsidRDefault="00100F55">
      <w:r w:rsidRPr="00B011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E26516" w:rsidRPr="00B0116D" w14:paraId="272B0D08" w14:textId="77777777" w:rsidTr="00952E02">
      <w:trPr>
        <w:trHeight w:val="1104"/>
        <w:jc w:val="center"/>
      </w:trPr>
      <w:tc>
        <w:tcPr>
          <w:tcW w:w="5998" w:type="dxa"/>
          <w:vAlign w:val="center"/>
        </w:tcPr>
        <w:p w14:paraId="6C5F2310" w14:textId="77777777" w:rsidR="00E26516" w:rsidRPr="00B0116D" w:rsidRDefault="00E26516" w:rsidP="00E26516">
          <w:pPr>
            <w:pStyle w:val="Header"/>
            <w:jc w:val="left"/>
            <w:rPr>
              <w:rFonts w:ascii="Arial" w:hAnsi="Arial" w:cs="Arial"/>
              <w:b/>
              <w:bCs/>
              <w:color w:val="009CD6"/>
              <w:sz w:val="36"/>
              <w:szCs w:val="36"/>
            </w:rPr>
          </w:pPr>
          <w:r w:rsidRPr="00B0116D">
            <w:rPr>
              <w:rFonts w:ascii="Arial" w:hAnsi="Arial" w:cs="Arial"/>
              <w:b/>
              <w:bCs/>
              <w:noProof/>
              <w:color w:val="009CD6"/>
              <w:sz w:val="36"/>
              <w:szCs w:val="36"/>
            </w:rPr>
            <w:drawing>
              <wp:inline distT="0" distB="0" distL="0" distR="0" wp14:anchorId="40442FA3" wp14:editId="12E46452">
                <wp:extent cx="3672000" cy="612867"/>
                <wp:effectExtent l="0" t="0" r="0" b="0"/>
                <wp:docPr id="64465285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18D10EA2" w14:textId="77777777" w:rsidR="00E26516" w:rsidRPr="00B0116D" w:rsidRDefault="00E26516" w:rsidP="00E26516">
          <w:pPr>
            <w:pStyle w:val="Header"/>
            <w:jc w:val="right"/>
            <w:rPr>
              <w:rFonts w:ascii="Arial" w:hAnsi="Arial" w:cs="Arial"/>
              <w:b/>
              <w:bCs/>
              <w:color w:val="009CD6"/>
              <w:szCs w:val="18"/>
            </w:rPr>
          </w:pPr>
        </w:p>
      </w:tc>
    </w:tr>
  </w:tbl>
  <w:p w14:paraId="399FBDE1" w14:textId="77777777" w:rsidR="00E26516" w:rsidRDefault="00E26516" w:rsidP="00E26516">
    <w:pPr>
      <w:pStyle w:val="Header"/>
    </w:pPr>
    <w:r w:rsidRPr="00B0116D">
      <w:rPr>
        <w:rFonts w:ascii="Avenir Nxt2 W1G Medium" w:eastAsia="Avenir Nxt2 W1G Medium" w:hAnsi="Avenir Nxt2 W1G Medium" w:cs="Avenir Nxt2 W1G Medium"/>
        <w:noProof/>
      </w:rPr>
      <mc:AlternateContent>
        <mc:Choice Requires="wps">
          <w:drawing>
            <wp:anchor distT="0" distB="0" distL="114300" distR="114300" simplePos="0" relativeHeight="251661312" behindDoc="0" locked="0" layoutInCell="1" allowOverlap="1" wp14:anchorId="5EE96B0A" wp14:editId="3BBC42E3">
              <wp:simplePos x="0" y="0"/>
              <wp:positionH relativeFrom="page">
                <wp:posOffset>13030</wp:posOffset>
              </wp:positionH>
              <wp:positionV relativeFrom="topMargin">
                <wp:posOffset>645160</wp:posOffset>
              </wp:positionV>
              <wp:extent cx="92075" cy="360680"/>
              <wp:effectExtent l="0" t="0" r="3175" b="1270"/>
              <wp:wrapNone/>
              <wp:docPr id="940541734" name="Rectangle 940541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226F8" id="Rectangle 940541734" o:spid="_x0000_s1026" style="position:absolute;margin-left:1.05pt;margin-top:50.8pt;width:7.25pt;height:28.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55"/>
    <w:rsid w:val="000007D1"/>
    <w:rsid w:val="0006007D"/>
    <w:rsid w:val="00093EEB"/>
    <w:rsid w:val="000B0D00"/>
    <w:rsid w:val="000B7C15"/>
    <w:rsid w:val="000C7C71"/>
    <w:rsid w:val="000D1AD8"/>
    <w:rsid w:val="000D1D0F"/>
    <w:rsid w:val="000E3F07"/>
    <w:rsid w:val="000F5290"/>
    <w:rsid w:val="00100F55"/>
    <w:rsid w:val="0010165C"/>
    <w:rsid w:val="00146BFB"/>
    <w:rsid w:val="001559F5"/>
    <w:rsid w:val="00157AC4"/>
    <w:rsid w:val="0016169C"/>
    <w:rsid w:val="001712E9"/>
    <w:rsid w:val="001A01F8"/>
    <w:rsid w:val="001B6E2B"/>
    <w:rsid w:val="001F14A2"/>
    <w:rsid w:val="00220D6C"/>
    <w:rsid w:val="002801AA"/>
    <w:rsid w:val="002946E2"/>
    <w:rsid w:val="002C3F32"/>
    <w:rsid w:val="002C4676"/>
    <w:rsid w:val="002C46FA"/>
    <w:rsid w:val="002C70B0"/>
    <w:rsid w:val="002F3CC4"/>
    <w:rsid w:val="002F4994"/>
    <w:rsid w:val="003032E2"/>
    <w:rsid w:val="0031300A"/>
    <w:rsid w:val="003273A4"/>
    <w:rsid w:val="00334B55"/>
    <w:rsid w:val="0034796E"/>
    <w:rsid w:val="00370EAB"/>
    <w:rsid w:val="00434051"/>
    <w:rsid w:val="00434D3A"/>
    <w:rsid w:val="00472BEE"/>
    <w:rsid w:val="00473962"/>
    <w:rsid w:val="00482990"/>
    <w:rsid w:val="004B5D49"/>
    <w:rsid w:val="004D3A3C"/>
    <w:rsid w:val="004F5DAC"/>
    <w:rsid w:val="00513630"/>
    <w:rsid w:val="0052222F"/>
    <w:rsid w:val="00560125"/>
    <w:rsid w:val="00561193"/>
    <w:rsid w:val="00585553"/>
    <w:rsid w:val="00593A3F"/>
    <w:rsid w:val="005B34D9"/>
    <w:rsid w:val="005D0CCF"/>
    <w:rsid w:val="005F3BCB"/>
    <w:rsid w:val="005F410F"/>
    <w:rsid w:val="0060149A"/>
    <w:rsid w:val="00601924"/>
    <w:rsid w:val="00637AB6"/>
    <w:rsid w:val="006447EA"/>
    <w:rsid w:val="0064481D"/>
    <w:rsid w:val="0064731F"/>
    <w:rsid w:val="00664572"/>
    <w:rsid w:val="00666D09"/>
    <w:rsid w:val="006710F6"/>
    <w:rsid w:val="00677A97"/>
    <w:rsid w:val="006B2022"/>
    <w:rsid w:val="006C1B56"/>
    <w:rsid w:val="006C628F"/>
    <w:rsid w:val="006D4761"/>
    <w:rsid w:val="006F2308"/>
    <w:rsid w:val="00726872"/>
    <w:rsid w:val="00760F1C"/>
    <w:rsid w:val="007657F0"/>
    <w:rsid w:val="0077110E"/>
    <w:rsid w:val="0077252D"/>
    <w:rsid w:val="007955DA"/>
    <w:rsid w:val="007D2C0A"/>
    <w:rsid w:val="007E5568"/>
    <w:rsid w:val="007E5DD3"/>
    <w:rsid w:val="007E7FC8"/>
    <w:rsid w:val="007F350B"/>
    <w:rsid w:val="007F4953"/>
    <w:rsid w:val="00820BE4"/>
    <w:rsid w:val="008429DD"/>
    <w:rsid w:val="008451E8"/>
    <w:rsid w:val="008F6ABC"/>
    <w:rsid w:val="00911CA5"/>
    <w:rsid w:val="00913B9C"/>
    <w:rsid w:val="00927F93"/>
    <w:rsid w:val="00956E77"/>
    <w:rsid w:val="00977E96"/>
    <w:rsid w:val="009A338E"/>
    <w:rsid w:val="009F4811"/>
    <w:rsid w:val="00A06BB4"/>
    <w:rsid w:val="00A35C38"/>
    <w:rsid w:val="00A94438"/>
    <w:rsid w:val="00A97226"/>
    <w:rsid w:val="00AA390C"/>
    <w:rsid w:val="00AB2E9A"/>
    <w:rsid w:val="00B0116D"/>
    <w:rsid w:val="00B0200A"/>
    <w:rsid w:val="00B060DF"/>
    <w:rsid w:val="00B4227E"/>
    <w:rsid w:val="00B551A9"/>
    <w:rsid w:val="00B574DB"/>
    <w:rsid w:val="00B826C2"/>
    <w:rsid w:val="00B8298E"/>
    <w:rsid w:val="00B91630"/>
    <w:rsid w:val="00BB1EF1"/>
    <w:rsid w:val="00BB6FD8"/>
    <w:rsid w:val="00BD0723"/>
    <w:rsid w:val="00BD2518"/>
    <w:rsid w:val="00BF1D1C"/>
    <w:rsid w:val="00C20C59"/>
    <w:rsid w:val="00C2727F"/>
    <w:rsid w:val="00C538FC"/>
    <w:rsid w:val="00C55B1F"/>
    <w:rsid w:val="00CA3065"/>
    <w:rsid w:val="00CA4A3D"/>
    <w:rsid w:val="00CD25AE"/>
    <w:rsid w:val="00CF1A67"/>
    <w:rsid w:val="00D251AE"/>
    <w:rsid w:val="00D2750E"/>
    <w:rsid w:val="00D375E0"/>
    <w:rsid w:val="00D46CF1"/>
    <w:rsid w:val="00D50A36"/>
    <w:rsid w:val="00D619E5"/>
    <w:rsid w:val="00D62446"/>
    <w:rsid w:val="00D67F1F"/>
    <w:rsid w:val="00D700F4"/>
    <w:rsid w:val="00D80648"/>
    <w:rsid w:val="00DA4EA2"/>
    <w:rsid w:val="00DA54ED"/>
    <w:rsid w:val="00DC3D3E"/>
    <w:rsid w:val="00DC4281"/>
    <w:rsid w:val="00DD2ABD"/>
    <w:rsid w:val="00DE2C90"/>
    <w:rsid w:val="00DE3B24"/>
    <w:rsid w:val="00E02AB1"/>
    <w:rsid w:val="00E06947"/>
    <w:rsid w:val="00E11319"/>
    <w:rsid w:val="00E15294"/>
    <w:rsid w:val="00E21444"/>
    <w:rsid w:val="00E25355"/>
    <w:rsid w:val="00E26516"/>
    <w:rsid w:val="00E323A3"/>
    <w:rsid w:val="00E34072"/>
    <w:rsid w:val="00E3592D"/>
    <w:rsid w:val="00E50D76"/>
    <w:rsid w:val="00E677BC"/>
    <w:rsid w:val="00E8018B"/>
    <w:rsid w:val="00E92DE8"/>
    <w:rsid w:val="00EB1212"/>
    <w:rsid w:val="00ED65AB"/>
    <w:rsid w:val="00F11902"/>
    <w:rsid w:val="00F12850"/>
    <w:rsid w:val="00F24B71"/>
    <w:rsid w:val="00F33BF4"/>
    <w:rsid w:val="00F7105E"/>
    <w:rsid w:val="00F75F57"/>
    <w:rsid w:val="00F82FEE"/>
    <w:rsid w:val="00F92BED"/>
    <w:rsid w:val="00FA5D27"/>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2F2048F"/>
  <w15:docId w15:val="{5555E40A-0F44-45D0-9AB2-4DBCD09B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aliases w:val="encabezado"/>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D251AE"/>
    <w:pPr>
      <w:spacing w:after="240"/>
      <w:jc w:val="center"/>
    </w:pPr>
  </w:style>
  <w:style w:type="paragraph" w:customStyle="1" w:styleId="Figuretitle">
    <w:name w:val="Figure_title"/>
    <w:basedOn w:val="Tabletitle"/>
    <w:next w:val="Normalaftertitle"/>
    <w:rsid w:val="00A35C38"/>
    <w:pPr>
      <w:spacing w:before="12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B0116D"/>
    <w:rPr>
      <w:color w:val="0070C0"/>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aliases w:val="encabezado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styleId="CommentText">
    <w:name w:val="annotation text"/>
    <w:basedOn w:val="Normal"/>
    <w:link w:val="CommentTextChar"/>
    <w:unhideWhenUsed/>
    <w:rsid w:val="00100F55"/>
    <w:rPr>
      <w:sz w:val="20"/>
      <w:lang w:val="en-GB"/>
    </w:rPr>
  </w:style>
  <w:style w:type="character" w:customStyle="1" w:styleId="CommentTextChar">
    <w:name w:val="Comment Text Char"/>
    <w:basedOn w:val="DefaultParagraphFont"/>
    <w:link w:val="CommentText"/>
    <w:rsid w:val="00100F55"/>
    <w:rPr>
      <w:rFonts w:ascii="Calibri" w:hAnsi="Calibri"/>
      <w:lang w:val="en-GB" w:eastAsia="en-US"/>
    </w:rPr>
  </w:style>
  <w:style w:type="character" w:styleId="CommentReference">
    <w:name w:val="annotation reference"/>
    <w:basedOn w:val="DefaultParagraphFont"/>
    <w:semiHidden/>
    <w:unhideWhenUsed/>
    <w:rsid w:val="00100F5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72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md/S25-CL-C-0028/e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PS_Council25.dotx</Template>
  <TotalTime>6</TotalTime>
  <Pages>1</Pages>
  <Words>183</Words>
  <Characters>1048</Characters>
  <Application>Microsoft Office Word</Application>
  <DocSecurity>0</DocSecurity>
  <Lines>8</Lines>
  <Paragraphs>2</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Resolución XXX - Plan Operacional de la Unión para 2026-2029</vt:lpstr>
    </vt:vector>
  </TitlesOfParts>
  <Manager>Secretaría General - Pool</Manager>
  <Company>International Telecommunication Union</Company>
  <LinksUpToDate>false</LinksUpToDate>
  <CharactersWithSpaces>1229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1431 - Plan Operacional de la Unión para 2026-2029</dc:title>
  <dc:subject>Consejo 2025 de la UIT</dc:subject>
  <cp:keywords>C2025, C25, Council-25</cp:keywords>
  <dc:description/>
  <cp:lastPrinted>2006-03-24T09:51:00Z</cp:lastPrinted>
  <dcterms:created xsi:type="dcterms:W3CDTF">2025-06-27T14:50:00Z</dcterms:created>
  <dcterms:modified xsi:type="dcterms:W3CDTF">2025-08-01T12:35:00Z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