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BF6E43" w14:paraId="147E19F0" w14:textId="77777777" w:rsidTr="00C538FC">
        <w:trPr>
          <w:cantSplit/>
          <w:trHeight w:val="23"/>
        </w:trPr>
        <w:tc>
          <w:tcPr>
            <w:tcW w:w="3969" w:type="dxa"/>
            <w:vMerge w:val="restart"/>
            <w:tcMar>
              <w:left w:w="0" w:type="dxa"/>
            </w:tcMar>
          </w:tcPr>
          <w:p w14:paraId="0A242AD4" w14:textId="1EC51493" w:rsidR="00FE57F6" w:rsidRPr="00BF6E43" w:rsidRDefault="00FE57F6" w:rsidP="00C538FC">
            <w:pPr>
              <w:tabs>
                <w:tab w:val="left" w:pos="851"/>
              </w:tabs>
              <w:spacing w:before="0" w:line="240" w:lineRule="atLeast"/>
              <w:rPr>
                <w:b/>
              </w:rPr>
            </w:pPr>
            <w:bookmarkStart w:id="0" w:name="_Hlk133421839"/>
          </w:p>
        </w:tc>
        <w:tc>
          <w:tcPr>
            <w:tcW w:w="5245" w:type="dxa"/>
          </w:tcPr>
          <w:p w14:paraId="288BC129" w14:textId="2BB5276B" w:rsidR="00FE57F6" w:rsidRPr="00BF6E43" w:rsidRDefault="00FE57F6" w:rsidP="00C538FC">
            <w:pPr>
              <w:tabs>
                <w:tab w:val="left" w:pos="851"/>
              </w:tabs>
              <w:spacing w:before="0" w:line="240" w:lineRule="atLeast"/>
              <w:jc w:val="right"/>
              <w:rPr>
                <w:b/>
              </w:rPr>
            </w:pPr>
            <w:r w:rsidRPr="00BF6E43">
              <w:rPr>
                <w:b/>
              </w:rPr>
              <w:t>Document</w:t>
            </w:r>
            <w:r w:rsidR="00F24B71" w:rsidRPr="00BF6E43">
              <w:rPr>
                <w:b/>
              </w:rPr>
              <w:t>o</w:t>
            </w:r>
            <w:r w:rsidRPr="00BF6E43">
              <w:rPr>
                <w:b/>
              </w:rPr>
              <w:t xml:space="preserve"> C2</w:t>
            </w:r>
            <w:r w:rsidR="00BB6FD8" w:rsidRPr="00BF6E43">
              <w:rPr>
                <w:b/>
              </w:rPr>
              <w:t>5</w:t>
            </w:r>
            <w:r w:rsidRPr="00BF6E43">
              <w:rPr>
                <w:b/>
              </w:rPr>
              <w:t>/</w:t>
            </w:r>
            <w:r w:rsidR="0020709A" w:rsidRPr="00BF6E43">
              <w:rPr>
                <w:b/>
              </w:rPr>
              <w:t>114</w:t>
            </w:r>
            <w:r w:rsidRPr="00BF6E43">
              <w:rPr>
                <w:b/>
              </w:rPr>
              <w:t>-</w:t>
            </w:r>
            <w:r w:rsidR="00F24B71" w:rsidRPr="00BF6E43">
              <w:rPr>
                <w:b/>
              </w:rPr>
              <w:t>S</w:t>
            </w:r>
          </w:p>
        </w:tc>
      </w:tr>
      <w:tr w:rsidR="00FE57F6" w:rsidRPr="00BF6E43" w14:paraId="1F1B2168" w14:textId="77777777" w:rsidTr="00C538FC">
        <w:trPr>
          <w:cantSplit/>
        </w:trPr>
        <w:tc>
          <w:tcPr>
            <w:tcW w:w="3969" w:type="dxa"/>
            <w:vMerge/>
          </w:tcPr>
          <w:p w14:paraId="44B5D013" w14:textId="77777777" w:rsidR="00FE57F6" w:rsidRPr="00BF6E43" w:rsidRDefault="00FE57F6" w:rsidP="00C538FC">
            <w:pPr>
              <w:tabs>
                <w:tab w:val="left" w:pos="851"/>
              </w:tabs>
              <w:spacing w:line="240" w:lineRule="atLeast"/>
              <w:rPr>
                <w:b/>
              </w:rPr>
            </w:pPr>
          </w:p>
        </w:tc>
        <w:tc>
          <w:tcPr>
            <w:tcW w:w="5245" w:type="dxa"/>
          </w:tcPr>
          <w:p w14:paraId="0DFC321C" w14:textId="4B98F969" w:rsidR="00FE57F6" w:rsidRPr="00BF6E43" w:rsidRDefault="00191FAE" w:rsidP="00C538FC">
            <w:pPr>
              <w:tabs>
                <w:tab w:val="left" w:pos="851"/>
              </w:tabs>
              <w:spacing w:before="0"/>
              <w:jc w:val="right"/>
              <w:rPr>
                <w:b/>
              </w:rPr>
            </w:pPr>
            <w:r>
              <w:rPr>
                <w:b/>
              </w:rPr>
              <w:t>15</w:t>
            </w:r>
            <w:r w:rsidR="003B5416" w:rsidRPr="00BF6E43">
              <w:rPr>
                <w:b/>
              </w:rPr>
              <w:t xml:space="preserve"> de agosto </w:t>
            </w:r>
            <w:r w:rsidR="0020709A" w:rsidRPr="00BF6E43">
              <w:rPr>
                <w:b/>
              </w:rPr>
              <w:t>de 2025</w:t>
            </w:r>
          </w:p>
        </w:tc>
      </w:tr>
      <w:tr w:rsidR="00FE57F6" w:rsidRPr="00BF6E43" w14:paraId="51667A0C" w14:textId="77777777" w:rsidTr="00C538FC">
        <w:trPr>
          <w:cantSplit/>
          <w:trHeight w:val="23"/>
        </w:trPr>
        <w:tc>
          <w:tcPr>
            <w:tcW w:w="3969" w:type="dxa"/>
            <w:vMerge/>
          </w:tcPr>
          <w:p w14:paraId="6EDD6653" w14:textId="77777777" w:rsidR="00FE57F6" w:rsidRPr="00BF6E43" w:rsidRDefault="00FE57F6" w:rsidP="00C538FC">
            <w:pPr>
              <w:tabs>
                <w:tab w:val="left" w:pos="851"/>
              </w:tabs>
              <w:spacing w:line="240" w:lineRule="atLeast"/>
              <w:rPr>
                <w:b/>
              </w:rPr>
            </w:pPr>
          </w:p>
        </w:tc>
        <w:tc>
          <w:tcPr>
            <w:tcW w:w="5245" w:type="dxa"/>
          </w:tcPr>
          <w:p w14:paraId="3EAB6C4C" w14:textId="77777777" w:rsidR="00FE57F6" w:rsidRPr="00BF6E43" w:rsidRDefault="00F24B71" w:rsidP="00C538FC">
            <w:pPr>
              <w:tabs>
                <w:tab w:val="left" w:pos="851"/>
              </w:tabs>
              <w:spacing w:before="0" w:line="240" w:lineRule="atLeast"/>
              <w:jc w:val="right"/>
              <w:rPr>
                <w:b/>
                <w:bCs/>
              </w:rPr>
            </w:pPr>
            <w:r w:rsidRPr="00BF6E43">
              <w:rPr>
                <w:rFonts w:cstheme="minorHAnsi"/>
                <w:b/>
                <w:bCs/>
              </w:rPr>
              <w:t>Original: inglés</w:t>
            </w:r>
          </w:p>
        </w:tc>
      </w:tr>
      <w:tr w:rsidR="00FE57F6" w:rsidRPr="00BF6E43" w14:paraId="143AF479" w14:textId="77777777" w:rsidTr="00C538FC">
        <w:trPr>
          <w:cantSplit/>
          <w:trHeight w:val="23"/>
        </w:trPr>
        <w:tc>
          <w:tcPr>
            <w:tcW w:w="3969" w:type="dxa"/>
          </w:tcPr>
          <w:p w14:paraId="6365016A" w14:textId="77777777" w:rsidR="00FE57F6" w:rsidRPr="00BF6E43" w:rsidRDefault="00FE57F6" w:rsidP="00C538FC">
            <w:pPr>
              <w:tabs>
                <w:tab w:val="left" w:pos="851"/>
              </w:tabs>
              <w:spacing w:line="240" w:lineRule="atLeast"/>
              <w:rPr>
                <w:b/>
              </w:rPr>
            </w:pPr>
          </w:p>
        </w:tc>
        <w:tc>
          <w:tcPr>
            <w:tcW w:w="5245" w:type="dxa"/>
          </w:tcPr>
          <w:p w14:paraId="34F41E4B" w14:textId="77777777" w:rsidR="00FE57F6" w:rsidRPr="00BF6E43" w:rsidRDefault="00FE57F6" w:rsidP="00C538FC">
            <w:pPr>
              <w:tabs>
                <w:tab w:val="left" w:pos="851"/>
              </w:tabs>
              <w:spacing w:before="0" w:line="240" w:lineRule="atLeast"/>
              <w:jc w:val="right"/>
              <w:rPr>
                <w:b/>
              </w:rPr>
            </w:pPr>
          </w:p>
        </w:tc>
      </w:tr>
      <w:tr w:rsidR="00FE57F6" w:rsidRPr="00BF6E43" w14:paraId="7CC6EFB8" w14:textId="77777777" w:rsidTr="00C538FC">
        <w:trPr>
          <w:cantSplit/>
        </w:trPr>
        <w:tc>
          <w:tcPr>
            <w:tcW w:w="9214" w:type="dxa"/>
            <w:gridSpan w:val="2"/>
            <w:tcMar>
              <w:left w:w="0" w:type="dxa"/>
            </w:tcMar>
          </w:tcPr>
          <w:p w14:paraId="34C1758A" w14:textId="06B91F56" w:rsidR="00FE57F6" w:rsidRPr="00BF6E43" w:rsidRDefault="0020709A" w:rsidP="0020709A">
            <w:pPr>
              <w:pStyle w:val="Source"/>
              <w:spacing w:before="240" w:after="120"/>
              <w:rPr>
                <w:sz w:val="34"/>
                <w:szCs w:val="34"/>
              </w:rPr>
            </w:pPr>
            <w:r w:rsidRPr="00BF6E43">
              <w:rPr>
                <w:rFonts w:cstheme="minorHAnsi"/>
                <w:sz w:val="34"/>
                <w:szCs w:val="34"/>
              </w:rPr>
              <w:t xml:space="preserve">RESUMEN DE LOS DEBATES </w:t>
            </w:r>
            <w:r w:rsidRPr="00BF6E43">
              <w:rPr>
                <w:rFonts w:cstheme="minorHAnsi"/>
                <w:sz w:val="34"/>
                <w:szCs w:val="34"/>
              </w:rPr>
              <w:br/>
              <w:t xml:space="preserve">DE LA </w:t>
            </w:r>
            <w:r w:rsidRPr="00BF6E43">
              <w:rPr>
                <w:rFonts w:cstheme="minorHAnsi"/>
                <w:sz w:val="34"/>
                <w:szCs w:val="34"/>
              </w:rPr>
              <w:br/>
              <w:t>OCTAVA Y ÚLTIMA SESIÓN PLENARIA</w:t>
            </w:r>
          </w:p>
        </w:tc>
      </w:tr>
      <w:tr w:rsidR="00FE57F6" w:rsidRPr="00BF6E43" w14:paraId="23D0084D" w14:textId="77777777" w:rsidTr="00C538FC">
        <w:trPr>
          <w:cantSplit/>
        </w:trPr>
        <w:tc>
          <w:tcPr>
            <w:tcW w:w="9214" w:type="dxa"/>
            <w:gridSpan w:val="2"/>
            <w:tcMar>
              <w:left w:w="0" w:type="dxa"/>
            </w:tcMar>
          </w:tcPr>
          <w:p w14:paraId="5BF0B9B3" w14:textId="77777777" w:rsidR="0020709A" w:rsidRPr="00BF6E43" w:rsidRDefault="0020709A" w:rsidP="0020709A">
            <w:pPr>
              <w:spacing w:after="120"/>
              <w:jc w:val="center"/>
            </w:pPr>
            <w:r w:rsidRPr="00BF6E43">
              <w:t>Viernes 27 de junio de 2025, de las 15.00 a las 16.25 horas</w:t>
            </w:r>
          </w:p>
          <w:p w14:paraId="76E755B5" w14:textId="3D10E8AF" w:rsidR="00FE57F6" w:rsidRPr="00BF6E43" w:rsidRDefault="0020709A" w:rsidP="0020709A">
            <w:pPr>
              <w:spacing w:after="120"/>
              <w:jc w:val="center"/>
            </w:pPr>
            <w:r w:rsidRPr="00BF6E43">
              <w:rPr>
                <w:b/>
                <w:bCs/>
              </w:rPr>
              <w:t>Presidenta</w:t>
            </w:r>
            <w:r w:rsidRPr="00BF6E43">
              <w:t>: Sra. C. FLUTUR (Rumania)</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20709A" w:rsidRPr="00BF6E43" w14:paraId="633FBD2A" w14:textId="77777777" w:rsidTr="00017F2C">
        <w:tc>
          <w:tcPr>
            <w:tcW w:w="242" w:type="pct"/>
          </w:tcPr>
          <w:p w14:paraId="7FA50BBF" w14:textId="77777777" w:rsidR="0020709A" w:rsidRPr="00BF6E43" w:rsidRDefault="0020709A" w:rsidP="00017F2C">
            <w:pPr>
              <w:spacing w:before="480"/>
              <w:rPr>
                <w:b/>
                <w:bCs/>
                <w:szCs w:val="24"/>
              </w:rPr>
            </w:pPr>
            <w:bookmarkStart w:id="1" w:name="_Hlk141438382"/>
            <w:bookmarkEnd w:id="0"/>
            <w:r w:rsidRPr="00BF6E43">
              <w:rPr>
                <w:b/>
                <w:bCs/>
                <w:szCs w:val="24"/>
              </w:rPr>
              <w:br w:type="page"/>
            </w:r>
            <w:r w:rsidRPr="00BF6E43">
              <w:rPr>
                <w:b/>
                <w:bCs/>
                <w:szCs w:val="24"/>
              </w:rPr>
              <w:br w:type="page"/>
            </w:r>
          </w:p>
        </w:tc>
        <w:tc>
          <w:tcPr>
            <w:tcW w:w="3580" w:type="pct"/>
            <w:hideMark/>
          </w:tcPr>
          <w:p w14:paraId="79C091A0" w14:textId="77777777" w:rsidR="0020709A" w:rsidRPr="00BF6E43" w:rsidRDefault="0020709A" w:rsidP="00017F2C">
            <w:pPr>
              <w:spacing w:before="480" w:after="120"/>
              <w:rPr>
                <w:b/>
                <w:bCs/>
                <w:szCs w:val="24"/>
              </w:rPr>
            </w:pPr>
            <w:r w:rsidRPr="00BF6E43">
              <w:rPr>
                <w:b/>
                <w:bCs/>
                <w:szCs w:val="24"/>
              </w:rPr>
              <w:t>Asuntos tratados</w:t>
            </w:r>
          </w:p>
        </w:tc>
        <w:tc>
          <w:tcPr>
            <w:tcW w:w="1178" w:type="pct"/>
            <w:hideMark/>
          </w:tcPr>
          <w:p w14:paraId="6B9F8F0C" w14:textId="77777777" w:rsidR="0020709A" w:rsidRPr="00BF6E43" w:rsidRDefault="0020709A" w:rsidP="00017F2C">
            <w:pPr>
              <w:spacing w:before="480"/>
              <w:jc w:val="center"/>
              <w:rPr>
                <w:b/>
                <w:bCs/>
                <w:szCs w:val="24"/>
              </w:rPr>
            </w:pPr>
            <w:r w:rsidRPr="00BF6E43">
              <w:rPr>
                <w:b/>
                <w:bCs/>
                <w:szCs w:val="24"/>
              </w:rPr>
              <w:t>Documentos</w:t>
            </w:r>
          </w:p>
        </w:tc>
      </w:tr>
      <w:tr w:rsidR="0020709A" w:rsidRPr="00BF6E43" w14:paraId="36A407A8" w14:textId="77777777" w:rsidTr="00017F2C">
        <w:trPr>
          <w:trHeight w:val="20"/>
        </w:trPr>
        <w:tc>
          <w:tcPr>
            <w:tcW w:w="242" w:type="pct"/>
          </w:tcPr>
          <w:p w14:paraId="1F48CD33" w14:textId="77777777" w:rsidR="0020709A" w:rsidRPr="00BF6E43" w:rsidRDefault="0020709A" w:rsidP="00017F2C">
            <w:pPr>
              <w:spacing w:before="80" w:after="80"/>
              <w:rPr>
                <w:szCs w:val="24"/>
              </w:rPr>
            </w:pPr>
            <w:r w:rsidRPr="00BF6E43">
              <w:rPr>
                <w:szCs w:val="24"/>
              </w:rPr>
              <w:t>1</w:t>
            </w:r>
          </w:p>
        </w:tc>
        <w:tc>
          <w:tcPr>
            <w:tcW w:w="3580" w:type="pct"/>
          </w:tcPr>
          <w:p w14:paraId="46F4E84E" w14:textId="1DEC3CA8" w:rsidR="0020709A" w:rsidRPr="00BF6E43" w:rsidRDefault="0020709A" w:rsidP="00017F2C">
            <w:pPr>
              <w:spacing w:before="80" w:after="80"/>
              <w:rPr>
                <w:rFonts w:asciiTheme="minorHAnsi" w:hAnsiTheme="minorHAnsi" w:cstheme="minorHAnsi"/>
                <w:color w:val="2F2F2F"/>
                <w:szCs w:val="24"/>
                <w:shd w:val="clear" w:color="auto" w:fill="FFFFFF"/>
              </w:rPr>
            </w:pPr>
            <w:r w:rsidRPr="00BF6E43">
              <w:rPr>
                <w:szCs w:val="24"/>
              </w:rPr>
              <w:t>Fechas y duración propuestas para las reuniones de 2026, 2027 y</w:t>
            </w:r>
            <w:r w:rsidR="0052730E" w:rsidRPr="00BF6E43">
              <w:rPr>
                <w:szCs w:val="24"/>
              </w:rPr>
              <w:t> </w:t>
            </w:r>
            <w:r w:rsidRPr="00BF6E43">
              <w:rPr>
                <w:szCs w:val="24"/>
              </w:rPr>
              <w:t>2028 del Consejo y fechas propuestas para las series de reuniones de los Grupos de Trabajo y los Grupos de Expertos del Consejo para el mismo periodo (</w:t>
            </w:r>
            <w:r w:rsidRPr="00BF6E43">
              <w:rPr>
                <w:i/>
                <w:szCs w:val="24"/>
              </w:rPr>
              <w:t>continuación</w:t>
            </w:r>
            <w:r w:rsidRPr="00BF6E43">
              <w:rPr>
                <w:szCs w:val="24"/>
              </w:rPr>
              <w:t>)</w:t>
            </w:r>
          </w:p>
        </w:tc>
        <w:tc>
          <w:tcPr>
            <w:tcW w:w="1178" w:type="pct"/>
          </w:tcPr>
          <w:p w14:paraId="3C80DCD1" w14:textId="0DAD9C7C" w:rsidR="0020709A" w:rsidRPr="00BF6E43" w:rsidRDefault="0020709A" w:rsidP="00017F2C">
            <w:pPr>
              <w:spacing w:before="80" w:after="80"/>
              <w:jc w:val="center"/>
              <w:rPr>
                <w:sz w:val="22"/>
                <w:szCs w:val="22"/>
              </w:rPr>
            </w:pPr>
            <w:hyperlink r:id="rId7" w:history="1">
              <w:r w:rsidRPr="00BF6E43">
                <w:rPr>
                  <w:rStyle w:val="Hyperlink"/>
                </w:rPr>
                <w:t>C25/2</w:t>
              </w:r>
            </w:hyperlink>
          </w:p>
        </w:tc>
      </w:tr>
      <w:tr w:rsidR="0020709A" w:rsidRPr="00BF6E43" w14:paraId="6B46B161" w14:textId="77777777" w:rsidTr="00017F2C">
        <w:trPr>
          <w:trHeight w:val="20"/>
        </w:trPr>
        <w:tc>
          <w:tcPr>
            <w:tcW w:w="242" w:type="pct"/>
          </w:tcPr>
          <w:p w14:paraId="4DC687AE" w14:textId="77777777" w:rsidR="0020709A" w:rsidRPr="00BF6E43" w:rsidRDefault="0020709A" w:rsidP="00017F2C">
            <w:pPr>
              <w:spacing w:before="80" w:after="80"/>
              <w:rPr>
                <w:szCs w:val="24"/>
              </w:rPr>
            </w:pPr>
            <w:r w:rsidRPr="00BF6E43">
              <w:rPr>
                <w:szCs w:val="24"/>
              </w:rPr>
              <w:t>2</w:t>
            </w:r>
          </w:p>
        </w:tc>
        <w:tc>
          <w:tcPr>
            <w:tcW w:w="3580" w:type="pct"/>
          </w:tcPr>
          <w:p w14:paraId="544FFB45" w14:textId="77777777" w:rsidR="0020709A" w:rsidRPr="00BF6E43" w:rsidRDefault="0020709A" w:rsidP="00017F2C">
            <w:pPr>
              <w:spacing w:before="80" w:after="80"/>
              <w:rPr>
                <w:szCs w:val="24"/>
              </w:rPr>
            </w:pPr>
            <w:r w:rsidRPr="00BF6E43">
              <w:rPr>
                <w:szCs w:val="24"/>
              </w:rPr>
              <w:t>Lista de Presidentes y Vicepresidentes de los Grupos de Trabajo y Grupos de Expertos del Consejo</w:t>
            </w:r>
          </w:p>
        </w:tc>
        <w:tc>
          <w:tcPr>
            <w:tcW w:w="1178" w:type="pct"/>
          </w:tcPr>
          <w:p w14:paraId="1B6776D6" w14:textId="1E1A6B54" w:rsidR="0020709A" w:rsidRPr="00BF6E43" w:rsidRDefault="0020709A" w:rsidP="00017F2C">
            <w:pPr>
              <w:spacing w:before="80" w:after="80"/>
              <w:jc w:val="center"/>
              <w:rPr>
                <w:sz w:val="22"/>
                <w:szCs w:val="22"/>
              </w:rPr>
            </w:pPr>
            <w:hyperlink r:id="rId8" w:history="1">
              <w:r w:rsidRPr="00BF6E43">
                <w:rPr>
                  <w:rStyle w:val="Hyperlink"/>
                </w:rPr>
                <w:t>C25/21(Rev.1)</w:t>
              </w:r>
            </w:hyperlink>
          </w:p>
        </w:tc>
      </w:tr>
      <w:tr w:rsidR="0020709A" w:rsidRPr="00BF6E43" w14:paraId="36B08233" w14:textId="77777777" w:rsidTr="00017F2C">
        <w:trPr>
          <w:trHeight w:val="20"/>
        </w:trPr>
        <w:tc>
          <w:tcPr>
            <w:tcW w:w="242" w:type="pct"/>
          </w:tcPr>
          <w:p w14:paraId="120FB493" w14:textId="77777777" w:rsidR="0020709A" w:rsidRPr="00BF6E43" w:rsidRDefault="0020709A" w:rsidP="00017F2C">
            <w:pPr>
              <w:spacing w:before="80" w:after="80"/>
              <w:rPr>
                <w:szCs w:val="24"/>
              </w:rPr>
            </w:pPr>
            <w:r w:rsidRPr="00BF6E43">
              <w:rPr>
                <w:szCs w:val="24"/>
              </w:rPr>
              <w:t>3</w:t>
            </w:r>
          </w:p>
        </w:tc>
        <w:tc>
          <w:tcPr>
            <w:tcW w:w="3580" w:type="pct"/>
          </w:tcPr>
          <w:p w14:paraId="7F8F3940" w14:textId="77777777" w:rsidR="0020709A" w:rsidRPr="00BF6E43" w:rsidRDefault="0020709A" w:rsidP="00017F2C">
            <w:pPr>
              <w:spacing w:before="80" w:after="80"/>
              <w:rPr>
                <w:szCs w:val="24"/>
              </w:rPr>
            </w:pPr>
            <w:r w:rsidRPr="00BF6E43">
              <w:rPr>
                <w:szCs w:val="24"/>
              </w:rPr>
              <w:t>Proyecto de revisión de la Resolución 1333 (C11, modificada C16) sobre los principios rectores para la creación, gestión y disolución de Grupos de Trabajo del Consejo</w:t>
            </w:r>
          </w:p>
        </w:tc>
        <w:tc>
          <w:tcPr>
            <w:tcW w:w="1178" w:type="pct"/>
          </w:tcPr>
          <w:p w14:paraId="349441E3" w14:textId="2AA4288E" w:rsidR="0020709A" w:rsidRPr="00BF6E43" w:rsidRDefault="0020709A" w:rsidP="00017F2C">
            <w:pPr>
              <w:spacing w:before="80" w:after="80"/>
              <w:jc w:val="center"/>
            </w:pPr>
            <w:hyperlink r:id="rId9" w:history="1">
              <w:r w:rsidRPr="00BF6E43">
                <w:rPr>
                  <w:rStyle w:val="Hyperlink"/>
                </w:rPr>
                <w:t>C25/77</w:t>
              </w:r>
            </w:hyperlink>
          </w:p>
        </w:tc>
      </w:tr>
      <w:tr w:rsidR="0020709A" w:rsidRPr="00BF6E43" w14:paraId="0A92C154" w14:textId="77777777" w:rsidTr="00017F2C">
        <w:trPr>
          <w:trHeight w:val="20"/>
        </w:trPr>
        <w:tc>
          <w:tcPr>
            <w:tcW w:w="242" w:type="pct"/>
          </w:tcPr>
          <w:p w14:paraId="2C7FA51C" w14:textId="77777777" w:rsidR="0020709A" w:rsidRPr="00BF6E43" w:rsidRDefault="0020709A" w:rsidP="00017F2C">
            <w:pPr>
              <w:spacing w:before="80" w:after="80"/>
              <w:rPr>
                <w:szCs w:val="24"/>
              </w:rPr>
            </w:pPr>
            <w:r w:rsidRPr="00BF6E43">
              <w:rPr>
                <w:szCs w:val="24"/>
              </w:rPr>
              <w:t>4</w:t>
            </w:r>
          </w:p>
        </w:tc>
        <w:tc>
          <w:tcPr>
            <w:tcW w:w="3580" w:type="pct"/>
          </w:tcPr>
          <w:p w14:paraId="37EE010F" w14:textId="77777777" w:rsidR="0020709A" w:rsidRPr="00BF6E43" w:rsidRDefault="0020709A" w:rsidP="00017F2C">
            <w:pPr>
              <w:spacing w:before="80" w:after="80"/>
              <w:rPr>
                <w:szCs w:val="24"/>
              </w:rPr>
            </w:pPr>
            <w:r w:rsidRPr="00BF6E43">
              <w:rPr>
                <w:szCs w:val="24"/>
              </w:rPr>
              <w:t>Resoluciones y Acuerdos obsoletos del Consejo</w:t>
            </w:r>
          </w:p>
        </w:tc>
        <w:tc>
          <w:tcPr>
            <w:tcW w:w="1178" w:type="pct"/>
          </w:tcPr>
          <w:p w14:paraId="40AB66C7" w14:textId="7C416DCD" w:rsidR="0020709A" w:rsidRPr="00BF6E43" w:rsidDel="005939BE" w:rsidRDefault="0020709A" w:rsidP="00017F2C">
            <w:pPr>
              <w:spacing w:before="80" w:after="80"/>
              <w:jc w:val="center"/>
            </w:pPr>
            <w:hyperlink r:id="rId10" w:history="1">
              <w:r w:rsidRPr="00BF6E43">
                <w:rPr>
                  <w:rStyle w:val="Hyperlink"/>
                  <w:rFonts w:eastAsia="Calibri"/>
                  <w:bCs/>
                  <w:kern w:val="2"/>
                  <w:szCs w:val="28"/>
                  <w14:ligatures w14:val="standardContextual"/>
                </w:rPr>
                <w:t>C25/3</w:t>
              </w:r>
            </w:hyperlink>
          </w:p>
        </w:tc>
      </w:tr>
      <w:tr w:rsidR="0020709A" w:rsidRPr="00BF6E43" w14:paraId="4C92B5E1" w14:textId="77777777" w:rsidTr="00017F2C">
        <w:trPr>
          <w:trHeight w:val="20"/>
        </w:trPr>
        <w:tc>
          <w:tcPr>
            <w:tcW w:w="242" w:type="pct"/>
          </w:tcPr>
          <w:p w14:paraId="3B0F6F9C" w14:textId="77777777" w:rsidR="0020709A" w:rsidRPr="00BF6E43" w:rsidRDefault="0020709A" w:rsidP="00017F2C">
            <w:pPr>
              <w:spacing w:before="80" w:after="80"/>
              <w:rPr>
                <w:szCs w:val="24"/>
              </w:rPr>
            </w:pPr>
            <w:r w:rsidRPr="00BF6E43">
              <w:rPr>
                <w:szCs w:val="24"/>
              </w:rPr>
              <w:t>5</w:t>
            </w:r>
          </w:p>
        </w:tc>
        <w:tc>
          <w:tcPr>
            <w:tcW w:w="3580" w:type="pct"/>
          </w:tcPr>
          <w:p w14:paraId="5A398112" w14:textId="77777777" w:rsidR="0020709A" w:rsidRPr="00BF6E43" w:rsidRDefault="0020709A" w:rsidP="00017F2C">
            <w:pPr>
              <w:spacing w:before="80" w:after="80"/>
              <w:rPr>
                <w:szCs w:val="24"/>
              </w:rPr>
            </w:pPr>
            <w:r w:rsidRPr="00BF6E43">
              <w:rPr>
                <w:szCs w:val="24"/>
              </w:rPr>
              <w:t xml:space="preserve">Informe de la Presidenta de la Comisión Permanente </w:t>
            </w:r>
            <w:r w:rsidRPr="00BF6E43">
              <w:rPr>
                <w:szCs w:val="24"/>
              </w:rPr>
              <w:br/>
              <w:t>sobre Administración y Gestión</w:t>
            </w:r>
          </w:p>
        </w:tc>
        <w:tc>
          <w:tcPr>
            <w:tcW w:w="1178" w:type="pct"/>
          </w:tcPr>
          <w:p w14:paraId="6B1981BA" w14:textId="1FE04131" w:rsidR="0020709A" w:rsidRPr="00BF6E43" w:rsidRDefault="0020709A" w:rsidP="00017F2C">
            <w:pPr>
              <w:spacing w:before="80" w:after="80"/>
              <w:jc w:val="center"/>
            </w:pPr>
            <w:hyperlink r:id="rId11" w:history="1">
              <w:r w:rsidRPr="00BF6E43">
                <w:rPr>
                  <w:rStyle w:val="Hyperlink"/>
                </w:rPr>
                <w:t>C25/105</w:t>
              </w:r>
            </w:hyperlink>
          </w:p>
        </w:tc>
      </w:tr>
      <w:tr w:rsidR="0020709A" w:rsidRPr="00BF6E43" w14:paraId="5B53009A" w14:textId="77777777" w:rsidTr="00017F2C">
        <w:trPr>
          <w:trHeight w:val="20"/>
        </w:trPr>
        <w:tc>
          <w:tcPr>
            <w:tcW w:w="242" w:type="pct"/>
          </w:tcPr>
          <w:p w14:paraId="33585593" w14:textId="77777777" w:rsidR="0020709A" w:rsidRPr="00BF6E43" w:rsidRDefault="0020709A" w:rsidP="00017F2C">
            <w:pPr>
              <w:spacing w:before="80" w:after="80"/>
              <w:rPr>
                <w:szCs w:val="24"/>
              </w:rPr>
            </w:pPr>
            <w:r w:rsidRPr="00BF6E43">
              <w:rPr>
                <w:szCs w:val="24"/>
              </w:rPr>
              <w:t>6</w:t>
            </w:r>
          </w:p>
        </w:tc>
        <w:tc>
          <w:tcPr>
            <w:tcW w:w="3580" w:type="pct"/>
          </w:tcPr>
          <w:p w14:paraId="5ED7C443" w14:textId="77777777" w:rsidR="0020709A" w:rsidRPr="00BF6E43" w:rsidRDefault="0020709A" w:rsidP="00017F2C">
            <w:pPr>
              <w:spacing w:before="80" w:after="80"/>
              <w:rPr>
                <w:szCs w:val="24"/>
              </w:rPr>
            </w:pPr>
            <w:r w:rsidRPr="00BF6E43">
              <w:rPr>
                <w:szCs w:val="24"/>
              </w:rPr>
              <w:t>Clausura de la sesión del Consejo</w:t>
            </w:r>
          </w:p>
        </w:tc>
        <w:tc>
          <w:tcPr>
            <w:tcW w:w="1178" w:type="pct"/>
          </w:tcPr>
          <w:p w14:paraId="169132B5" w14:textId="0A1DA479" w:rsidR="0020709A" w:rsidRPr="00BF6E43" w:rsidRDefault="0020709A" w:rsidP="00017F2C">
            <w:pPr>
              <w:spacing w:before="80" w:after="80"/>
              <w:jc w:val="center"/>
              <w:rPr>
                <w:sz w:val="22"/>
                <w:szCs w:val="22"/>
              </w:rPr>
            </w:pPr>
            <w:r w:rsidRPr="00BF6E43">
              <w:rPr>
                <w:sz w:val="22"/>
                <w:szCs w:val="22"/>
              </w:rPr>
              <w:t>–</w:t>
            </w:r>
          </w:p>
        </w:tc>
      </w:tr>
      <w:bookmarkEnd w:id="1"/>
    </w:tbl>
    <w:p w14:paraId="23CCEFE4" w14:textId="77777777" w:rsidR="00093EEB" w:rsidRPr="00BF6E43" w:rsidRDefault="00093EEB"/>
    <w:p w14:paraId="081BB3DB" w14:textId="77777777" w:rsidR="001559F5" w:rsidRPr="00BF6E43" w:rsidRDefault="001559F5">
      <w:pPr>
        <w:tabs>
          <w:tab w:val="clear" w:pos="567"/>
          <w:tab w:val="clear" w:pos="1134"/>
          <w:tab w:val="clear" w:pos="1701"/>
          <w:tab w:val="clear" w:pos="2268"/>
          <w:tab w:val="clear" w:pos="2835"/>
        </w:tabs>
        <w:overflowPunct/>
        <w:autoSpaceDE/>
        <w:autoSpaceDN/>
        <w:adjustRightInd/>
        <w:spacing w:before="0"/>
        <w:textAlignment w:val="auto"/>
      </w:pPr>
      <w:r w:rsidRPr="00BF6E43">
        <w:br w:type="page"/>
      </w:r>
    </w:p>
    <w:p w14:paraId="33FAF95B" w14:textId="05006A29" w:rsidR="0020709A" w:rsidRPr="00BF6E43" w:rsidRDefault="0020709A" w:rsidP="00B04609">
      <w:pPr>
        <w:pStyle w:val="Heading1"/>
      </w:pPr>
      <w:bookmarkStart w:id="2" w:name="_Hlk169780888"/>
      <w:r w:rsidRPr="00BF6E43">
        <w:lastRenderedPageBreak/>
        <w:t>1</w:t>
      </w:r>
      <w:r w:rsidRPr="00BF6E43">
        <w:tab/>
        <w:t xml:space="preserve">Fechas y </w:t>
      </w:r>
      <w:proofErr w:type="gramStart"/>
      <w:r w:rsidRPr="00BF6E43">
        <w:t>duración propuestas</w:t>
      </w:r>
      <w:proofErr w:type="gramEnd"/>
      <w:r w:rsidRPr="00BF6E43">
        <w:t xml:space="preserve"> para las reuniones de 2026, 2027 y 2028 del Consejo y fechas propuestas para las series de reuniones de los Grupos de Trabajo y los Grupos de Expertos del Consejo para el mismo periodo </w:t>
      </w:r>
      <w:r w:rsidRPr="00BF6E43">
        <w:rPr>
          <w:spacing w:val="4"/>
        </w:rPr>
        <w:t>(</w:t>
      </w:r>
      <w:r w:rsidRPr="00BF6E43">
        <w:rPr>
          <w:i/>
          <w:spacing w:val="4"/>
        </w:rPr>
        <w:t>continuación</w:t>
      </w:r>
      <w:r w:rsidRPr="00BF6E43">
        <w:rPr>
          <w:spacing w:val="4"/>
        </w:rPr>
        <w:t xml:space="preserve">) </w:t>
      </w:r>
      <w:r w:rsidRPr="00BF6E43">
        <w:t xml:space="preserve">(Documento </w:t>
      </w:r>
      <w:hyperlink r:id="rId12" w:history="1">
        <w:r w:rsidRPr="00BF6E43">
          <w:rPr>
            <w:rStyle w:val="Hyperlink"/>
          </w:rPr>
          <w:t>C25/2</w:t>
        </w:r>
      </w:hyperlink>
      <w:r w:rsidRPr="00BF6E43">
        <w:t>)</w:t>
      </w:r>
    </w:p>
    <w:p w14:paraId="3E3CE935" w14:textId="77777777" w:rsidR="0020709A" w:rsidRPr="00BF6E43" w:rsidRDefault="0020709A" w:rsidP="0020709A">
      <w:pPr>
        <w:jc w:val="both"/>
      </w:pPr>
      <w:bookmarkStart w:id="3" w:name="_Hlk169782126"/>
      <w:r w:rsidRPr="00BF6E43">
        <w:rPr>
          <w:rFonts w:eastAsia="Calibri"/>
          <w:kern w:val="2"/>
          <w:szCs w:val="24"/>
          <w14:ligatures w14:val="standardContextual"/>
        </w:rPr>
        <w:t>1.1</w:t>
      </w:r>
      <w:r w:rsidRPr="00BF6E43">
        <w:rPr>
          <w:rFonts w:eastAsia="Calibri"/>
          <w:kern w:val="2"/>
          <w:szCs w:val="24"/>
          <w14:ligatures w14:val="standardContextual"/>
        </w:rPr>
        <w:tab/>
      </w:r>
      <w:r w:rsidRPr="00BF6E43">
        <w:t>La Secretaria de la Plenaria señala que, tras examinar las fechas de la reunión de 2026 del Consejo a la luz de la solicitud formulada en la séptima sesión plenaria, sería preferible mantener las fechas propuestas originalmente, a fin de evitar solapamientos con las fechas de las reuniones de los Grupos de Trabajo de los Sectores en abril de 2026.</w:t>
      </w:r>
    </w:p>
    <w:p w14:paraId="41CB653B" w14:textId="12B2BB3B" w:rsidR="0020709A" w:rsidRPr="00BF6E43" w:rsidRDefault="0020709A" w:rsidP="0020709A">
      <w:pPr>
        <w:jc w:val="both"/>
        <w:rPr>
          <w:rFonts w:eastAsia="Calibri"/>
          <w:spacing w:val="-2"/>
          <w:kern w:val="2"/>
          <w:szCs w:val="24"/>
          <w14:ligatures w14:val="standardContextual"/>
        </w:rPr>
      </w:pPr>
      <w:r w:rsidRPr="00BF6E43">
        <w:t>1.2</w:t>
      </w:r>
      <w:r w:rsidRPr="00BF6E43">
        <w:tab/>
        <w:t xml:space="preserve">La Presidenta propone que el Consejo confirme las fechas de sus reuniones de 2026, 2027 y 2028 y las fechas de las reuniones de los GTC y los GE para el mismo </w:t>
      </w:r>
      <w:r w:rsidR="00931FB7" w:rsidRPr="00BF6E43">
        <w:t>periodo</w:t>
      </w:r>
      <w:r w:rsidRPr="00BF6E43">
        <w:t>, adopte la decisión que figura en el Anexo al Documento C25/2 y solicite a la Secretaría que tenga en cuenta la solicitud de evitar programar reuniones de GTC durante el mes de enero</w:t>
      </w:r>
      <w:r w:rsidRPr="00BF6E43">
        <w:rPr>
          <w:rFonts w:eastAsia="Calibri"/>
          <w:spacing w:val="-2"/>
          <w:kern w:val="2"/>
          <w:szCs w:val="24"/>
          <w14:ligatures w14:val="standardContextual"/>
        </w:rPr>
        <w:t>.</w:t>
      </w:r>
    </w:p>
    <w:p w14:paraId="32F74D25" w14:textId="77777777" w:rsidR="0020709A" w:rsidRPr="00BF6E43" w:rsidRDefault="0020709A" w:rsidP="0020709A">
      <w:pPr>
        <w:jc w:val="both"/>
      </w:pPr>
      <w:r w:rsidRPr="00BF6E43">
        <w:rPr>
          <w:rFonts w:eastAsia="Calibri"/>
          <w:spacing w:val="-2"/>
          <w:kern w:val="2"/>
          <w:szCs w:val="24"/>
          <w14:ligatures w14:val="standardContextual"/>
        </w:rPr>
        <w:t>1.3</w:t>
      </w:r>
      <w:r w:rsidRPr="00BF6E43">
        <w:rPr>
          <w:rFonts w:eastAsia="Calibri"/>
          <w:spacing w:val="-2"/>
          <w:kern w:val="2"/>
          <w:szCs w:val="24"/>
          <w14:ligatures w14:val="standardContextual"/>
        </w:rPr>
        <w:tab/>
        <w:t xml:space="preserve">Así se </w:t>
      </w:r>
      <w:r w:rsidRPr="00BF6E43">
        <w:rPr>
          <w:rFonts w:eastAsia="Calibri"/>
          <w:b/>
          <w:bCs/>
          <w:spacing w:val="-2"/>
          <w:kern w:val="2"/>
          <w:szCs w:val="24"/>
          <w14:ligatures w14:val="standardContextual"/>
        </w:rPr>
        <w:t>acuerda</w:t>
      </w:r>
      <w:r w:rsidRPr="00BF6E43">
        <w:rPr>
          <w:rFonts w:eastAsia="Calibri"/>
          <w:spacing w:val="-2"/>
          <w:kern w:val="2"/>
          <w:szCs w:val="24"/>
          <w14:ligatures w14:val="standardContextual"/>
        </w:rPr>
        <w:t>.</w:t>
      </w:r>
    </w:p>
    <w:p w14:paraId="54574D92" w14:textId="2E1361F3" w:rsidR="0020709A" w:rsidRPr="00BF6E43" w:rsidRDefault="0020709A" w:rsidP="00B04609">
      <w:pPr>
        <w:pStyle w:val="Heading1"/>
      </w:pPr>
      <w:bookmarkStart w:id="4" w:name="_Hlk169779495"/>
      <w:bookmarkEnd w:id="2"/>
      <w:bookmarkEnd w:id="3"/>
      <w:r w:rsidRPr="00BF6E43">
        <w:t>2</w:t>
      </w:r>
      <w:r w:rsidRPr="00BF6E43">
        <w:tab/>
        <w:t xml:space="preserve">Lista de Presidentes y Vicepresidentes de los Grupos de Trabajo y Grupos de Expertos del Consejo (Documento </w:t>
      </w:r>
      <w:hyperlink r:id="rId13" w:history="1">
        <w:r w:rsidRPr="00BF6E43">
          <w:rPr>
            <w:rStyle w:val="Hyperlink"/>
          </w:rPr>
          <w:t>C25/21(Rev.1)</w:t>
        </w:r>
      </w:hyperlink>
      <w:r w:rsidRPr="00BF6E43">
        <w:t>)</w:t>
      </w:r>
    </w:p>
    <w:p w14:paraId="3447BEAB" w14:textId="77777777" w:rsidR="0020709A" w:rsidRPr="00BF6E43" w:rsidRDefault="0020709A" w:rsidP="0020709A">
      <w:pPr>
        <w:jc w:val="both"/>
        <w:rPr>
          <w:rFonts w:eastAsia="Calibri"/>
        </w:rPr>
      </w:pPr>
      <w:r w:rsidRPr="00BF6E43">
        <w:rPr>
          <w:rFonts w:eastAsia="Calibri"/>
        </w:rPr>
        <w:t>2.1</w:t>
      </w:r>
      <w:r w:rsidRPr="00BF6E43">
        <w:rPr>
          <w:rFonts w:eastAsia="Calibri"/>
        </w:rPr>
        <w:tab/>
        <w:t xml:space="preserve">La Secretaria </w:t>
      </w:r>
      <w:r w:rsidRPr="00BF6E43">
        <w:rPr>
          <w:rFonts w:cs="Calibri"/>
        </w:rPr>
        <w:t xml:space="preserve">de la Plenaria </w:t>
      </w:r>
      <w:r w:rsidRPr="00BF6E43">
        <w:rPr>
          <w:rFonts w:eastAsia="Calibri"/>
        </w:rPr>
        <w:t>presenta el Documento C25/21(Rev.1), el cual contiene la lista de Presidentes y Vicepresidentes de los Grupos de Trabajo y Grupos de Expertos del Consejo, incluidos los puestos vacantes y los nuevos candidatos.</w:t>
      </w:r>
    </w:p>
    <w:p w14:paraId="3F6A7DCA" w14:textId="77777777" w:rsidR="0020709A" w:rsidRPr="00BF6E43" w:rsidRDefault="0020709A" w:rsidP="0020709A">
      <w:pPr>
        <w:jc w:val="both"/>
        <w:rPr>
          <w:rFonts w:eastAsia="Calibri"/>
        </w:rPr>
      </w:pPr>
      <w:r w:rsidRPr="00BF6E43">
        <w:rPr>
          <w:rFonts w:eastAsia="Calibri"/>
        </w:rPr>
        <w:t>2.2</w:t>
      </w:r>
      <w:r w:rsidRPr="00BF6E43">
        <w:rPr>
          <w:rFonts w:eastAsia="Calibri"/>
        </w:rPr>
        <w:tab/>
        <w:t>Una consejera, tras destacar la importancia de que todos los Estados Miembros puedan participar en las actividades de la Unión en pie de igualdad, expresa su apoyo a la candidatura del Vicepresidente para el idioma ruso propuesto para el Grupo de Trabajo del Consejo sobre la utilización de los seis idiomas oficiales (GTC-IDIOMAS). Otro consejero subraya la importancia de encontrar una forma de garantizar la equidad en la representación de todos los idiomas oficiales en el GTC-IDIOMAS.</w:t>
      </w:r>
    </w:p>
    <w:p w14:paraId="736875C9" w14:textId="77777777" w:rsidR="0020709A" w:rsidRPr="00B04609" w:rsidRDefault="0020709A" w:rsidP="0020709A">
      <w:pPr>
        <w:jc w:val="both"/>
        <w:rPr>
          <w:rFonts w:cs="Calibri"/>
          <w:spacing w:val="-2"/>
        </w:rPr>
      </w:pPr>
      <w:r w:rsidRPr="00B04609">
        <w:rPr>
          <w:rFonts w:cs="Calibri"/>
          <w:spacing w:val="-2"/>
        </w:rPr>
        <w:t>2.3</w:t>
      </w:r>
      <w:r w:rsidRPr="00B04609">
        <w:rPr>
          <w:rFonts w:cs="Calibri"/>
          <w:spacing w:val="-2"/>
        </w:rPr>
        <w:tab/>
        <w:t xml:space="preserve">La Presidenta invita al Consejo a aprobar el nombramiento de los candidatos a </w:t>
      </w:r>
      <w:r w:rsidRPr="00B04609">
        <w:rPr>
          <w:rFonts w:eastAsia="Calibri"/>
          <w:spacing w:val="-2"/>
        </w:rPr>
        <w:t>Presidentes y Vicepresidentes de los Grupos de Trabajo y Grupos de Expertos del Consejo</w:t>
      </w:r>
      <w:r w:rsidRPr="00B04609">
        <w:rPr>
          <w:rFonts w:cs="Calibri"/>
          <w:spacing w:val="-2"/>
        </w:rPr>
        <w:t xml:space="preserve">, con la excepción </w:t>
      </w:r>
      <w:r w:rsidRPr="00B04609">
        <w:rPr>
          <w:rFonts w:eastAsia="Calibri"/>
          <w:spacing w:val="-2"/>
        </w:rPr>
        <w:t xml:space="preserve">del Vicepresidente para el idioma ruso del GTC-IDIOMAS. Asimismo, propone </w:t>
      </w:r>
      <w:r w:rsidRPr="00B04609">
        <w:rPr>
          <w:rFonts w:cs="Calibri"/>
          <w:spacing w:val="-2"/>
        </w:rPr>
        <w:t>solicitar al GTC-IDIOMAS que sopese la posibilidad de ampliar la participación a los Miembros de Sector, en particular a las organizaciones regionales de telecomunicaciones, y examine posibles modificaciones de su mandato, que podrían someterse al Consejo en una reunión posterior.</w:t>
      </w:r>
    </w:p>
    <w:p w14:paraId="097BA432" w14:textId="22348380" w:rsidR="0020709A" w:rsidRPr="00BF6E43" w:rsidRDefault="0020709A" w:rsidP="0020709A">
      <w:pPr>
        <w:jc w:val="both"/>
        <w:rPr>
          <w:rFonts w:cs="Calibri"/>
        </w:rPr>
      </w:pPr>
      <w:r w:rsidRPr="00BF6E43">
        <w:rPr>
          <w:rFonts w:cs="Calibri"/>
        </w:rPr>
        <w:t>2.4</w:t>
      </w:r>
      <w:r w:rsidRPr="00BF6E43">
        <w:rPr>
          <w:rFonts w:cs="Calibri"/>
        </w:rPr>
        <w:tab/>
      </w:r>
      <w:r w:rsidRPr="00BF6E43">
        <w:rPr>
          <w:rFonts w:eastAsia="Calibri"/>
          <w:spacing w:val="-2"/>
          <w:kern w:val="2"/>
          <w:szCs w:val="24"/>
          <w14:ligatures w14:val="standardContextual"/>
        </w:rPr>
        <w:t xml:space="preserve">Así se </w:t>
      </w:r>
      <w:r w:rsidRPr="00BF6E43">
        <w:rPr>
          <w:rFonts w:eastAsia="Calibri"/>
          <w:b/>
          <w:bCs/>
          <w:spacing w:val="-2"/>
          <w:kern w:val="2"/>
          <w:szCs w:val="24"/>
          <w14:ligatures w14:val="standardContextual"/>
        </w:rPr>
        <w:t>acuerda</w:t>
      </w:r>
      <w:r w:rsidRPr="00BF6E43">
        <w:rPr>
          <w:rFonts w:cs="Calibri"/>
        </w:rPr>
        <w:t>.</w:t>
      </w:r>
    </w:p>
    <w:p w14:paraId="6756D586" w14:textId="77777777" w:rsidR="0020709A" w:rsidRPr="00BF6E43" w:rsidRDefault="0020709A" w:rsidP="0020709A">
      <w:pPr>
        <w:jc w:val="both"/>
        <w:rPr>
          <w:rFonts w:eastAsia="Calibri"/>
        </w:rPr>
      </w:pPr>
      <w:r w:rsidRPr="00BF6E43">
        <w:rPr>
          <w:rFonts w:eastAsia="Calibri"/>
        </w:rPr>
        <w:t>2.5</w:t>
      </w:r>
      <w:r w:rsidRPr="00BF6E43">
        <w:rPr>
          <w:rFonts w:eastAsia="Calibri"/>
        </w:rPr>
        <w:tab/>
        <w:t xml:space="preserve">El Consejo </w:t>
      </w:r>
      <w:r w:rsidRPr="00BF6E43">
        <w:rPr>
          <w:rFonts w:eastAsia="Calibri"/>
          <w:b/>
          <w:bCs/>
        </w:rPr>
        <w:t xml:space="preserve">toma nota </w:t>
      </w:r>
      <w:r w:rsidRPr="00BF6E43">
        <w:rPr>
          <w:rFonts w:eastAsia="Calibri"/>
        </w:rPr>
        <w:t>del Documento C25/21(Rev.1) y de su Anexo.</w:t>
      </w:r>
    </w:p>
    <w:p w14:paraId="094A5AD6" w14:textId="01A90241" w:rsidR="0020709A" w:rsidRPr="00BF6E43" w:rsidRDefault="0020709A" w:rsidP="0020709A">
      <w:pPr>
        <w:rPr>
          <w:rFonts w:eastAsia="Calibri"/>
          <w:highlight w:val="yellow"/>
        </w:rPr>
      </w:pPr>
      <w:r w:rsidRPr="00BF6E43">
        <w:rPr>
          <w:rFonts w:cs="Calibri"/>
        </w:rPr>
        <w:t>2.</w:t>
      </w:r>
      <w:r w:rsidR="00BF6E43" w:rsidRPr="00BF6E43">
        <w:rPr>
          <w:rFonts w:cs="Calibri"/>
        </w:rPr>
        <w:t>6</w:t>
      </w:r>
      <w:r w:rsidRPr="00BF6E43">
        <w:rPr>
          <w:rFonts w:cs="Calibri"/>
        </w:rPr>
        <w:tab/>
        <w:t xml:space="preserve">El observador de la Federación de Rusia formula la siguiente declaración: </w:t>
      </w:r>
      <w:hyperlink r:id="rId14" w:history="1">
        <w:r w:rsidRPr="00BF6E43">
          <w:rPr>
            <w:rStyle w:val="Hyperlink"/>
            <w:rFonts w:cs="Calibri"/>
          </w:rPr>
          <w:t>council.itu.int/2025/wp-content/uploads/sites/5/2025/07/Statement_Russia_CWG-lang_27062025_</w:t>
        </w:r>
        <w:r w:rsidRPr="00BF6E43">
          <w:rPr>
            <w:rStyle w:val="Hyperlink"/>
            <w:rFonts w:cs="Calibri"/>
          </w:rPr>
          <w:t>e</w:t>
        </w:r>
        <w:r w:rsidRPr="00BF6E43">
          <w:rPr>
            <w:rStyle w:val="Hyperlink"/>
            <w:rFonts w:cs="Calibri"/>
          </w:rPr>
          <w:t>.pdf</w:t>
        </w:r>
      </w:hyperlink>
      <w:r w:rsidRPr="00BF6E43">
        <w:rPr>
          <w:rFonts w:cs="Calibri"/>
        </w:rPr>
        <w:t>.</w:t>
      </w:r>
    </w:p>
    <w:p w14:paraId="048B7F77" w14:textId="6168FE06" w:rsidR="0020709A" w:rsidRPr="00BF6E43" w:rsidRDefault="0020709A" w:rsidP="00B04609">
      <w:pPr>
        <w:pStyle w:val="Heading1"/>
      </w:pPr>
      <w:r w:rsidRPr="00BF6E43">
        <w:lastRenderedPageBreak/>
        <w:t>3</w:t>
      </w:r>
      <w:r w:rsidRPr="00BF6E43">
        <w:tab/>
        <w:t xml:space="preserve">Proyecto de revisión de la Resolución 1333 (C11, modificada C16) sobre los principios rectores para la creación, gestión y disolución de Grupos de Trabajo del Consejo (Documento </w:t>
      </w:r>
      <w:hyperlink r:id="rId15" w:history="1">
        <w:r w:rsidRPr="00BF6E43">
          <w:rPr>
            <w:rStyle w:val="Hyperlink"/>
          </w:rPr>
          <w:t>C25/77</w:t>
        </w:r>
      </w:hyperlink>
      <w:r w:rsidRPr="00BF6E43">
        <w:t>)</w:t>
      </w:r>
    </w:p>
    <w:p w14:paraId="76A5A2C9" w14:textId="1D1D6FF3" w:rsidR="0020709A" w:rsidRPr="00BF6E43" w:rsidRDefault="0020709A" w:rsidP="0020709A">
      <w:pPr>
        <w:jc w:val="both"/>
        <w:rPr>
          <w:rFonts w:eastAsia="Calibri"/>
        </w:rPr>
      </w:pPr>
      <w:r w:rsidRPr="00BF6E43">
        <w:rPr>
          <w:rFonts w:eastAsia="Calibri"/>
        </w:rPr>
        <w:t>3.1</w:t>
      </w:r>
      <w:r w:rsidRPr="00BF6E43">
        <w:rPr>
          <w:rFonts w:eastAsia="Calibri"/>
        </w:rPr>
        <w:tab/>
        <w:t>El observador de la Federación de Rusia presenta el proyecto de revisión de la</w:t>
      </w:r>
      <w:r w:rsidR="00865E80" w:rsidRPr="00BF6E43">
        <w:rPr>
          <w:rFonts w:eastAsia="Calibri"/>
        </w:rPr>
        <w:t> </w:t>
      </w:r>
      <w:r w:rsidRPr="00BF6E43">
        <w:rPr>
          <w:rFonts w:eastAsia="Calibri"/>
        </w:rPr>
        <w:t>Resolución 1333 (C11, modificada por última vez C16) del Consejo que figura en el Documento C25/77, cuyo objetivo es garantizar la armonización con la Resolución 208 (Rev.</w:t>
      </w:r>
      <w:r w:rsidR="00865E80" w:rsidRPr="00BF6E43">
        <w:rPr>
          <w:rFonts w:eastAsia="Calibri"/>
        </w:rPr>
        <w:t> </w:t>
      </w:r>
      <w:r w:rsidRPr="00BF6E43">
        <w:rPr>
          <w:rFonts w:eastAsia="Calibri"/>
        </w:rPr>
        <w:t>Bucarest, 2022) y la Decisión 11 (Rev. Bucarest, 2022) de la Conferencia de Plenipotenciarios, así como establecer plazos para la publicación de los informes de las reuniones de los Grupos de Trabajo del Consejo.</w:t>
      </w:r>
    </w:p>
    <w:p w14:paraId="4B62FFD1" w14:textId="0D5C7F4B" w:rsidR="0020709A" w:rsidRPr="00BF6E43" w:rsidRDefault="0020709A" w:rsidP="0020709A">
      <w:pPr>
        <w:jc w:val="both"/>
        <w:rPr>
          <w:rFonts w:eastAsia="Calibri"/>
        </w:rPr>
      </w:pPr>
      <w:r w:rsidRPr="00BF6E43">
        <w:rPr>
          <w:rFonts w:eastAsia="Calibri"/>
        </w:rPr>
        <w:t>3.2</w:t>
      </w:r>
      <w:r w:rsidRPr="00BF6E43">
        <w:rPr>
          <w:rFonts w:eastAsia="Calibri"/>
        </w:rPr>
        <w:tab/>
        <w:t xml:space="preserve">En respuesta a una pregunta de una consejera, la Secretaria </w:t>
      </w:r>
      <w:r w:rsidRPr="00BF6E43">
        <w:rPr>
          <w:rFonts w:cs="Calibri"/>
        </w:rPr>
        <w:t xml:space="preserve">de la Plenaria </w:t>
      </w:r>
      <w:r w:rsidRPr="00BF6E43">
        <w:rPr>
          <w:rFonts w:eastAsia="Calibri"/>
        </w:rPr>
        <w:t>confirma que la Constitución de la UIT no contiene ninguna disposición en virtud de la cual se limite la participación de los Estados Miembros en cualesquiera Grupos de Trabajo u órganos del Consejo.</w:t>
      </w:r>
    </w:p>
    <w:p w14:paraId="2FFCC613" w14:textId="0902D034" w:rsidR="0020709A" w:rsidRPr="00BF6E43" w:rsidRDefault="0020709A" w:rsidP="0020709A">
      <w:pPr>
        <w:jc w:val="both"/>
        <w:rPr>
          <w:rFonts w:cs="Calibri"/>
        </w:rPr>
      </w:pPr>
      <w:bookmarkStart w:id="5" w:name="_Hlk169985577"/>
      <w:bookmarkEnd w:id="4"/>
      <w:r w:rsidRPr="00BF6E43">
        <w:rPr>
          <w:rFonts w:cs="Calibri"/>
        </w:rPr>
        <w:t>3.3</w:t>
      </w:r>
      <w:r w:rsidRPr="00BF6E43">
        <w:rPr>
          <w:rFonts w:cs="Calibri"/>
        </w:rPr>
        <w:tab/>
        <w:t>La Presidenta propone que el Consejo apruebe la revisión de la Resolución 1333 (C11, modificada por última vez C16), tal y como figura en el Documento C25/77, y derogue el</w:t>
      </w:r>
      <w:r w:rsidR="00865E80" w:rsidRPr="00BF6E43">
        <w:rPr>
          <w:rFonts w:cs="Calibri"/>
        </w:rPr>
        <w:t> </w:t>
      </w:r>
      <w:r w:rsidRPr="00BF6E43">
        <w:rPr>
          <w:rFonts w:cs="Calibri"/>
        </w:rPr>
        <w:t>Acuerdo 584 (C15), que ha quedado obsoleto.</w:t>
      </w:r>
    </w:p>
    <w:p w14:paraId="0F4795E1" w14:textId="77777777" w:rsidR="0020709A" w:rsidRPr="00BF6E43" w:rsidRDefault="0020709A" w:rsidP="0020709A">
      <w:pPr>
        <w:jc w:val="both"/>
        <w:rPr>
          <w:rFonts w:cs="Calibri"/>
        </w:rPr>
      </w:pPr>
      <w:r w:rsidRPr="00BF6E43">
        <w:rPr>
          <w:rFonts w:cs="Calibri"/>
        </w:rPr>
        <w:t>3.4</w:t>
      </w:r>
      <w:r w:rsidRPr="00BF6E43">
        <w:rPr>
          <w:rFonts w:cs="Calibri"/>
        </w:rPr>
        <w:tab/>
      </w:r>
      <w:r w:rsidRPr="00BF6E43">
        <w:rPr>
          <w:rFonts w:eastAsia="Calibri"/>
          <w:spacing w:val="-2"/>
          <w:kern w:val="2"/>
          <w:szCs w:val="24"/>
          <w14:ligatures w14:val="standardContextual"/>
        </w:rPr>
        <w:t xml:space="preserve">Así se </w:t>
      </w:r>
      <w:r w:rsidRPr="00BF6E43">
        <w:rPr>
          <w:rFonts w:eastAsia="Calibri"/>
          <w:b/>
          <w:bCs/>
          <w:spacing w:val="-2"/>
          <w:kern w:val="2"/>
          <w:szCs w:val="24"/>
          <w14:ligatures w14:val="standardContextual"/>
        </w:rPr>
        <w:t>acuerda</w:t>
      </w:r>
      <w:r w:rsidRPr="00BF6E43">
        <w:rPr>
          <w:rFonts w:cs="Calibri"/>
        </w:rPr>
        <w:t>.</w:t>
      </w:r>
    </w:p>
    <w:p w14:paraId="484D9D73" w14:textId="5E13074D" w:rsidR="0020709A" w:rsidRPr="00BF6E43" w:rsidRDefault="0020709A" w:rsidP="00B04609">
      <w:pPr>
        <w:pStyle w:val="Heading1"/>
      </w:pPr>
      <w:bookmarkStart w:id="6" w:name="_Hlk169782064"/>
      <w:bookmarkStart w:id="7" w:name="_Hlk169782079"/>
      <w:bookmarkEnd w:id="5"/>
      <w:r w:rsidRPr="00BF6E43">
        <w:t>4</w:t>
      </w:r>
      <w:r w:rsidRPr="00BF6E43">
        <w:tab/>
        <w:t xml:space="preserve">Resoluciones y Acuerdos </w:t>
      </w:r>
      <w:r w:rsidRPr="00B04609">
        <w:t>obsoletos</w:t>
      </w:r>
      <w:r w:rsidRPr="00BF6E43">
        <w:t xml:space="preserve"> del Consejo (Documento </w:t>
      </w:r>
      <w:hyperlink r:id="rId16" w:history="1">
        <w:r w:rsidRPr="00BF6E43">
          <w:rPr>
            <w:rStyle w:val="Hyperlink"/>
            <w:bCs/>
            <w:kern w:val="2"/>
            <w:szCs w:val="28"/>
            <w14:ligatures w14:val="standardContextual"/>
          </w:rPr>
          <w:t>C25/3</w:t>
        </w:r>
      </w:hyperlink>
      <w:r w:rsidRPr="00BF6E43">
        <w:t>)</w:t>
      </w:r>
    </w:p>
    <w:p w14:paraId="649E0DE8" w14:textId="206AC788" w:rsidR="0020709A" w:rsidRPr="00BF6E43" w:rsidRDefault="0020709A" w:rsidP="0020709A">
      <w:pPr>
        <w:jc w:val="both"/>
      </w:pPr>
      <w:r w:rsidRPr="00BF6E43">
        <w:t>4.1</w:t>
      </w:r>
      <w:r w:rsidRPr="00BF6E43">
        <w:tab/>
      </w:r>
      <w:r w:rsidRPr="00BF6E43">
        <w:rPr>
          <w:rFonts w:eastAsia="Calibri"/>
        </w:rPr>
        <w:t xml:space="preserve">La Secretaria </w:t>
      </w:r>
      <w:r w:rsidRPr="00BF6E43">
        <w:rPr>
          <w:rFonts w:cs="Calibri"/>
        </w:rPr>
        <w:t>de la Plenaria</w:t>
      </w:r>
      <w:r w:rsidRPr="00BF6E43">
        <w:t xml:space="preserve"> recuerda que, tras cada reunión ordinaria del Consejo, los Acuerdos y Resoluciones que han sido aplicados o que han quedado obsoletos se abrogan y, por consiguiente, se suprimen del volumen de Resoluciones y Acuerdos adoptados por el</w:t>
      </w:r>
      <w:r w:rsidR="00865E80" w:rsidRPr="00BF6E43">
        <w:t> </w:t>
      </w:r>
      <w:r w:rsidRPr="00BF6E43">
        <w:t>Consejo. A continuación, indica que el Documento C25/3 contiene la lista de Resoluciones y Acuerdos obsoletos que se propone derogue el Consejo en su reunión de 2025.</w:t>
      </w:r>
    </w:p>
    <w:p w14:paraId="1E8861EA" w14:textId="77777777" w:rsidR="0020709A" w:rsidRPr="00BF6E43" w:rsidRDefault="0020709A" w:rsidP="0020709A">
      <w:pPr>
        <w:jc w:val="both"/>
      </w:pPr>
      <w:r w:rsidRPr="00BF6E43">
        <w:t>4.2</w:t>
      </w:r>
      <w:r w:rsidRPr="00BF6E43">
        <w:tab/>
        <w:t xml:space="preserve">El Consejo </w:t>
      </w:r>
      <w:r w:rsidRPr="00BF6E43">
        <w:rPr>
          <w:b/>
          <w:bCs/>
        </w:rPr>
        <w:t xml:space="preserve">aprueba </w:t>
      </w:r>
      <w:r w:rsidRPr="00BF6E43">
        <w:t>la lista de Resoluciones y Acuerdos cuya derogación se propone, conforme a lo previsto en el Documento C25/3, así como el Acuerdo 584 (C15).</w:t>
      </w:r>
    </w:p>
    <w:p w14:paraId="7120FF4F" w14:textId="3944AF8E" w:rsidR="0020709A" w:rsidRPr="00BF6E43" w:rsidRDefault="0020709A" w:rsidP="00B04609">
      <w:pPr>
        <w:pStyle w:val="Heading1"/>
      </w:pPr>
      <w:r w:rsidRPr="00BF6E43">
        <w:t>5</w:t>
      </w:r>
      <w:r w:rsidRPr="00BF6E43">
        <w:tab/>
        <w:t xml:space="preserve">Informe de la Presidenta de la Comisión Permanente sobre Administración y Gestión (Documento </w:t>
      </w:r>
      <w:hyperlink r:id="rId17" w:history="1">
        <w:r w:rsidRPr="00BF6E43">
          <w:rPr>
            <w:rStyle w:val="Hyperlink"/>
            <w:bCs/>
            <w:kern w:val="2"/>
            <w:szCs w:val="28"/>
            <w14:ligatures w14:val="standardContextual"/>
          </w:rPr>
          <w:t>C25/105</w:t>
        </w:r>
      </w:hyperlink>
      <w:r w:rsidRPr="00BF6E43">
        <w:t>)</w:t>
      </w:r>
    </w:p>
    <w:p w14:paraId="19EF6779" w14:textId="5B97092B" w:rsidR="0020709A" w:rsidRPr="00BF6E43" w:rsidRDefault="0020709A" w:rsidP="0020709A">
      <w:pPr>
        <w:jc w:val="both"/>
      </w:pPr>
      <w:r w:rsidRPr="00BF6E43">
        <w:t>5.1</w:t>
      </w:r>
      <w:r w:rsidRPr="00BF6E43">
        <w:tab/>
        <w:t>La Presidenta declara que el informe de la Comisión Permanente sobre Administración y Gestión ha sido aprobado por la Comisión.</w:t>
      </w:r>
    </w:p>
    <w:p w14:paraId="1061447B" w14:textId="4C47AC1C" w:rsidR="0020709A" w:rsidRPr="00BF6E43" w:rsidRDefault="0020709A" w:rsidP="0020709A">
      <w:pPr>
        <w:jc w:val="both"/>
      </w:pPr>
      <w:r w:rsidRPr="00BF6E43">
        <w:t>5.2</w:t>
      </w:r>
      <w:r w:rsidRPr="00BF6E43">
        <w:tab/>
        <w:t xml:space="preserve">Partiendo de esa base, propone que la Plenaria proceda a examinar el informe que figura en el Documento C25/105 </w:t>
      </w:r>
      <w:r w:rsidRPr="00BF6E43">
        <w:rPr>
          <w:i/>
          <w:iCs/>
        </w:rPr>
        <w:t>en su conjunto</w:t>
      </w:r>
      <w:r w:rsidRPr="00BF6E43">
        <w:t>.</w:t>
      </w:r>
    </w:p>
    <w:p w14:paraId="7E8CED02" w14:textId="77777777" w:rsidR="0020709A" w:rsidRPr="00BF6E43" w:rsidRDefault="0020709A" w:rsidP="0020709A">
      <w:pPr>
        <w:jc w:val="both"/>
      </w:pPr>
      <w:r w:rsidRPr="00BF6E43">
        <w:t>5.3</w:t>
      </w:r>
      <w:r w:rsidRPr="00BF6E43">
        <w:tab/>
        <w:t xml:space="preserve">Así se </w:t>
      </w:r>
      <w:r w:rsidRPr="00BF6E43">
        <w:rPr>
          <w:b/>
          <w:bCs/>
        </w:rPr>
        <w:t>acuerda</w:t>
      </w:r>
      <w:r w:rsidRPr="00BF6E43">
        <w:t>.</w:t>
      </w:r>
    </w:p>
    <w:p w14:paraId="7F6D6D1E" w14:textId="74A280D1" w:rsidR="0020709A" w:rsidRPr="00BF6E43" w:rsidRDefault="0020709A" w:rsidP="0020709A">
      <w:pPr>
        <w:jc w:val="both"/>
      </w:pPr>
      <w:r w:rsidRPr="00BF6E43">
        <w:t>5.4</w:t>
      </w:r>
      <w:r w:rsidRPr="00BF6E43">
        <w:tab/>
        <w:t xml:space="preserve">En consecuencia, se </w:t>
      </w:r>
      <w:r w:rsidRPr="00BF6E43">
        <w:rPr>
          <w:b/>
          <w:bCs/>
        </w:rPr>
        <w:t>aprueban</w:t>
      </w:r>
      <w:r w:rsidRPr="00BF6E43">
        <w:t xml:space="preserve"> las siguientes recomendaciones:</w:t>
      </w:r>
    </w:p>
    <w:p w14:paraId="240020CB" w14:textId="5E909344" w:rsidR="0020709A" w:rsidRPr="00BF6E43" w:rsidRDefault="0020709A" w:rsidP="00B04609">
      <w:pPr>
        <w:pStyle w:val="Headingb"/>
      </w:pPr>
      <w:r w:rsidRPr="00BF6E43">
        <w:lastRenderedPageBreak/>
        <w:t>Informe de la Presidenta del Grupo de Trabajo del Consejo sobre Recursos Humanos y Financieros (GTC-RHF) (Documento</w:t>
      </w:r>
      <w:r w:rsidR="003B5416" w:rsidRPr="00BF6E43">
        <w:t>s</w:t>
      </w:r>
      <w:r w:rsidRPr="00BF6E43">
        <w:t> </w:t>
      </w:r>
      <w:hyperlink r:id="rId18" w:history="1">
        <w:r w:rsidRPr="00BF6E43">
          <w:rPr>
            <w:rStyle w:val="Hyperlink"/>
          </w:rPr>
          <w:t>C25/50</w:t>
        </w:r>
      </w:hyperlink>
      <w:r w:rsidR="003B5416" w:rsidRPr="00BF6E43">
        <w:t xml:space="preserve">, </w:t>
      </w:r>
      <w:hyperlink r:id="rId19" w:history="1">
        <w:r w:rsidR="003B5416" w:rsidRPr="00BF6E43">
          <w:rPr>
            <w:rStyle w:val="Hyperlink"/>
          </w:rPr>
          <w:t>C25/DL/3</w:t>
        </w:r>
      </w:hyperlink>
      <w:r w:rsidR="003B5416" w:rsidRPr="00BF6E43">
        <w:t xml:space="preserve"> y </w:t>
      </w:r>
      <w:hyperlink r:id="rId20" w:history="1">
        <w:r w:rsidR="003B5416" w:rsidRPr="00BF6E43">
          <w:rPr>
            <w:rStyle w:val="Hyperlink"/>
          </w:rPr>
          <w:t>C25/DL/6(Rev.1)</w:t>
        </w:r>
      </w:hyperlink>
      <w:r w:rsidRPr="00BF6E43">
        <w:t>)</w:t>
      </w:r>
    </w:p>
    <w:p w14:paraId="33F6E031" w14:textId="163922F8" w:rsidR="0020709A" w:rsidRPr="00BF6E43" w:rsidRDefault="0020709A" w:rsidP="0020709A">
      <w:pPr>
        <w:keepNext/>
        <w:keepLines/>
        <w:pBdr>
          <w:top w:val="single" w:sz="4" w:space="1" w:color="auto"/>
          <w:left w:val="single" w:sz="4" w:space="4" w:color="auto"/>
          <w:bottom w:val="single" w:sz="4" w:space="1" w:color="auto"/>
          <w:right w:val="single" w:sz="4" w:space="4" w:color="auto"/>
        </w:pBdr>
        <w:jc w:val="both"/>
        <w:rPr>
          <w:rFonts w:eastAsia="Aptos"/>
        </w:rPr>
      </w:pPr>
      <w:r w:rsidRPr="00BF6E43">
        <w:t>La Comisión recomienda que el Consejo</w:t>
      </w:r>
      <w:r w:rsidRPr="00BF6E43">
        <w:rPr>
          <w:rFonts w:eastAsia="Aptos"/>
        </w:rPr>
        <w:t>:</w:t>
      </w:r>
    </w:p>
    <w:p w14:paraId="2103867A" w14:textId="48242F9D" w:rsidR="0020709A" w:rsidRPr="00BF6E43" w:rsidRDefault="0020709A" w:rsidP="0020709A">
      <w:pPr>
        <w:pStyle w:val="enumlev1"/>
        <w:keepNext/>
        <w:keepLines/>
        <w:pBdr>
          <w:top w:val="single" w:sz="4" w:space="1" w:color="auto"/>
          <w:left w:val="single" w:sz="4" w:space="4" w:color="auto"/>
          <w:bottom w:val="single" w:sz="4" w:space="1" w:color="auto"/>
          <w:right w:val="single" w:sz="4" w:space="4" w:color="auto"/>
        </w:pBdr>
        <w:jc w:val="both"/>
        <w:rPr>
          <w:rFonts w:eastAsia="Aptos"/>
        </w:rPr>
      </w:pPr>
      <w:r w:rsidRPr="00BF6E43">
        <w:rPr>
          <w:rFonts w:eastAsia="Aptos"/>
        </w:rPr>
        <w:t>•</w:t>
      </w:r>
      <w:r w:rsidRPr="00BF6E43">
        <w:rPr>
          <w:rFonts w:eastAsia="Aptos"/>
        </w:rPr>
        <w:tab/>
        <w:t xml:space="preserve">tome nota de los trabajos del GTC-RHF, examine las medidas señaladas en el informe contenido en el Documento </w:t>
      </w:r>
      <w:hyperlink r:id="rId21">
        <w:r w:rsidRPr="00BF6E43">
          <w:rPr>
            <w:rStyle w:val="Hyperlink"/>
            <w:rFonts w:eastAsia="Aptos" w:cs="Calibri"/>
          </w:rPr>
          <w:t>C25/50</w:t>
        </w:r>
      </w:hyperlink>
      <w:r w:rsidRPr="00BF6E43">
        <w:rPr>
          <w:rFonts w:eastAsia="Aptos"/>
        </w:rPr>
        <w:t xml:space="preserve"> y formule las orientaciones que estime convenientes;</w:t>
      </w:r>
    </w:p>
    <w:p w14:paraId="1F4AC586" w14:textId="77777777"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rPr>
          <w:rFonts w:eastAsia="Aptos"/>
        </w:rPr>
      </w:pPr>
      <w:r w:rsidRPr="00BF6E43">
        <w:rPr>
          <w:rFonts w:eastAsia="Aptos"/>
        </w:rPr>
        <w:t>•</w:t>
      </w:r>
      <w:r w:rsidRPr="00BF6E43">
        <w:rPr>
          <w:rFonts w:eastAsia="Aptos"/>
        </w:rPr>
        <w:tab/>
        <w:t>apruebe el Anexo A al presente informe; y</w:t>
      </w:r>
    </w:p>
    <w:p w14:paraId="128858EF" w14:textId="77777777"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rPr>
          <w:rFonts w:eastAsia="Aptos"/>
        </w:rPr>
      </w:pPr>
      <w:r w:rsidRPr="00BF6E43">
        <w:rPr>
          <w:rFonts w:eastAsia="Aptos"/>
        </w:rPr>
        <w:t>•</w:t>
      </w:r>
      <w:r w:rsidRPr="00BF6E43">
        <w:rPr>
          <w:rFonts w:eastAsia="Aptos"/>
        </w:rPr>
        <w:tab/>
        <w:t>su Anexo B.</w:t>
      </w:r>
    </w:p>
    <w:p w14:paraId="13C88598" w14:textId="09425DA2" w:rsidR="0020709A" w:rsidRPr="00BF6E43" w:rsidRDefault="0020709A" w:rsidP="00B04609">
      <w:pPr>
        <w:pStyle w:val="Headingb"/>
      </w:pPr>
      <w:r w:rsidRPr="00BF6E43">
        <w:t>Aclaración sobre la función de los órganos rectores de la UIT en las estructuras de gobernanza de las TI y gobernanza de los datos/la información de la organización (Documento</w:t>
      </w:r>
      <w:r w:rsidR="00931FB7" w:rsidRPr="00BF6E43">
        <w:t xml:space="preserve"> </w:t>
      </w:r>
      <w:hyperlink r:id="rId22" w:history="1">
        <w:r w:rsidRPr="00BF6E43">
          <w:rPr>
            <w:rStyle w:val="Hyperlink"/>
            <w:rFonts w:cs="Calibri"/>
            <w:bCs/>
          </w:rPr>
          <w:t>C25/84</w:t>
        </w:r>
      </w:hyperlink>
      <w:r w:rsidRPr="00BF6E43">
        <w:t>)</w:t>
      </w:r>
    </w:p>
    <w:p w14:paraId="0EB9D79D" w14:textId="3B75790F" w:rsidR="0020709A" w:rsidRPr="00BF6E43" w:rsidRDefault="0020709A" w:rsidP="0020709A">
      <w:pPr>
        <w:pBdr>
          <w:top w:val="single" w:sz="4" w:space="1" w:color="auto"/>
          <w:left w:val="single" w:sz="4" w:space="4" w:color="auto"/>
          <w:bottom w:val="single" w:sz="4" w:space="1" w:color="auto"/>
          <w:right w:val="single" w:sz="4" w:space="4" w:color="auto"/>
        </w:pBdr>
        <w:jc w:val="both"/>
        <w:rPr>
          <w:rFonts w:eastAsia="Calibri"/>
        </w:rPr>
      </w:pPr>
      <w:r w:rsidRPr="00BF6E43">
        <w:t>La Comisión recomienda que el Consejo</w:t>
      </w:r>
      <w:r w:rsidRPr="00BF6E43">
        <w:rPr>
          <w:rFonts w:eastAsia="Calibri"/>
        </w:rPr>
        <w:t>:</w:t>
      </w:r>
    </w:p>
    <w:p w14:paraId="0A9148C7" w14:textId="3BD6340D"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rPr>
          <w:rFonts w:eastAsia="Calibri"/>
          <w:szCs w:val="24"/>
        </w:rPr>
      </w:pPr>
      <w:r w:rsidRPr="00BF6E43">
        <w:rPr>
          <w:rFonts w:eastAsia="Calibri"/>
          <w:szCs w:val="24"/>
        </w:rPr>
        <w:t>•</w:t>
      </w:r>
      <w:r w:rsidRPr="00BF6E43">
        <w:rPr>
          <w:rFonts w:eastAsia="Calibri"/>
          <w:szCs w:val="24"/>
        </w:rPr>
        <w:tab/>
        <w:t xml:space="preserve">encargue al GTC-RHF que elabore un concepto acorde al Documento </w:t>
      </w:r>
      <w:hyperlink r:id="rId23" w:history="1">
        <w:r w:rsidRPr="00BF6E43">
          <w:rPr>
            <w:rStyle w:val="Hyperlink"/>
            <w:rFonts w:cs="Calibri"/>
          </w:rPr>
          <w:t>C25/84</w:t>
        </w:r>
      </w:hyperlink>
      <w:r w:rsidRPr="00BF6E43">
        <w:rPr>
          <w:rFonts w:eastAsia="Aptos"/>
        </w:rPr>
        <w:t>; y</w:t>
      </w:r>
    </w:p>
    <w:p w14:paraId="02A1AA40" w14:textId="3B314623"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rPr>
          <w:rFonts w:eastAsia="Aptos"/>
        </w:rPr>
      </w:pPr>
      <w:r w:rsidRPr="00BF6E43">
        <w:rPr>
          <w:rFonts w:eastAsia="Calibri"/>
          <w:szCs w:val="24"/>
        </w:rPr>
        <w:t>•</w:t>
      </w:r>
      <w:r w:rsidRPr="00BF6E43">
        <w:rPr>
          <w:rFonts w:eastAsia="Calibri"/>
          <w:szCs w:val="24"/>
        </w:rPr>
        <w:tab/>
        <w:t xml:space="preserve">solicite a la Secretaría que facilite información y elabore un informe con arreglo al Documento </w:t>
      </w:r>
      <w:hyperlink r:id="rId24" w:history="1">
        <w:r w:rsidRPr="00BF6E43">
          <w:rPr>
            <w:rStyle w:val="Hyperlink"/>
            <w:rFonts w:cs="Calibri"/>
          </w:rPr>
          <w:t>C25/84</w:t>
        </w:r>
      </w:hyperlink>
      <w:r w:rsidRPr="00BF6E43">
        <w:rPr>
          <w:rFonts w:eastAsia="Aptos"/>
        </w:rPr>
        <w:t>.</w:t>
      </w:r>
    </w:p>
    <w:p w14:paraId="0F0D1652" w14:textId="40DCADBB" w:rsidR="0020709A" w:rsidRPr="00BF6E43" w:rsidRDefault="0020709A" w:rsidP="00B04609">
      <w:pPr>
        <w:pStyle w:val="Headingb"/>
      </w:pPr>
      <w:r w:rsidRPr="00BF6E43">
        <w:t>Reducción de la carga financiera para los países anfitriones de conferencias, reuniones y actividades de la UIT (Documento</w:t>
      </w:r>
      <w:r w:rsidR="00931FB7" w:rsidRPr="00BF6E43">
        <w:t xml:space="preserve"> </w:t>
      </w:r>
      <w:hyperlink r:id="rId25">
        <w:r w:rsidRPr="00BF6E43">
          <w:rPr>
            <w:rStyle w:val="Hyperlink"/>
            <w:rFonts w:cs="Calibri"/>
            <w:bCs/>
          </w:rPr>
          <w:t>C25/95</w:t>
        </w:r>
      </w:hyperlink>
      <w:r w:rsidRPr="00BF6E43">
        <w:rPr>
          <w:color w:val="000000" w:themeColor="text1"/>
        </w:rPr>
        <w:t>)</w:t>
      </w:r>
    </w:p>
    <w:p w14:paraId="041DFCB2" w14:textId="77777777" w:rsidR="0020709A" w:rsidRPr="00BF6E43" w:rsidRDefault="0020709A" w:rsidP="0020709A">
      <w:pPr>
        <w:pBdr>
          <w:top w:val="single" w:sz="4" w:space="4" w:color="000000"/>
          <w:left w:val="single" w:sz="4" w:space="4" w:color="000000"/>
          <w:bottom w:val="single" w:sz="4" w:space="4" w:color="000000"/>
          <w:right w:val="single" w:sz="4" w:space="4" w:color="000000"/>
        </w:pBdr>
        <w:spacing w:line="259" w:lineRule="auto"/>
      </w:pPr>
      <w:r w:rsidRPr="00BF6E43">
        <w:t>La Comisión recomienda que el Consejo tome nota de las propuestas contenidas en el Documento </w:t>
      </w:r>
      <w:hyperlink r:id="rId26">
        <w:r w:rsidRPr="00BF6E43">
          <w:rPr>
            <w:rStyle w:val="Hyperlink"/>
            <w:rFonts w:eastAsia="Calibri" w:cs="Calibri"/>
          </w:rPr>
          <w:t>C25/95</w:t>
        </w:r>
      </w:hyperlink>
      <w:r w:rsidRPr="00BF6E43">
        <w:rPr>
          <w:rFonts w:eastAsia="Calibri"/>
        </w:rPr>
        <w:t xml:space="preserve"> </w:t>
      </w:r>
      <w:r w:rsidRPr="00BF6E43">
        <w:t>y pide que la Secretaría General evalúe su viabilidad y presente sus conclusiones al GTC-RHF para su examen.</w:t>
      </w:r>
    </w:p>
    <w:p w14:paraId="0D73E5ED" w14:textId="190C4197" w:rsidR="0020709A" w:rsidRPr="00BF6E43" w:rsidRDefault="0020709A" w:rsidP="00B04609">
      <w:pPr>
        <w:pStyle w:val="Headingb"/>
      </w:pPr>
      <w:r w:rsidRPr="00BF6E43">
        <w:t>Propuesta de exoneración del pago de la tasa de recuperación de costes para siete notificaciones en virtud de la Resolución 170 (Rev.CMR-23) (Documento</w:t>
      </w:r>
      <w:r w:rsidRPr="00BF6E43">
        <w:rPr>
          <w:rFonts w:eastAsia="SimSun"/>
        </w:rPr>
        <w:t xml:space="preserve"> </w:t>
      </w:r>
      <w:hyperlink r:id="rId27">
        <w:r w:rsidRPr="00BF6E43">
          <w:rPr>
            <w:rStyle w:val="Hyperlink"/>
          </w:rPr>
          <w:t>C25/82</w:t>
        </w:r>
      </w:hyperlink>
      <w:r w:rsidRPr="00BF6E43">
        <w:t>)</w:t>
      </w:r>
    </w:p>
    <w:p w14:paraId="32485D7C" w14:textId="2BE74708" w:rsidR="0020709A" w:rsidRPr="00BF6E43" w:rsidRDefault="0020709A" w:rsidP="0020709A">
      <w:pPr>
        <w:pBdr>
          <w:top w:val="single" w:sz="4" w:space="1" w:color="auto"/>
          <w:left w:val="single" w:sz="4" w:space="4" w:color="auto"/>
          <w:bottom w:val="single" w:sz="4" w:space="1" w:color="auto"/>
          <w:right w:val="single" w:sz="4" w:space="4" w:color="auto"/>
        </w:pBdr>
        <w:jc w:val="both"/>
        <w:rPr>
          <w:rFonts w:eastAsia="Calibri"/>
        </w:rPr>
      </w:pPr>
      <w:r w:rsidRPr="00BF6E43">
        <w:rPr>
          <w:rFonts w:eastAsia="Calibri"/>
        </w:rPr>
        <w:t xml:space="preserve">La Comisión recomienda que el Consejo examine y apruebe las propuestas contenidas en el Documento </w:t>
      </w:r>
      <w:hyperlink r:id="rId28">
        <w:r w:rsidRPr="00BF6E43">
          <w:rPr>
            <w:rStyle w:val="Hyperlink"/>
          </w:rPr>
          <w:t>C25/82</w:t>
        </w:r>
      </w:hyperlink>
      <w:r w:rsidRPr="00BF6E43">
        <w:rPr>
          <w:rFonts w:eastAsia="Calibri"/>
        </w:rPr>
        <w:t>.</w:t>
      </w:r>
    </w:p>
    <w:p w14:paraId="1D373438" w14:textId="2880AE58" w:rsidR="0020709A" w:rsidRPr="00BF6E43" w:rsidRDefault="0020709A" w:rsidP="00B04609">
      <w:pPr>
        <w:pStyle w:val="Headingb"/>
      </w:pPr>
      <w:r w:rsidRPr="00BF6E43">
        <w:rPr>
          <w:rFonts w:eastAsia="SimSun"/>
        </w:rPr>
        <w:t xml:space="preserve">Informe de Gestión Financiera para el ejercicio 2024 (Documento </w:t>
      </w:r>
      <w:hyperlink r:id="rId29">
        <w:r w:rsidRPr="00BF6E43">
          <w:rPr>
            <w:rStyle w:val="Hyperlink"/>
          </w:rPr>
          <w:t>C25/40</w:t>
        </w:r>
      </w:hyperlink>
      <w:r w:rsidRPr="00BF6E43">
        <w:t>)</w:t>
      </w:r>
    </w:p>
    <w:p w14:paraId="69DAF779" w14:textId="77777777" w:rsidR="0020709A" w:rsidRPr="00BF6E43" w:rsidRDefault="0020709A" w:rsidP="0020709A">
      <w:pPr>
        <w:pBdr>
          <w:top w:val="single" w:sz="4" w:space="1" w:color="auto"/>
          <w:left w:val="single" w:sz="4" w:space="4" w:color="auto"/>
          <w:bottom w:val="single" w:sz="4" w:space="1" w:color="auto"/>
          <w:right w:val="single" w:sz="4" w:space="4" w:color="auto"/>
        </w:pBdr>
        <w:jc w:val="both"/>
        <w:rPr>
          <w:rFonts w:eastAsia="Calibri"/>
        </w:rPr>
      </w:pPr>
      <w:r w:rsidRPr="00BF6E43">
        <w:rPr>
          <w:rFonts w:eastAsia="Calibri"/>
        </w:rPr>
        <w:t>La Comisión recomienda que el Consejo:</w:t>
      </w:r>
    </w:p>
    <w:p w14:paraId="1054C077" w14:textId="61F47F3B"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rPr>
          <w:rFonts w:eastAsia="Calibri"/>
        </w:rPr>
      </w:pPr>
      <w:r w:rsidRPr="00BF6E43">
        <w:rPr>
          <w:rFonts w:eastAsia="Calibri"/>
        </w:rPr>
        <w:t>•</w:t>
      </w:r>
      <w:r w:rsidRPr="00BF6E43">
        <w:rPr>
          <w:rFonts w:eastAsia="Calibri"/>
        </w:rPr>
        <w:tab/>
        <w:t xml:space="preserve">tome nota del Documento </w:t>
      </w:r>
      <w:hyperlink r:id="rId30">
        <w:r w:rsidRPr="00BF6E43">
          <w:rPr>
            <w:rStyle w:val="Hyperlink"/>
            <w:rFonts w:eastAsia="Calibri"/>
          </w:rPr>
          <w:t>C25/40</w:t>
        </w:r>
      </w:hyperlink>
      <w:r w:rsidRPr="00BF6E43">
        <w:rPr>
          <w:rFonts w:eastAsia="Calibri"/>
        </w:rPr>
        <w:t>,</w:t>
      </w:r>
    </w:p>
    <w:p w14:paraId="1E68511A" w14:textId="77777777"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rPr>
          <w:rFonts w:eastAsia="Calibri"/>
        </w:rPr>
      </w:pPr>
      <w:r w:rsidRPr="00BF6E43">
        <w:rPr>
          <w:rFonts w:eastAsia="Calibri"/>
        </w:rPr>
        <w:t>•</w:t>
      </w:r>
      <w:r w:rsidRPr="00BF6E43">
        <w:rPr>
          <w:rFonts w:eastAsia="Calibri"/>
        </w:rPr>
        <w:tab/>
      </w:r>
      <w:r w:rsidRPr="00BF6E43">
        <w:t xml:space="preserve">apruebe el proyecto de resolución que figura </w:t>
      </w:r>
      <w:r w:rsidRPr="00BF6E43">
        <w:rPr>
          <w:rFonts w:eastAsia="Calibri"/>
        </w:rPr>
        <w:t>en el Anexo C al mismo.</w:t>
      </w:r>
    </w:p>
    <w:p w14:paraId="22FC0AF1" w14:textId="7206AFC1" w:rsidR="0020709A" w:rsidRPr="00BF6E43" w:rsidRDefault="0020709A" w:rsidP="00B04609">
      <w:pPr>
        <w:pStyle w:val="Headingb"/>
      </w:pPr>
      <w:r w:rsidRPr="00BF6E43">
        <w:t>Informe del Auditor Externo sobre los estados financieros de 2024 de la UIT (Documento </w:t>
      </w:r>
      <w:hyperlink r:id="rId31">
        <w:r w:rsidRPr="00BF6E43">
          <w:rPr>
            <w:rStyle w:val="Hyperlink"/>
          </w:rPr>
          <w:t>C25/41</w:t>
        </w:r>
      </w:hyperlink>
      <w:r w:rsidRPr="00BF6E43">
        <w:t>)</w:t>
      </w:r>
    </w:p>
    <w:p w14:paraId="3A3C97BE" w14:textId="77777777" w:rsidR="0020709A" w:rsidRPr="00BF6E43" w:rsidRDefault="0020709A" w:rsidP="0020709A">
      <w:pPr>
        <w:pBdr>
          <w:top w:val="single" w:sz="4" w:space="1" w:color="auto"/>
          <w:left w:val="single" w:sz="4" w:space="4" w:color="auto"/>
          <w:bottom w:val="single" w:sz="4" w:space="1" w:color="auto"/>
          <w:right w:val="single" w:sz="4" w:space="4" w:color="auto"/>
        </w:pBdr>
        <w:jc w:val="both"/>
        <w:rPr>
          <w:rFonts w:eastAsia="Calibri"/>
          <w:szCs w:val="24"/>
        </w:rPr>
      </w:pPr>
      <w:r w:rsidRPr="00BF6E43">
        <w:t>La Comisión recomienda que el Consejo</w:t>
      </w:r>
      <w:r w:rsidRPr="00BF6E43">
        <w:rPr>
          <w:rFonts w:eastAsia="Calibri"/>
          <w:szCs w:val="24"/>
        </w:rPr>
        <w:t>:</w:t>
      </w:r>
    </w:p>
    <w:p w14:paraId="419625D8" w14:textId="195FF699"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rPr>
          <w:rFonts w:eastAsia="Calibri"/>
          <w:szCs w:val="24"/>
        </w:rPr>
      </w:pPr>
      <w:r w:rsidRPr="00BF6E43">
        <w:rPr>
          <w:rFonts w:eastAsia="Calibri" w:cs="Calibri"/>
          <w:szCs w:val="24"/>
        </w:rPr>
        <w:t>•</w:t>
      </w:r>
      <w:r w:rsidRPr="00BF6E43">
        <w:rPr>
          <w:rFonts w:eastAsia="Calibri"/>
          <w:szCs w:val="24"/>
        </w:rPr>
        <w:tab/>
        <w:t>encargue a la Secretaria General que ponga a disposición de los Consejeros un panel con información actualizada sobre el estado de aplicación de todas las recomendaciones del</w:t>
      </w:r>
      <w:r w:rsidR="00865E80" w:rsidRPr="00BF6E43">
        <w:rPr>
          <w:rFonts w:eastAsia="Calibri"/>
          <w:szCs w:val="24"/>
        </w:rPr>
        <w:t> </w:t>
      </w:r>
      <w:r w:rsidRPr="00BF6E43">
        <w:rPr>
          <w:rFonts w:eastAsia="Calibri"/>
          <w:szCs w:val="24"/>
        </w:rPr>
        <w:t xml:space="preserve">CAIG, el Auditor Externo, la Unidad de Supervisión y la DCI, y que colabore con el Auditor Externo para determinar las prioridades y los plazos de aplicación de dichas recomendaciones; y </w:t>
      </w:r>
    </w:p>
    <w:p w14:paraId="3836B6CC" w14:textId="7B69F6AD"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rPr>
          <w:szCs w:val="24"/>
        </w:rPr>
      </w:pPr>
      <w:r w:rsidRPr="00BF6E43">
        <w:rPr>
          <w:rFonts w:eastAsia="Calibri"/>
          <w:szCs w:val="24"/>
        </w:rPr>
        <w:t>•</w:t>
      </w:r>
      <w:r w:rsidRPr="00BF6E43">
        <w:rPr>
          <w:rFonts w:eastAsia="Calibri"/>
          <w:szCs w:val="24"/>
        </w:rPr>
        <w:tab/>
        <w:t xml:space="preserve">tome nota del Documento </w:t>
      </w:r>
      <w:hyperlink r:id="rId32">
        <w:r w:rsidRPr="00BF6E43">
          <w:rPr>
            <w:rStyle w:val="Hyperlink"/>
            <w:rFonts w:eastAsia="Calibri" w:cs="Calibri"/>
            <w:szCs w:val="24"/>
          </w:rPr>
          <w:t>C25/41</w:t>
        </w:r>
      </w:hyperlink>
      <w:r w:rsidRPr="00BF6E43">
        <w:rPr>
          <w:rFonts w:eastAsia="Calibri"/>
          <w:szCs w:val="24"/>
        </w:rPr>
        <w:t>.</w:t>
      </w:r>
    </w:p>
    <w:p w14:paraId="260F7618" w14:textId="07526018" w:rsidR="0020709A" w:rsidRPr="00BF6E43" w:rsidRDefault="0020709A" w:rsidP="00B04609">
      <w:pPr>
        <w:pStyle w:val="Headingb"/>
      </w:pPr>
      <w:r w:rsidRPr="00BF6E43">
        <w:lastRenderedPageBreak/>
        <w:t>Renovación del mandato del Auditor Externo (Documentos </w:t>
      </w:r>
      <w:hyperlink r:id="rId33" w:history="1">
        <w:r w:rsidRPr="00BF6E43">
          <w:rPr>
            <w:rStyle w:val="Hyperlink"/>
            <w:rFonts w:cs="Calibri"/>
            <w:bCs/>
            <w:lang w:eastAsia="en-GB"/>
          </w:rPr>
          <w:t>C25/42</w:t>
        </w:r>
      </w:hyperlink>
      <w:r w:rsidRPr="00BF6E43">
        <w:rPr>
          <w:lang w:eastAsia="en-GB"/>
        </w:rPr>
        <w:t xml:space="preserve"> y </w:t>
      </w:r>
      <w:hyperlink r:id="rId34" w:history="1">
        <w:r w:rsidRPr="00BF6E43">
          <w:rPr>
            <w:rStyle w:val="Hyperlink"/>
            <w:lang w:eastAsia="en-GB"/>
          </w:rPr>
          <w:t>C25/22(Add.3)</w:t>
        </w:r>
      </w:hyperlink>
      <w:r w:rsidRPr="00BF6E43">
        <w:rPr>
          <w:lang w:eastAsia="en-GB"/>
        </w:rPr>
        <w:t>)</w:t>
      </w:r>
    </w:p>
    <w:p w14:paraId="3A324339" w14:textId="77777777" w:rsidR="0020709A" w:rsidRPr="00BF6E43" w:rsidRDefault="0020709A" w:rsidP="0020709A">
      <w:pPr>
        <w:keepNext/>
        <w:pBdr>
          <w:top w:val="single" w:sz="4" w:space="4" w:color="000000"/>
          <w:left w:val="single" w:sz="4" w:space="4" w:color="000000"/>
          <w:bottom w:val="single" w:sz="4" w:space="4" w:color="000000"/>
          <w:right w:val="single" w:sz="4" w:space="4" w:color="000000"/>
        </w:pBdr>
        <w:spacing w:line="259" w:lineRule="auto"/>
        <w:jc w:val="both"/>
        <w:rPr>
          <w:rFonts w:eastAsia="Calibri" w:cs="Calibri"/>
          <w:szCs w:val="24"/>
        </w:rPr>
      </w:pPr>
      <w:r w:rsidRPr="00BF6E43">
        <w:rPr>
          <w:rFonts w:eastAsia="Calibri" w:cs="Calibri"/>
          <w:szCs w:val="24"/>
        </w:rPr>
        <w:t>La Comisión recomienda que el Consejo:</w:t>
      </w:r>
    </w:p>
    <w:p w14:paraId="3549A6A4" w14:textId="11840F9F" w:rsidR="0020709A" w:rsidRPr="00BF6E43" w:rsidRDefault="0020709A" w:rsidP="0020709A">
      <w:pPr>
        <w:keepNext/>
        <w:pBdr>
          <w:top w:val="single" w:sz="4" w:space="4" w:color="000000"/>
          <w:left w:val="single" w:sz="4" w:space="4" w:color="000000"/>
          <w:bottom w:val="single" w:sz="4" w:space="4" w:color="000000"/>
          <w:right w:val="single" w:sz="4" w:space="4" w:color="000000"/>
        </w:pBdr>
        <w:spacing w:line="259" w:lineRule="auto"/>
        <w:jc w:val="both"/>
        <w:rPr>
          <w:rFonts w:eastAsia="Calibri" w:cs="Calibri"/>
          <w:szCs w:val="24"/>
        </w:rPr>
      </w:pPr>
      <w:r w:rsidRPr="00BF6E43">
        <w:rPr>
          <w:rFonts w:cs="Calibri"/>
          <w:szCs w:val="24"/>
        </w:rPr>
        <w:t>•</w:t>
      </w:r>
      <w:r w:rsidRPr="00BF6E43">
        <w:rPr>
          <w:rFonts w:cs="Calibri"/>
          <w:szCs w:val="24"/>
        </w:rPr>
        <w:tab/>
      </w:r>
      <w:r w:rsidRPr="00BF6E43">
        <w:rPr>
          <w:rFonts w:eastAsia="Calibri" w:cs="Calibri"/>
          <w:szCs w:val="24"/>
        </w:rPr>
        <w:t xml:space="preserve">tome nota de los Documentos </w:t>
      </w:r>
      <w:hyperlink r:id="rId35" w:history="1">
        <w:r w:rsidRPr="00BF6E43">
          <w:rPr>
            <w:rStyle w:val="Hyperlink"/>
            <w:rFonts w:eastAsia="Calibri" w:cs="Calibri"/>
            <w:szCs w:val="24"/>
          </w:rPr>
          <w:t xml:space="preserve">C25/42 </w:t>
        </w:r>
      </w:hyperlink>
      <w:r w:rsidRPr="00BF6E43">
        <w:rPr>
          <w:rFonts w:eastAsia="Calibri" w:cs="Calibri"/>
          <w:szCs w:val="24"/>
        </w:rPr>
        <w:t xml:space="preserve">y </w:t>
      </w:r>
      <w:hyperlink r:id="rId36" w:history="1">
        <w:r w:rsidRPr="00BF6E43">
          <w:rPr>
            <w:rStyle w:val="Hyperlink"/>
            <w:rFonts w:eastAsia="Calibri" w:cs="Calibri"/>
            <w:szCs w:val="24"/>
          </w:rPr>
          <w:t>C25/22(Add.3)</w:t>
        </w:r>
      </w:hyperlink>
      <w:r w:rsidRPr="00BF6E43">
        <w:rPr>
          <w:rFonts w:eastAsia="Calibri" w:cs="Calibri"/>
          <w:szCs w:val="24"/>
        </w:rPr>
        <w:t>; y</w:t>
      </w:r>
    </w:p>
    <w:p w14:paraId="658ABF9C" w14:textId="77777777" w:rsidR="0020709A" w:rsidRPr="00BF6E43" w:rsidRDefault="0020709A" w:rsidP="0020709A">
      <w:pPr>
        <w:pBdr>
          <w:top w:val="single" w:sz="4" w:space="4" w:color="000000"/>
          <w:left w:val="single" w:sz="4" w:space="4" w:color="000000"/>
          <w:bottom w:val="single" w:sz="4" w:space="4" w:color="000000"/>
          <w:right w:val="single" w:sz="4" w:space="4" w:color="000000"/>
        </w:pBdr>
        <w:spacing w:line="259" w:lineRule="auto"/>
        <w:jc w:val="both"/>
        <w:rPr>
          <w:rFonts w:cs="Calibri"/>
          <w:szCs w:val="24"/>
        </w:rPr>
      </w:pPr>
      <w:r w:rsidRPr="00BF6E43">
        <w:rPr>
          <w:rFonts w:cs="Calibri"/>
          <w:szCs w:val="24"/>
        </w:rPr>
        <w:t>•</w:t>
      </w:r>
      <w:r w:rsidRPr="00BF6E43">
        <w:rPr>
          <w:rFonts w:cs="Calibri"/>
          <w:szCs w:val="24"/>
        </w:rPr>
        <w:tab/>
      </w:r>
      <w:r w:rsidRPr="00BF6E43">
        <w:t xml:space="preserve">apruebe el proyecto de Acuerdo que figura en </w:t>
      </w:r>
      <w:r w:rsidRPr="00BF6E43">
        <w:rPr>
          <w:rFonts w:eastAsia="Calibri" w:cs="Calibri"/>
          <w:szCs w:val="24"/>
        </w:rPr>
        <w:t>el Anexo D al mismo.</w:t>
      </w:r>
    </w:p>
    <w:p w14:paraId="16E5C24E" w14:textId="6A62D9CB" w:rsidR="0020709A" w:rsidRPr="00BF6E43" w:rsidRDefault="0020709A" w:rsidP="00B04609">
      <w:pPr>
        <w:pStyle w:val="Headingb"/>
      </w:pPr>
      <w:r w:rsidRPr="00BF6E43">
        <w:rPr>
          <w:lang w:eastAsia="en-GB"/>
        </w:rPr>
        <w:t xml:space="preserve">Pasivo del seguro médico posterior a la separación del servicio (ASHI) (Documento </w:t>
      </w:r>
      <w:hyperlink r:id="rId37">
        <w:r w:rsidRPr="00BF6E43">
          <w:rPr>
            <w:rStyle w:val="Hyperlink"/>
          </w:rPr>
          <w:t>C25/46</w:t>
        </w:r>
      </w:hyperlink>
      <w:r w:rsidRPr="00BF6E43">
        <w:rPr>
          <w:lang w:eastAsia="en-GB"/>
        </w:rPr>
        <w:t>)</w:t>
      </w:r>
    </w:p>
    <w:p w14:paraId="075BDCC4" w14:textId="047230F1" w:rsidR="0020709A" w:rsidRPr="00BF6E43" w:rsidRDefault="0020709A" w:rsidP="0020709A">
      <w:pPr>
        <w:pBdr>
          <w:top w:val="single" w:sz="4" w:space="1" w:color="auto"/>
          <w:left w:val="single" w:sz="4" w:space="4" w:color="auto"/>
          <w:bottom w:val="single" w:sz="4" w:space="1" w:color="auto"/>
          <w:right w:val="single" w:sz="4" w:space="4" w:color="auto"/>
        </w:pBdr>
        <w:jc w:val="both"/>
        <w:rPr>
          <w:szCs w:val="24"/>
        </w:rPr>
      </w:pPr>
      <w:r w:rsidRPr="00BF6E43">
        <w:t>La Comisión recomienda que el Consejo tome nota del Documento </w:t>
      </w:r>
      <w:hyperlink r:id="rId38" w:history="1">
        <w:r w:rsidRPr="00BF6E43">
          <w:rPr>
            <w:rStyle w:val="Hyperlink"/>
            <w:rFonts w:eastAsia="Calibri" w:cs="Calibri"/>
            <w:szCs w:val="24"/>
          </w:rPr>
          <w:t>C25/46</w:t>
        </w:r>
      </w:hyperlink>
      <w:r w:rsidRPr="00BF6E43">
        <w:rPr>
          <w:rFonts w:eastAsia="Calibri"/>
          <w:szCs w:val="24"/>
        </w:rPr>
        <w:t>.</w:t>
      </w:r>
    </w:p>
    <w:p w14:paraId="6A31080B" w14:textId="2F33185E" w:rsidR="0020709A" w:rsidRPr="00BF6E43" w:rsidRDefault="0020709A" w:rsidP="00B04609">
      <w:pPr>
        <w:pStyle w:val="Headingb"/>
      </w:pPr>
      <w:r w:rsidRPr="00BF6E43">
        <w:t>Modificación de las condiciones de servicio en el régimen común de las Naciones Unidas (Documento </w:t>
      </w:r>
      <w:hyperlink r:id="rId39" w:history="1">
        <w:r w:rsidRPr="00BF6E43">
          <w:rPr>
            <w:rStyle w:val="Hyperlink"/>
            <w:rFonts w:cs="Calibri"/>
            <w:bCs/>
            <w:lang w:eastAsia="en-GB"/>
          </w:rPr>
          <w:t>C25/23</w:t>
        </w:r>
      </w:hyperlink>
      <w:r w:rsidRPr="00BF6E43">
        <w:rPr>
          <w:lang w:eastAsia="en-GB"/>
        </w:rPr>
        <w:t>)</w:t>
      </w:r>
    </w:p>
    <w:p w14:paraId="760E7AB7" w14:textId="77777777" w:rsidR="0020709A" w:rsidRPr="00BF6E43" w:rsidRDefault="0020709A" w:rsidP="0020709A">
      <w:pPr>
        <w:pBdr>
          <w:top w:val="single" w:sz="4" w:space="1" w:color="auto"/>
          <w:left w:val="single" w:sz="4" w:space="4" w:color="auto"/>
          <w:bottom w:val="single" w:sz="4" w:space="1" w:color="auto"/>
          <w:right w:val="single" w:sz="4" w:space="4" w:color="auto"/>
        </w:pBdr>
        <w:jc w:val="both"/>
        <w:rPr>
          <w:rFonts w:eastAsia="Calibri"/>
          <w:szCs w:val="24"/>
        </w:rPr>
      </w:pPr>
      <w:r w:rsidRPr="00BF6E43">
        <w:t>La Comisión recomienda que el Consejo</w:t>
      </w:r>
      <w:r w:rsidRPr="00BF6E43">
        <w:rPr>
          <w:rFonts w:eastAsia="Calibri"/>
          <w:szCs w:val="24"/>
        </w:rPr>
        <w:t>:</w:t>
      </w:r>
    </w:p>
    <w:p w14:paraId="2486ADD3" w14:textId="77777777"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rPr>
          <w:szCs w:val="24"/>
        </w:rPr>
      </w:pPr>
      <w:r w:rsidRPr="00BF6E43">
        <w:rPr>
          <w:szCs w:val="24"/>
        </w:rPr>
        <w:t>•</w:t>
      </w:r>
      <w:r w:rsidRPr="00BF6E43">
        <w:rPr>
          <w:szCs w:val="24"/>
        </w:rPr>
        <w:tab/>
        <w:t>tome nota de la aplicación por la Secretaria General de las decisiones de la Asamblea General de las Naciones Unidas por las que se modifican las condiciones de servicio del personal de nombramiento, de conformidad con el Estatuto y el Reglamento del Personal de la UIT; y</w:t>
      </w:r>
    </w:p>
    <w:p w14:paraId="5DC74E7E" w14:textId="53C04C7D"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rPr>
          <w:szCs w:val="24"/>
        </w:rPr>
      </w:pPr>
      <w:r w:rsidRPr="00BF6E43">
        <w:rPr>
          <w:szCs w:val="24"/>
        </w:rPr>
        <w:t>•</w:t>
      </w:r>
      <w:r w:rsidRPr="00BF6E43">
        <w:rPr>
          <w:szCs w:val="24"/>
        </w:rPr>
        <w:tab/>
        <w:t>apruebe la escala de sueldos y la escala de remuneración pensionable aplicables a los funcionarios de elección, presentadas en el proyecto de Resolución contenido en el</w:t>
      </w:r>
      <w:r w:rsidR="00865E80" w:rsidRPr="00BF6E43">
        <w:rPr>
          <w:szCs w:val="24"/>
        </w:rPr>
        <w:t> </w:t>
      </w:r>
      <w:r w:rsidRPr="00BF6E43">
        <w:rPr>
          <w:szCs w:val="24"/>
        </w:rPr>
        <w:t>Anexo E al presente Informe.</w:t>
      </w:r>
    </w:p>
    <w:p w14:paraId="421B259E" w14:textId="56F19A25" w:rsidR="0020709A" w:rsidRPr="00BF6E43" w:rsidRDefault="0020709A" w:rsidP="00B04609">
      <w:pPr>
        <w:pStyle w:val="Headingb"/>
      </w:pPr>
      <w:r w:rsidRPr="00BF6E43">
        <w:rPr>
          <w:lang w:eastAsia="en-GB"/>
        </w:rPr>
        <w:t>Informe de situación sobre la aplicación de los Acuerdos 600 (C17) y 601 (C17) del Consejo (Documento </w:t>
      </w:r>
      <w:hyperlink r:id="rId40" w:history="1">
        <w:r w:rsidRPr="00BF6E43">
          <w:rPr>
            <w:rStyle w:val="Hyperlink"/>
            <w:rFonts w:cs="Calibri"/>
            <w:bCs/>
            <w:lang w:eastAsia="en-GB"/>
          </w:rPr>
          <w:t>C25/38</w:t>
        </w:r>
      </w:hyperlink>
      <w:r w:rsidRPr="00BF6E43">
        <w:rPr>
          <w:lang w:eastAsia="en-GB"/>
        </w:rPr>
        <w:t>)</w:t>
      </w:r>
    </w:p>
    <w:p w14:paraId="267F032E" w14:textId="5A087A01" w:rsidR="0020709A" w:rsidRPr="00BF6E43" w:rsidRDefault="0020709A" w:rsidP="0020709A">
      <w:pPr>
        <w:pBdr>
          <w:top w:val="single" w:sz="4" w:space="1" w:color="auto"/>
          <w:left w:val="single" w:sz="4" w:space="4" w:color="auto"/>
          <w:bottom w:val="single" w:sz="4" w:space="1" w:color="auto"/>
          <w:right w:val="single" w:sz="4" w:space="4" w:color="auto"/>
        </w:pBdr>
        <w:jc w:val="both"/>
        <w:rPr>
          <w:szCs w:val="24"/>
        </w:rPr>
      </w:pPr>
      <w:r w:rsidRPr="00BF6E43">
        <w:t>La Comisión recomienda que el Consejo tome nota del informe contenido en el Documento </w:t>
      </w:r>
      <w:hyperlink r:id="rId41" w:history="1">
        <w:r w:rsidRPr="00BF6E43">
          <w:rPr>
            <w:rStyle w:val="Hyperlink"/>
            <w:rFonts w:cs="Calibri"/>
            <w:szCs w:val="24"/>
          </w:rPr>
          <w:t>C25/38</w:t>
        </w:r>
      </w:hyperlink>
      <w:r w:rsidRPr="00BF6E43">
        <w:rPr>
          <w:rFonts w:eastAsia="Calibri"/>
          <w:szCs w:val="24"/>
        </w:rPr>
        <w:t>.</w:t>
      </w:r>
    </w:p>
    <w:p w14:paraId="71A9BAF3" w14:textId="214B6446" w:rsidR="0020709A" w:rsidRPr="00BF6E43" w:rsidRDefault="0020709A" w:rsidP="00B04609">
      <w:pPr>
        <w:pStyle w:val="Headingb"/>
        <w:rPr>
          <w:rFonts w:cs="Calibri"/>
          <w:bCs/>
        </w:rPr>
      </w:pPr>
      <w:r w:rsidRPr="00BF6E43">
        <w:t>Proyecto de Sede de la Unión (Documentos </w:t>
      </w:r>
      <w:hyperlink r:id="rId42" w:history="1">
        <w:r w:rsidRPr="00BF6E43">
          <w:rPr>
            <w:rStyle w:val="Hyperlink"/>
            <w:rFonts w:cs="Calibri"/>
            <w:bCs/>
            <w:lang w:eastAsia="en-GB"/>
          </w:rPr>
          <w:t>C25/7 (Rev.1+2)</w:t>
        </w:r>
      </w:hyperlink>
      <w:r w:rsidRPr="00BF6E43">
        <w:rPr>
          <w:rFonts w:cs="Calibri"/>
          <w:bCs/>
          <w:lang w:eastAsia="en-GB"/>
        </w:rPr>
        <w:t xml:space="preserve">, </w:t>
      </w:r>
      <w:hyperlink r:id="rId43" w:history="1">
        <w:r w:rsidRPr="00BF6E43">
          <w:rPr>
            <w:rStyle w:val="Hyperlink"/>
            <w:rFonts w:cs="Calibri"/>
            <w:bCs/>
            <w:lang w:eastAsia="en-GB"/>
          </w:rPr>
          <w:t xml:space="preserve">C25/48 (Rev.1) </w:t>
        </w:r>
      </w:hyperlink>
      <w:r w:rsidRPr="00BF6E43">
        <w:rPr>
          <w:rFonts w:cs="Calibri"/>
          <w:bCs/>
          <w:lang w:eastAsia="en-GB"/>
        </w:rPr>
        <w:t xml:space="preserve">y </w:t>
      </w:r>
      <w:hyperlink r:id="rId44" w:history="1">
        <w:r w:rsidRPr="00BF6E43">
          <w:rPr>
            <w:rStyle w:val="Hyperlink"/>
            <w:rFonts w:cs="Calibri"/>
            <w:bCs/>
            <w:lang w:eastAsia="en-GB"/>
          </w:rPr>
          <w:t>C25/83</w:t>
        </w:r>
      </w:hyperlink>
      <w:r w:rsidRPr="00BF6E43">
        <w:rPr>
          <w:rFonts w:cs="Calibri"/>
          <w:bCs/>
          <w:lang w:eastAsia="en-GB"/>
        </w:rPr>
        <w:t>)</w:t>
      </w:r>
    </w:p>
    <w:p w14:paraId="1775E1CF" w14:textId="77777777" w:rsidR="0020709A" w:rsidRPr="00BF6E43" w:rsidRDefault="0020709A" w:rsidP="0020709A">
      <w:pPr>
        <w:pBdr>
          <w:top w:val="single" w:sz="4" w:space="1" w:color="auto"/>
          <w:left w:val="single" w:sz="4" w:space="4" w:color="auto"/>
          <w:bottom w:val="single" w:sz="4" w:space="1" w:color="auto"/>
          <w:right w:val="single" w:sz="4" w:space="4" w:color="auto"/>
        </w:pBdr>
        <w:jc w:val="both"/>
      </w:pPr>
      <w:r w:rsidRPr="00BF6E43">
        <w:t>La Comisión recomienda que el Consejo:</w:t>
      </w:r>
    </w:p>
    <w:p w14:paraId="20647A79" w14:textId="06D81020"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rPr>
          <w:rFonts w:cs="Calibri"/>
          <w:szCs w:val="24"/>
        </w:rPr>
      </w:pPr>
      <w:r w:rsidRPr="00BF6E43">
        <w:rPr>
          <w:rFonts w:cs="Calibri"/>
          <w:szCs w:val="24"/>
        </w:rPr>
        <w:t>•</w:t>
      </w:r>
      <w:r w:rsidRPr="00BF6E43">
        <w:rPr>
          <w:rFonts w:cs="Calibri"/>
          <w:szCs w:val="24"/>
        </w:rPr>
        <w:tab/>
      </w:r>
      <w:r w:rsidRPr="00BF6E43">
        <w:t>tome nota de los informes contenidos en los Documentos </w:t>
      </w:r>
      <w:hyperlink r:id="rId45" w:history="1">
        <w:r w:rsidRPr="00BF6E43">
          <w:rPr>
            <w:rStyle w:val="Hyperlink"/>
            <w:rFonts w:cs="Calibri"/>
            <w:szCs w:val="24"/>
          </w:rPr>
          <w:t>C25/7(Rev.1+2)</w:t>
        </w:r>
        <w:r w:rsidRPr="00BF6E43">
          <w:t xml:space="preserve"> </w:t>
        </w:r>
      </w:hyperlink>
      <w:r w:rsidRPr="00BF6E43">
        <w:rPr>
          <w:rFonts w:cs="Calibri"/>
          <w:szCs w:val="24"/>
        </w:rPr>
        <w:t xml:space="preserve">y </w:t>
      </w:r>
      <w:hyperlink r:id="rId46" w:history="1">
        <w:r w:rsidRPr="00BF6E43">
          <w:rPr>
            <w:rStyle w:val="Hyperlink"/>
            <w:rFonts w:cs="Calibri"/>
            <w:szCs w:val="24"/>
          </w:rPr>
          <w:t>C25/48(Rev.1)</w:t>
        </w:r>
      </w:hyperlink>
      <w:r w:rsidRPr="00BF6E43">
        <w:rPr>
          <w:rFonts w:cs="Calibri"/>
          <w:szCs w:val="24"/>
        </w:rPr>
        <w:t>; y</w:t>
      </w:r>
    </w:p>
    <w:p w14:paraId="49BB373E" w14:textId="77777777"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rPr>
          <w:rFonts w:cs="Calibri"/>
          <w:szCs w:val="24"/>
        </w:rPr>
      </w:pPr>
      <w:r w:rsidRPr="00BF6E43">
        <w:rPr>
          <w:rFonts w:cs="Calibri"/>
          <w:szCs w:val="24"/>
        </w:rPr>
        <w:t>•</w:t>
      </w:r>
      <w:r w:rsidRPr="00BF6E43">
        <w:rPr>
          <w:rFonts w:cs="Calibri"/>
          <w:szCs w:val="24"/>
        </w:rPr>
        <w:tab/>
        <w:t>encargue a la Secretaría que prepare un análisis de los Acuerdos 588 (C16), 619 (C19, modificado por última vez C21) y 640 (C24) del Consejo, en el que se identifiquen las disposiciones que siguen estando vigentes y las que se han sustituido o se han vuelto obsoletas e informe al respecto en la próxima reunión del GTC-RHF</w:t>
      </w:r>
      <w:r w:rsidRPr="00BF6E43">
        <w:rPr>
          <w:rFonts w:eastAsia="Calibri" w:cs="Calibri"/>
          <w:szCs w:val="24"/>
        </w:rPr>
        <w:t>.</w:t>
      </w:r>
    </w:p>
    <w:p w14:paraId="2E4323B6" w14:textId="79CE89B6" w:rsidR="0020709A" w:rsidRPr="00BF6E43" w:rsidRDefault="0020709A" w:rsidP="00B04609">
      <w:pPr>
        <w:pStyle w:val="Headingb"/>
      </w:pPr>
      <w:r w:rsidRPr="00BF6E43">
        <w:t>Actualización del plan estratégico del complejo (Documento </w:t>
      </w:r>
      <w:hyperlink r:id="rId47" w:history="1">
        <w:r w:rsidRPr="00BF6E43">
          <w:rPr>
            <w:rStyle w:val="Hyperlink"/>
            <w:rFonts w:cs="Calibri"/>
            <w:bCs/>
            <w:szCs w:val="28"/>
            <w:lang w:eastAsia="en-GB"/>
          </w:rPr>
          <w:t>C25/63(Rev.1)</w:t>
        </w:r>
      </w:hyperlink>
      <w:r w:rsidRPr="00BF6E43">
        <w:t>)</w:t>
      </w:r>
    </w:p>
    <w:p w14:paraId="60BDBCF4" w14:textId="7C436E98" w:rsidR="0020709A" w:rsidRPr="00BF6E43" w:rsidRDefault="0020709A" w:rsidP="0020709A">
      <w:pPr>
        <w:pBdr>
          <w:top w:val="single" w:sz="4" w:space="1" w:color="auto"/>
          <w:left w:val="single" w:sz="4" w:space="4" w:color="auto"/>
          <w:bottom w:val="single" w:sz="4" w:space="1" w:color="auto"/>
          <w:right w:val="single" w:sz="4" w:space="4" w:color="auto"/>
        </w:pBdr>
        <w:jc w:val="both"/>
        <w:rPr>
          <w:szCs w:val="24"/>
        </w:rPr>
      </w:pPr>
      <w:r w:rsidRPr="00BF6E43">
        <w:t>La Comisión recomienda que el Consejo tome nota del informe contenido en el Documento </w:t>
      </w:r>
      <w:hyperlink r:id="rId48" w:history="1">
        <w:r w:rsidRPr="00BF6E43">
          <w:rPr>
            <w:rStyle w:val="Hyperlink"/>
            <w:rFonts w:cs="Calibri"/>
            <w:szCs w:val="24"/>
          </w:rPr>
          <w:t>C25/63(Rev.1)</w:t>
        </w:r>
      </w:hyperlink>
      <w:r w:rsidRPr="00BF6E43">
        <w:rPr>
          <w:rFonts w:eastAsia="Calibri"/>
          <w:szCs w:val="24"/>
        </w:rPr>
        <w:t>.</w:t>
      </w:r>
    </w:p>
    <w:p w14:paraId="6A06D38D" w14:textId="4151EF84" w:rsidR="0020709A" w:rsidRPr="00BF6E43" w:rsidRDefault="0020709A" w:rsidP="00B04609">
      <w:pPr>
        <w:pStyle w:val="Headingb"/>
      </w:pPr>
      <w:r w:rsidRPr="00BF6E43">
        <w:rPr>
          <w:lang w:eastAsia="en-GB"/>
        </w:rPr>
        <w:t>Examen anual de ingresos y gastos de la ejecución del presupuesto de 2025 (Documento </w:t>
      </w:r>
      <w:hyperlink r:id="rId49" w:history="1">
        <w:r w:rsidRPr="00BF6E43">
          <w:rPr>
            <w:rStyle w:val="Hyperlink"/>
            <w:rFonts w:cs="Calibri"/>
            <w:bCs/>
            <w:lang w:eastAsia="en-GB"/>
          </w:rPr>
          <w:t>C25/9</w:t>
        </w:r>
      </w:hyperlink>
      <w:r w:rsidRPr="00BF6E43">
        <w:rPr>
          <w:lang w:eastAsia="en-GB"/>
        </w:rPr>
        <w:t>)</w:t>
      </w:r>
    </w:p>
    <w:p w14:paraId="22EEAC2E" w14:textId="3E26792F" w:rsidR="0020709A" w:rsidRPr="00BF6E43" w:rsidRDefault="0020709A" w:rsidP="0020709A">
      <w:pPr>
        <w:pBdr>
          <w:top w:val="single" w:sz="4" w:space="1" w:color="auto"/>
          <w:left w:val="single" w:sz="4" w:space="4" w:color="auto"/>
          <w:bottom w:val="single" w:sz="4" w:space="1" w:color="auto"/>
          <w:right w:val="single" w:sz="4" w:space="4" w:color="auto"/>
        </w:pBdr>
        <w:jc w:val="both"/>
        <w:rPr>
          <w:szCs w:val="24"/>
        </w:rPr>
      </w:pPr>
      <w:r w:rsidRPr="00BF6E43">
        <w:t>La Comisión recomienda que el Consejo tome nota del informe contenido en el Documento </w:t>
      </w:r>
      <w:hyperlink r:id="rId50" w:history="1">
        <w:r w:rsidRPr="00BF6E43">
          <w:rPr>
            <w:rStyle w:val="Hyperlink"/>
            <w:rFonts w:eastAsia="Calibri" w:cs="Calibri"/>
            <w:szCs w:val="24"/>
          </w:rPr>
          <w:t>C25/9</w:t>
        </w:r>
      </w:hyperlink>
      <w:r w:rsidRPr="00BF6E43">
        <w:rPr>
          <w:rFonts w:eastAsia="Calibri"/>
          <w:szCs w:val="24"/>
        </w:rPr>
        <w:t>.</w:t>
      </w:r>
    </w:p>
    <w:p w14:paraId="39502007" w14:textId="50DDB9BF" w:rsidR="0020709A" w:rsidRPr="00BF6E43" w:rsidRDefault="0020709A" w:rsidP="00B04609">
      <w:pPr>
        <w:pStyle w:val="Headingb"/>
      </w:pPr>
      <w:r w:rsidRPr="00BF6E43">
        <w:rPr>
          <w:lang w:eastAsia="en-GB"/>
        </w:rPr>
        <w:lastRenderedPageBreak/>
        <w:t>Nuevas solicitudes de exoneración de pago de la cuota de organizaciones internacionales (Documento </w:t>
      </w:r>
      <w:hyperlink r:id="rId51" w:history="1">
        <w:r w:rsidRPr="00BF6E43">
          <w:rPr>
            <w:rStyle w:val="Hyperlink"/>
            <w:rFonts w:cs="Calibri"/>
            <w:bCs/>
            <w:lang w:eastAsia="en-GB"/>
          </w:rPr>
          <w:t>C25/65</w:t>
        </w:r>
      </w:hyperlink>
      <w:r w:rsidRPr="00BF6E43">
        <w:rPr>
          <w:lang w:eastAsia="en-GB"/>
        </w:rPr>
        <w:t>)</w:t>
      </w:r>
    </w:p>
    <w:p w14:paraId="51E972AD" w14:textId="0906B58E" w:rsidR="0020709A" w:rsidRPr="00BF6E43" w:rsidRDefault="0020709A" w:rsidP="0020709A">
      <w:pPr>
        <w:pBdr>
          <w:top w:val="single" w:sz="4" w:space="1" w:color="auto"/>
          <w:left w:val="single" w:sz="4" w:space="4" w:color="auto"/>
          <w:bottom w:val="single" w:sz="4" w:space="1" w:color="auto"/>
          <w:right w:val="single" w:sz="4" w:space="4" w:color="auto"/>
        </w:pBdr>
        <w:jc w:val="both"/>
        <w:rPr>
          <w:szCs w:val="24"/>
        </w:rPr>
      </w:pPr>
      <w:r w:rsidRPr="00BF6E43">
        <w:rPr>
          <w:szCs w:val="24"/>
        </w:rPr>
        <w:t xml:space="preserve">La Comisión recomienda que el Consejo haga suyas las recomendaciones de la Secretaria General sobre las solicitudes de exoneración del pago de las cuotas de Miembros de Sector que figuran en el Documento </w:t>
      </w:r>
      <w:hyperlink r:id="rId52" w:history="1">
        <w:r w:rsidRPr="00BF6E43">
          <w:rPr>
            <w:rStyle w:val="Hyperlink"/>
            <w:rFonts w:cs="Calibri"/>
            <w:szCs w:val="24"/>
          </w:rPr>
          <w:t>C25/65</w:t>
        </w:r>
      </w:hyperlink>
      <w:r w:rsidRPr="00BF6E43">
        <w:rPr>
          <w:rFonts w:eastAsia="Calibri"/>
          <w:szCs w:val="24"/>
        </w:rPr>
        <w:t>.</w:t>
      </w:r>
    </w:p>
    <w:p w14:paraId="03E1314A" w14:textId="46EA31EA" w:rsidR="0020709A" w:rsidRPr="00BF6E43" w:rsidRDefault="0020709A" w:rsidP="00B04609">
      <w:pPr>
        <w:pStyle w:val="Headingb"/>
      </w:pPr>
      <w:r w:rsidRPr="00BF6E43">
        <w:rPr>
          <w:lang w:eastAsia="en-GB"/>
        </w:rPr>
        <w:t>Participación en las actividades de la UIT de otras entidades que se ocupan de cuestiones de telecomunicaciones (Documento </w:t>
      </w:r>
      <w:hyperlink r:id="rId53" w:history="1">
        <w:r w:rsidRPr="00BF6E43">
          <w:rPr>
            <w:rStyle w:val="Hyperlink"/>
            <w:rFonts w:cs="Calibri"/>
            <w:bCs/>
            <w:lang w:eastAsia="en-GB"/>
          </w:rPr>
          <w:t>C25/20</w:t>
        </w:r>
      </w:hyperlink>
      <w:r w:rsidRPr="00BF6E43">
        <w:rPr>
          <w:lang w:eastAsia="en-GB"/>
        </w:rPr>
        <w:t>)</w:t>
      </w:r>
    </w:p>
    <w:p w14:paraId="712CA092" w14:textId="4EBA0DB7" w:rsidR="0020709A" w:rsidRPr="00BF6E43" w:rsidRDefault="0020709A" w:rsidP="0020709A">
      <w:pPr>
        <w:pBdr>
          <w:top w:val="single" w:sz="4" w:space="1" w:color="auto"/>
          <w:left w:val="single" w:sz="4" w:space="4" w:color="auto"/>
          <w:bottom w:val="single" w:sz="4" w:space="1" w:color="auto"/>
          <w:right w:val="single" w:sz="4" w:space="4" w:color="auto"/>
        </w:pBdr>
        <w:jc w:val="both"/>
        <w:rPr>
          <w:szCs w:val="24"/>
        </w:rPr>
      </w:pPr>
      <w:r w:rsidRPr="00BF6E43">
        <w:rPr>
          <w:szCs w:val="24"/>
        </w:rPr>
        <w:t>La Comisión recomienda que el Consejo confirme las medidas adoptadas por la Secretaria General en relación con la admisión de las entidades que se ocupan de cuestiones de telecomunicaciones enumeradas en el Anexo al Documento </w:t>
      </w:r>
      <w:hyperlink r:id="rId54" w:history="1">
        <w:r w:rsidRPr="00BF6E43">
          <w:rPr>
            <w:rStyle w:val="Hyperlink"/>
            <w:rFonts w:eastAsia="Calibri" w:cs="Calibri"/>
            <w:szCs w:val="24"/>
          </w:rPr>
          <w:t>C25/20</w:t>
        </w:r>
      </w:hyperlink>
      <w:r w:rsidRPr="00BF6E43">
        <w:rPr>
          <w:rFonts w:eastAsia="Calibri"/>
          <w:szCs w:val="24"/>
        </w:rPr>
        <w:t>.</w:t>
      </w:r>
    </w:p>
    <w:p w14:paraId="5819062F" w14:textId="0AF54E1F" w:rsidR="0020709A" w:rsidRPr="00BF6E43" w:rsidRDefault="0020709A" w:rsidP="00B04609">
      <w:pPr>
        <w:pStyle w:val="Headingb"/>
        <w:rPr>
          <w:rFonts w:cs="Calibri"/>
          <w:bCs/>
        </w:rPr>
      </w:pPr>
      <w:r w:rsidRPr="00BF6E43">
        <w:t>Informe de la Oficina de Ética (Documento </w:t>
      </w:r>
      <w:hyperlink r:id="rId55" w:history="1">
        <w:r w:rsidRPr="00BF6E43">
          <w:rPr>
            <w:rStyle w:val="Hyperlink"/>
            <w:rFonts w:cs="Calibri"/>
            <w:bCs/>
            <w:lang w:eastAsia="en-GB"/>
          </w:rPr>
          <w:t>C25/14</w:t>
        </w:r>
      </w:hyperlink>
      <w:r w:rsidRPr="00BF6E43">
        <w:rPr>
          <w:rFonts w:cs="Calibri"/>
          <w:bCs/>
          <w:lang w:eastAsia="en-GB"/>
        </w:rPr>
        <w:t>)</w:t>
      </w:r>
    </w:p>
    <w:p w14:paraId="530F30BC" w14:textId="1FE517F1" w:rsidR="0020709A" w:rsidRPr="00BF6E43" w:rsidRDefault="0020709A" w:rsidP="0020709A">
      <w:pPr>
        <w:pBdr>
          <w:top w:val="single" w:sz="4" w:space="1" w:color="auto"/>
          <w:left w:val="single" w:sz="4" w:space="4" w:color="auto"/>
          <w:bottom w:val="single" w:sz="4" w:space="1" w:color="auto"/>
          <w:right w:val="single" w:sz="4" w:space="4" w:color="auto"/>
        </w:pBdr>
        <w:jc w:val="both"/>
        <w:rPr>
          <w:szCs w:val="24"/>
        </w:rPr>
      </w:pPr>
      <w:r w:rsidRPr="00BF6E43">
        <w:rPr>
          <w:szCs w:val="24"/>
        </w:rPr>
        <w:t>La Comisión recomienda al Consejo que tome nota del informe que se recoge en el Documento </w:t>
      </w:r>
      <w:hyperlink r:id="rId56" w:history="1">
        <w:r w:rsidRPr="00BF6E43">
          <w:rPr>
            <w:rStyle w:val="Hyperlink"/>
            <w:szCs w:val="24"/>
          </w:rPr>
          <w:t>C25/14</w:t>
        </w:r>
      </w:hyperlink>
      <w:r w:rsidRPr="00BF6E43">
        <w:rPr>
          <w:szCs w:val="24"/>
        </w:rPr>
        <w:t>, incluida la Carta de la Oficina de Ética de la UIT que figura en su Anexo</w:t>
      </w:r>
      <w:r w:rsidRPr="00BF6E43">
        <w:rPr>
          <w:rFonts w:eastAsia="Calibri"/>
          <w:szCs w:val="24"/>
        </w:rPr>
        <w:t>.</w:t>
      </w:r>
    </w:p>
    <w:p w14:paraId="08CD7936" w14:textId="4A7DB923" w:rsidR="0020709A" w:rsidRPr="00BF6E43" w:rsidRDefault="0020709A" w:rsidP="00B04609">
      <w:pPr>
        <w:pStyle w:val="Headingb"/>
      </w:pPr>
      <w:r w:rsidRPr="00BF6E43">
        <w:t>Importe provisional de la unidad contributiva (Documento </w:t>
      </w:r>
      <w:hyperlink r:id="rId57" w:history="1">
        <w:r w:rsidRPr="00BF6E43">
          <w:rPr>
            <w:rStyle w:val="Hyperlink"/>
            <w:rFonts w:cs="Calibri"/>
            <w:bCs/>
            <w:lang w:eastAsia="en-GB"/>
          </w:rPr>
          <w:t>C25/54</w:t>
        </w:r>
      </w:hyperlink>
      <w:r w:rsidRPr="00BF6E43">
        <w:rPr>
          <w:lang w:eastAsia="en-GB"/>
        </w:rPr>
        <w:t>)</w:t>
      </w:r>
    </w:p>
    <w:p w14:paraId="4DAFC915" w14:textId="114050A3" w:rsidR="0020709A" w:rsidRPr="00BF6E43" w:rsidRDefault="0020709A" w:rsidP="0020709A">
      <w:pPr>
        <w:pBdr>
          <w:top w:val="single" w:sz="4" w:space="1" w:color="auto"/>
          <w:left w:val="single" w:sz="4" w:space="4" w:color="auto"/>
          <w:bottom w:val="single" w:sz="4" w:space="1" w:color="auto"/>
          <w:right w:val="single" w:sz="4" w:space="4" w:color="auto"/>
        </w:pBdr>
        <w:jc w:val="both"/>
      </w:pPr>
      <w:r w:rsidRPr="00BF6E43">
        <w:t>La Comisión recomienda que el Consejo:</w:t>
      </w:r>
    </w:p>
    <w:p w14:paraId="6BC21ADE" w14:textId="31CC5FE8"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pPr>
      <w:r w:rsidRPr="00BF6E43">
        <w:rPr>
          <w:rFonts w:cs="Calibri"/>
        </w:rPr>
        <w:t>•</w:t>
      </w:r>
      <w:r w:rsidRPr="00BF6E43">
        <w:tab/>
        <w:t>apruebe la propuesta de mantener la unidad contributiva en el nivel de 318</w:t>
      </w:r>
      <w:r w:rsidR="00A6581D" w:rsidRPr="00BF6E43">
        <w:t> </w:t>
      </w:r>
      <w:r w:rsidRPr="00BF6E43">
        <w:t>000</w:t>
      </w:r>
      <w:r w:rsidR="00A6581D" w:rsidRPr="00BF6E43">
        <w:t> </w:t>
      </w:r>
      <w:r w:rsidRPr="00BF6E43">
        <w:t>CHF y que inicie los trabajos encaminados a elaborar una metodología para los futuros cambios en la unidad contributiva para que el Consejo la examine en su sesión de 2026; y</w:t>
      </w:r>
    </w:p>
    <w:p w14:paraId="108DBA9A" w14:textId="77777777"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pPr>
      <w:r w:rsidRPr="00BF6E43">
        <w:t>•</w:t>
      </w:r>
      <w:r w:rsidRPr="00BF6E43">
        <w:tab/>
        <w:t>presente un proyecto de metodología a las reuniones del GTC-RHF y del GTC-PEF que se celebrarán en enero/febrero de 2026.</w:t>
      </w:r>
    </w:p>
    <w:p w14:paraId="283C547A" w14:textId="63AA74A6" w:rsidR="0020709A" w:rsidRPr="00BF6E43" w:rsidRDefault="0020709A" w:rsidP="00B04609">
      <w:pPr>
        <w:pStyle w:val="Headingb"/>
      </w:pPr>
      <w:r w:rsidRPr="00BF6E43">
        <w:t>Atrasos y cuentas especiales de atrasos (Documento </w:t>
      </w:r>
      <w:hyperlink r:id="rId58" w:history="1">
        <w:r w:rsidRPr="00BF6E43">
          <w:rPr>
            <w:rStyle w:val="Hyperlink"/>
            <w:rFonts w:cs="Calibri"/>
            <w:bCs/>
            <w:szCs w:val="28"/>
            <w:lang w:eastAsia="en-GB"/>
          </w:rPr>
          <w:t>C25/11</w:t>
        </w:r>
      </w:hyperlink>
      <w:r w:rsidRPr="00BF6E43">
        <w:t>)</w:t>
      </w:r>
    </w:p>
    <w:p w14:paraId="2D819E71" w14:textId="77777777" w:rsidR="0020709A" w:rsidRPr="00BF6E43" w:rsidRDefault="0020709A" w:rsidP="0020709A">
      <w:pPr>
        <w:pBdr>
          <w:top w:val="single" w:sz="4" w:space="1" w:color="auto"/>
          <w:left w:val="single" w:sz="4" w:space="4" w:color="auto"/>
          <w:bottom w:val="single" w:sz="4" w:space="1" w:color="auto"/>
          <w:right w:val="single" w:sz="4" w:space="4" w:color="auto"/>
        </w:pBdr>
        <w:jc w:val="both"/>
      </w:pPr>
      <w:r w:rsidRPr="00BF6E43">
        <w:t>La Comisión recomienda que el Consejo:</w:t>
      </w:r>
    </w:p>
    <w:p w14:paraId="60A831E3" w14:textId="53ED90D3"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rPr>
          <w:rFonts w:cs="Calibri"/>
          <w:szCs w:val="24"/>
        </w:rPr>
      </w:pPr>
      <w:r w:rsidRPr="00BF6E43">
        <w:rPr>
          <w:rFonts w:cs="Calibri"/>
          <w:sz w:val="22"/>
          <w:szCs w:val="22"/>
        </w:rPr>
        <w:t>•</w:t>
      </w:r>
      <w:r w:rsidRPr="00BF6E43">
        <w:rPr>
          <w:rFonts w:cs="Calibri"/>
          <w:sz w:val="22"/>
          <w:szCs w:val="22"/>
        </w:rPr>
        <w:tab/>
      </w:r>
      <w:r w:rsidRPr="00BF6E43">
        <w:rPr>
          <w:rFonts w:cs="Calibri"/>
          <w:szCs w:val="24"/>
        </w:rPr>
        <w:t xml:space="preserve">tome nota del Documento </w:t>
      </w:r>
      <w:hyperlink r:id="rId59" w:history="1">
        <w:r w:rsidRPr="00BF6E43">
          <w:rPr>
            <w:rStyle w:val="Hyperlink"/>
            <w:rFonts w:cs="Calibri"/>
            <w:szCs w:val="24"/>
          </w:rPr>
          <w:t>C25/11</w:t>
        </w:r>
      </w:hyperlink>
      <w:r w:rsidRPr="00BF6E43">
        <w:rPr>
          <w:rFonts w:cs="Calibri"/>
          <w:szCs w:val="24"/>
        </w:rPr>
        <w:t>;</w:t>
      </w:r>
    </w:p>
    <w:p w14:paraId="2F8EAD54" w14:textId="592A0B9C"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rPr>
          <w:rFonts w:cs="Calibri"/>
          <w:szCs w:val="24"/>
        </w:rPr>
      </w:pPr>
      <w:r w:rsidRPr="00BF6E43">
        <w:rPr>
          <w:rFonts w:cs="Calibri"/>
          <w:szCs w:val="24"/>
        </w:rPr>
        <w:t>•</w:t>
      </w:r>
      <w:r w:rsidRPr="00BF6E43">
        <w:rPr>
          <w:rFonts w:cs="Calibri"/>
          <w:szCs w:val="24"/>
        </w:rPr>
        <w:tab/>
        <w:t>autorice a la Secretaria General a cancelar el importe de 950</w:t>
      </w:r>
      <w:r w:rsidR="00316187" w:rsidRPr="00BF6E43">
        <w:rPr>
          <w:rFonts w:cs="Calibri"/>
          <w:szCs w:val="24"/>
        </w:rPr>
        <w:t> </w:t>
      </w:r>
      <w:r w:rsidRPr="00BF6E43">
        <w:rPr>
          <w:rFonts w:cs="Calibri"/>
          <w:szCs w:val="24"/>
        </w:rPr>
        <w:t>306,68</w:t>
      </w:r>
      <w:r w:rsidR="00316187" w:rsidRPr="00BF6E43">
        <w:rPr>
          <w:rFonts w:cs="Calibri"/>
          <w:szCs w:val="24"/>
        </w:rPr>
        <w:t> </w:t>
      </w:r>
      <w:r w:rsidRPr="00BF6E43">
        <w:rPr>
          <w:rFonts w:cs="Calibri"/>
          <w:szCs w:val="24"/>
        </w:rPr>
        <w:t>CHF en concepto de intereses de mora y cantidades adeudadas incobrables mediante una detracción de la provisión para cuentas deudoras; y</w:t>
      </w:r>
    </w:p>
    <w:p w14:paraId="0F9C3D85" w14:textId="77777777" w:rsidR="0020709A" w:rsidRPr="00BF6E43" w:rsidRDefault="0020709A" w:rsidP="0020709A">
      <w:pPr>
        <w:pStyle w:val="enumlev1"/>
        <w:pBdr>
          <w:top w:val="single" w:sz="4" w:space="1" w:color="auto"/>
          <w:left w:val="single" w:sz="4" w:space="4" w:color="auto"/>
          <w:bottom w:val="single" w:sz="4" w:space="1" w:color="auto"/>
          <w:right w:val="single" w:sz="4" w:space="4" w:color="auto"/>
        </w:pBdr>
        <w:jc w:val="both"/>
        <w:rPr>
          <w:rFonts w:cs="Calibri"/>
          <w:szCs w:val="24"/>
        </w:rPr>
      </w:pPr>
      <w:r w:rsidRPr="00BF6E43">
        <w:rPr>
          <w:rFonts w:cs="Calibri"/>
          <w:szCs w:val="24"/>
        </w:rPr>
        <w:t>•</w:t>
      </w:r>
      <w:r w:rsidRPr="00BF6E43">
        <w:rPr>
          <w:rFonts w:cs="Calibri"/>
          <w:szCs w:val="24"/>
        </w:rPr>
        <w:tab/>
        <w:t>adopte el proyecto de Acuerdo que figura en el Anexo F al presente documento</w:t>
      </w:r>
      <w:r w:rsidRPr="00BF6E43">
        <w:rPr>
          <w:rFonts w:eastAsia="Calibri" w:cs="Calibri"/>
          <w:szCs w:val="24"/>
        </w:rPr>
        <w:t>.</w:t>
      </w:r>
    </w:p>
    <w:p w14:paraId="77F0CE29" w14:textId="5BC7FB62" w:rsidR="0020709A" w:rsidRPr="00BF6E43" w:rsidRDefault="0020709A" w:rsidP="00B04609">
      <w:pPr>
        <w:pStyle w:val="Headingb"/>
      </w:pPr>
      <w:r w:rsidRPr="00BF6E43">
        <w:rPr>
          <w:lang w:eastAsia="en-GB"/>
        </w:rPr>
        <w:t xml:space="preserve">Informe del Grupo Asesor de Radiocomunicaciones sobre temas relacionados con el Consejo (Documento </w:t>
      </w:r>
      <w:hyperlink r:id="rId60" w:history="1">
        <w:r w:rsidRPr="00BF6E43">
          <w:rPr>
            <w:rStyle w:val="Hyperlink"/>
            <w:rFonts w:cs="Calibri"/>
            <w:bCs/>
            <w:lang w:eastAsia="en-GB"/>
          </w:rPr>
          <w:t>C25/59</w:t>
        </w:r>
      </w:hyperlink>
      <w:r w:rsidRPr="00BF6E43">
        <w:rPr>
          <w:lang w:eastAsia="en-GB"/>
        </w:rPr>
        <w:t>)</w:t>
      </w:r>
    </w:p>
    <w:p w14:paraId="6C21F999" w14:textId="5CD89940" w:rsidR="0020709A" w:rsidRPr="00BF6E43" w:rsidRDefault="0020709A" w:rsidP="0020709A">
      <w:pPr>
        <w:pBdr>
          <w:top w:val="single" w:sz="4" w:space="1" w:color="auto"/>
          <w:left w:val="single" w:sz="4" w:space="4" w:color="auto"/>
          <w:bottom w:val="single" w:sz="4" w:space="1" w:color="auto"/>
          <w:right w:val="single" w:sz="4" w:space="4" w:color="auto"/>
        </w:pBdr>
        <w:jc w:val="both"/>
        <w:rPr>
          <w:szCs w:val="24"/>
        </w:rPr>
      </w:pPr>
      <w:r w:rsidRPr="00BF6E43">
        <w:t>La Comisión recomienda al Consejo que tome nota del informe contenido en el</w:t>
      </w:r>
      <w:r w:rsidR="00316187" w:rsidRPr="00BF6E43">
        <w:t> </w:t>
      </w:r>
      <w:r w:rsidRPr="00BF6E43">
        <w:t>Documento</w:t>
      </w:r>
      <w:r w:rsidR="00316187" w:rsidRPr="00BF6E43">
        <w:t> </w:t>
      </w:r>
      <w:hyperlink r:id="rId61" w:history="1">
        <w:r w:rsidRPr="00BF6E43">
          <w:rPr>
            <w:rStyle w:val="Hyperlink"/>
            <w:rFonts w:eastAsia="Calibri" w:cs="Calibri"/>
            <w:szCs w:val="24"/>
          </w:rPr>
          <w:t>C25/59</w:t>
        </w:r>
      </w:hyperlink>
      <w:r w:rsidRPr="00BF6E43">
        <w:rPr>
          <w:rFonts w:eastAsia="Calibri"/>
          <w:szCs w:val="24"/>
        </w:rPr>
        <w:t>.</w:t>
      </w:r>
    </w:p>
    <w:p w14:paraId="6E71426A" w14:textId="3E20829C" w:rsidR="0020709A" w:rsidRPr="00BF6E43" w:rsidRDefault="0020709A" w:rsidP="00B04609">
      <w:pPr>
        <w:pStyle w:val="Headingb"/>
      </w:pPr>
      <w:r w:rsidRPr="00BF6E43">
        <w:rPr>
          <w:lang w:eastAsia="en-GB"/>
        </w:rPr>
        <w:t>Fondo para el Desarrollo de las Tecnologías de la Información y la Comunicación (FD-TIC) (Documento </w:t>
      </w:r>
      <w:hyperlink r:id="rId62" w:history="1">
        <w:r w:rsidRPr="00BF6E43">
          <w:rPr>
            <w:rStyle w:val="Hyperlink"/>
            <w:rFonts w:cs="Calibri"/>
            <w:bCs/>
            <w:lang w:eastAsia="en-GB"/>
          </w:rPr>
          <w:t>C25/34</w:t>
        </w:r>
      </w:hyperlink>
      <w:r w:rsidRPr="00BF6E43">
        <w:rPr>
          <w:lang w:eastAsia="en-GB"/>
        </w:rPr>
        <w:t>)</w:t>
      </w:r>
    </w:p>
    <w:p w14:paraId="0A0DC2A4" w14:textId="1FADE764" w:rsidR="0020709A" w:rsidRPr="00BF6E43" w:rsidRDefault="0020709A" w:rsidP="0020709A">
      <w:pPr>
        <w:pBdr>
          <w:top w:val="single" w:sz="4" w:space="1" w:color="auto"/>
          <w:left w:val="single" w:sz="4" w:space="4" w:color="auto"/>
          <w:bottom w:val="single" w:sz="4" w:space="1" w:color="auto"/>
          <w:right w:val="single" w:sz="4" w:space="4" w:color="auto"/>
        </w:pBdr>
        <w:jc w:val="both"/>
        <w:rPr>
          <w:szCs w:val="24"/>
        </w:rPr>
      </w:pPr>
      <w:r w:rsidRPr="00BF6E43">
        <w:rPr>
          <w:rFonts w:eastAsia="Calibri"/>
          <w:szCs w:val="24"/>
        </w:rPr>
        <w:t>La Comisión recomienda al Consejo que tome nota del informe contenido en el Documento </w:t>
      </w:r>
      <w:hyperlink r:id="rId63" w:history="1">
        <w:r w:rsidRPr="00BF6E43">
          <w:rPr>
            <w:rStyle w:val="Hyperlink"/>
            <w:rFonts w:eastAsia="Calibri" w:cs="Calibri"/>
            <w:szCs w:val="24"/>
          </w:rPr>
          <w:t>C25/34</w:t>
        </w:r>
      </w:hyperlink>
      <w:r w:rsidRPr="00BF6E43">
        <w:rPr>
          <w:rFonts w:eastAsia="Calibri"/>
          <w:szCs w:val="24"/>
        </w:rPr>
        <w:t>.</w:t>
      </w:r>
    </w:p>
    <w:p w14:paraId="4CF0B0DE" w14:textId="6D23F946" w:rsidR="0020709A" w:rsidRPr="00BF6E43" w:rsidRDefault="0020709A" w:rsidP="00B04609">
      <w:pPr>
        <w:pStyle w:val="Headingb"/>
        <w:rPr>
          <w:rFonts w:cs="Calibri"/>
          <w:bCs/>
        </w:rPr>
      </w:pPr>
      <w:r w:rsidRPr="00BF6E43">
        <w:lastRenderedPageBreak/>
        <w:t>Decimocuarto Informe del Comité Asesor Independiente sobre la Gestión (CAIG) (Documento </w:t>
      </w:r>
      <w:hyperlink r:id="rId64" w:history="1">
        <w:r w:rsidRPr="00BF6E43">
          <w:rPr>
            <w:rStyle w:val="Hyperlink"/>
            <w:rFonts w:cs="Calibri"/>
            <w:bCs/>
          </w:rPr>
          <w:t xml:space="preserve">C25/22 </w:t>
        </w:r>
      </w:hyperlink>
      <w:r w:rsidRPr="00BF6E43">
        <w:rPr>
          <w:rFonts w:cs="Calibri"/>
          <w:bCs/>
          <w:spacing w:val="4"/>
          <w:lang w:eastAsia="en-GB"/>
        </w:rPr>
        <w:t xml:space="preserve">y </w:t>
      </w:r>
      <w:hyperlink r:id="rId65" w:history="1">
        <w:r w:rsidRPr="00BF6E43">
          <w:rPr>
            <w:rStyle w:val="Hyperlink"/>
            <w:rFonts w:cs="Calibri"/>
            <w:bCs/>
            <w:spacing w:val="4"/>
            <w:lang w:eastAsia="en-GB"/>
          </w:rPr>
          <w:t>Addenda 2 y 3</w:t>
        </w:r>
      </w:hyperlink>
      <w:r w:rsidRPr="00BF6E43">
        <w:rPr>
          <w:rFonts w:cs="Calibri"/>
          <w:bCs/>
          <w:spacing w:val="4"/>
          <w:lang w:eastAsia="en-GB"/>
        </w:rPr>
        <w:t>)</w:t>
      </w:r>
    </w:p>
    <w:p w14:paraId="48BE23B1" w14:textId="77777777" w:rsidR="0020709A" w:rsidRPr="00BF6E43" w:rsidRDefault="0020709A" w:rsidP="0020709A">
      <w:pPr>
        <w:keepNext/>
        <w:pBdr>
          <w:top w:val="single" w:sz="4" w:space="1" w:color="auto"/>
          <w:left w:val="single" w:sz="4" w:space="4" w:color="auto"/>
          <w:bottom w:val="single" w:sz="4" w:space="1" w:color="auto"/>
          <w:right w:val="single" w:sz="4" w:space="4" w:color="auto"/>
        </w:pBdr>
        <w:jc w:val="both"/>
        <w:rPr>
          <w:rFonts w:eastAsia="Calibri"/>
          <w:szCs w:val="24"/>
        </w:rPr>
      </w:pPr>
      <w:r w:rsidRPr="00BF6E43">
        <w:t>La Comisión recomienda que el Consejo</w:t>
      </w:r>
      <w:r w:rsidRPr="00BF6E43">
        <w:rPr>
          <w:rFonts w:eastAsia="Calibri"/>
          <w:szCs w:val="24"/>
        </w:rPr>
        <w:t>:</w:t>
      </w:r>
    </w:p>
    <w:p w14:paraId="416C1E7C" w14:textId="7DA35F8A" w:rsidR="0020709A" w:rsidRPr="000E0168" w:rsidRDefault="0020709A" w:rsidP="000E0168">
      <w:pPr>
        <w:pStyle w:val="enumlev1"/>
        <w:keepNext/>
        <w:pBdr>
          <w:top w:val="single" w:sz="4" w:space="1" w:color="auto"/>
          <w:left w:val="single" w:sz="4" w:space="4" w:color="auto"/>
          <w:bottom w:val="single" w:sz="4" w:space="1" w:color="auto"/>
          <w:right w:val="single" w:sz="4" w:space="4" w:color="auto"/>
        </w:pBdr>
        <w:spacing w:before="80"/>
        <w:jc w:val="both"/>
        <w:rPr>
          <w:rFonts w:eastAsia="Calibri"/>
          <w:spacing w:val="-2"/>
          <w:szCs w:val="24"/>
        </w:rPr>
      </w:pPr>
      <w:r w:rsidRPr="000E0168">
        <w:rPr>
          <w:rFonts w:eastAsia="Calibri"/>
          <w:spacing w:val="-2"/>
          <w:szCs w:val="24"/>
        </w:rPr>
        <w:t>•</w:t>
      </w:r>
      <w:r w:rsidRPr="000E0168">
        <w:rPr>
          <w:rFonts w:eastAsia="Calibri"/>
          <w:spacing w:val="-2"/>
          <w:szCs w:val="24"/>
        </w:rPr>
        <w:tab/>
        <w:t xml:space="preserve">apruebe el informe del CAIG contenido en el Documento </w:t>
      </w:r>
      <w:hyperlink r:id="rId66" w:history="1">
        <w:r w:rsidRPr="000E0168">
          <w:rPr>
            <w:rStyle w:val="Hyperlink"/>
            <w:rFonts w:eastAsia="Calibri" w:cs="Calibri"/>
            <w:spacing w:val="-2"/>
            <w:szCs w:val="24"/>
          </w:rPr>
          <w:t>C25/22</w:t>
        </w:r>
      </w:hyperlink>
      <w:r w:rsidRPr="000E0168">
        <w:rPr>
          <w:rFonts w:eastAsia="Calibri"/>
          <w:spacing w:val="-2"/>
          <w:szCs w:val="24"/>
        </w:rPr>
        <w:t xml:space="preserve"> y las recomendaciones que habrá de aplicar la Secretaría establecidas en el Anexo 2 del presente documento; y</w:t>
      </w:r>
    </w:p>
    <w:p w14:paraId="6BDA4513" w14:textId="77777777" w:rsidR="0020709A" w:rsidRPr="00BF6E43" w:rsidRDefault="0020709A" w:rsidP="000E0168">
      <w:pPr>
        <w:pStyle w:val="enumlev1"/>
        <w:keepNext/>
        <w:pBdr>
          <w:top w:val="single" w:sz="4" w:space="1" w:color="auto"/>
          <w:left w:val="single" w:sz="4" w:space="4" w:color="auto"/>
          <w:bottom w:val="single" w:sz="4" w:space="1" w:color="auto"/>
          <w:right w:val="single" w:sz="4" w:space="4" w:color="auto"/>
        </w:pBdr>
        <w:spacing w:before="80"/>
        <w:jc w:val="both"/>
        <w:rPr>
          <w:rFonts w:eastAsia="Calibri"/>
          <w:szCs w:val="24"/>
        </w:rPr>
      </w:pPr>
      <w:r w:rsidRPr="00BF6E43">
        <w:rPr>
          <w:rFonts w:eastAsia="Calibri"/>
          <w:szCs w:val="24"/>
        </w:rPr>
        <w:t>•</w:t>
      </w:r>
      <w:r w:rsidRPr="00BF6E43">
        <w:rPr>
          <w:rFonts w:eastAsia="Calibri"/>
          <w:szCs w:val="24"/>
        </w:rPr>
        <w:tab/>
        <w:t>tome nota del Addéndum 2 y el Addéndum 3 al Informe.</w:t>
      </w:r>
    </w:p>
    <w:p w14:paraId="2F98D56D" w14:textId="78BF0194" w:rsidR="0020709A" w:rsidRPr="00BF6E43" w:rsidRDefault="0020709A" w:rsidP="00B04609">
      <w:pPr>
        <w:pStyle w:val="Headingb"/>
        <w:rPr>
          <w:rFonts w:cs="Calibri"/>
          <w:bCs/>
        </w:rPr>
      </w:pPr>
      <w:r w:rsidRPr="00BF6E43">
        <w:rPr>
          <w:rFonts w:cs="Calibri"/>
          <w:bCs/>
          <w:spacing w:val="4"/>
          <w:lang w:eastAsia="en-GB"/>
        </w:rPr>
        <w:t xml:space="preserve">Cuestiones de supervisión (Documentos </w:t>
      </w:r>
      <w:hyperlink r:id="rId67" w:history="1">
        <w:r w:rsidRPr="00BF6E43">
          <w:rPr>
            <w:rStyle w:val="Hyperlink"/>
            <w:rFonts w:cs="Calibri"/>
            <w:bCs/>
            <w:lang w:eastAsia="en-GB"/>
          </w:rPr>
          <w:t>C25/44</w:t>
        </w:r>
      </w:hyperlink>
      <w:r w:rsidRPr="00BF6E43">
        <w:rPr>
          <w:rFonts w:cs="Calibri"/>
          <w:bCs/>
        </w:rPr>
        <w:t xml:space="preserve">, </w:t>
      </w:r>
      <w:hyperlink r:id="rId68" w:history="1">
        <w:r w:rsidRPr="00BF6E43">
          <w:rPr>
            <w:rStyle w:val="Hyperlink"/>
            <w:rFonts w:cs="Calibri"/>
            <w:bCs/>
            <w:lang w:eastAsia="en-GB"/>
          </w:rPr>
          <w:t>C25/39(Rev.1)</w:t>
        </w:r>
      </w:hyperlink>
      <w:r w:rsidRPr="00BF6E43">
        <w:rPr>
          <w:rFonts w:cs="Calibri"/>
          <w:bCs/>
        </w:rPr>
        <w:t xml:space="preserve">, </w:t>
      </w:r>
      <w:hyperlink r:id="rId69" w:history="1">
        <w:r w:rsidRPr="00BF6E43">
          <w:rPr>
            <w:rStyle w:val="Hyperlink"/>
            <w:rFonts w:cs="Calibri"/>
            <w:bCs/>
          </w:rPr>
          <w:t>C25/99</w:t>
        </w:r>
      </w:hyperlink>
      <w:r w:rsidRPr="00BF6E43">
        <w:rPr>
          <w:rFonts w:cs="Calibri"/>
          <w:bCs/>
        </w:rPr>
        <w:t xml:space="preserve">, </w:t>
      </w:r>
      <w:hyperlink r:id="rId70" w:history="1">
        <w:r w:rsidRPr="00BF6E43">
          <w:rPr>
            <w:rStyle w:val="Hyperlink"/>
            <w:rFonts w:cs="Calibri"/>
            <w:bCs/>
          </w:rPr>
          <w:t>C25/87(Rev.1)</w:t>
        </w:r>
      </w:hyperlink>
      <w:r w:rsidRPr="00BF6E43">
        <w:rPr>
          <w:rFonts w:cs="Calibri"/>
          <w:bCs/>
        </w:rPr>
        <w:t xml:space="preserve">, </w:t>
      </w:r>
      <w:hyperlink r:id="rId71" w:history="1">
        <w:r w:rsidRPr="00BF6E43">
          <w:rPr>
            <w:rStyle w:val="Hyperlink"/>
            <w:rFonts w:cs="Calibri"/>
            <w:bCs/>
          </w:rPr>
          <w:t>C25/102</w:t>
        </w:r>
      </w:hyperlink>
      <w:r w:rsidRPr="00BF6E43">
        <w:rPr>
          <w:rFonts w:cs="Calibri"/>
          <w:bCs/>
        </w:rPr>
        <w:t xml:space="preserve"> y </w:t>
      </w:r>
      <w:hyperlink r:id="rId72" w:history="1">
        <w:r w:rsidRPr="00BF6E43">
          <w:rPr>
            <w:rStyle w:val="Hyperlink"/>
            <w:rFonts w:cs="Calibri"/>
            <w:bCs/>
          </w:rPr>
          <w:t>C25/22(Add</w:t>
        </w:r>
        <w:bookmarkStart w:id="8" w:name="_Hlt201772311"/>
        <w:bookmarkStart w:id="9" w:name="_Hlt201772312"/>
        <w:r w:rsidRPr="00BF6E43">
          <w:rPr>
            <w:rStyle w:val="Hyperlink"/>
            <w:rFonts w:cs="Calibri"/>
            <w:bCs/>
          </w:rPr>
          <w:t>.</w:t>
        </w:r>
        <w:bookmarkEnd w:id="8"/>
        <w:bookmarkEnd w:id="9"/>
        <w:r w:rsidRPr="00BF6E43">
          <w:rPr>
            <w:rStyle w:val="Hyperlink"/>
            <w:rFonts w:cs="Calibri"/>
            <w:bCs/>
          </w:rPr>
          <w:t>1)</w:t>
        </w:r>
      </w:hyperlink>
      <w:r w:rsidRPr="00BF6E43">
        <w:rPr>
          <w:rFonts w:cs="Calibri"/>
          <w:bCs/>
          <w:lang w:eastAsia="en-GB"/>
        </w:rPr>
        <w:t>)</w:t>
      </w:r>
    </w:p>
    <w:p w14:paraId="15408341" w14:textId="77777777" w:rsidR="0020709A" w:rsidRPr="00BF6E43" w:rsidRDefault="0020709A" w:rsidP="0020709A">
      <w:pPr>
        <w:pBdr>
          <w:top w:val="single" w:sz="4" w:space="1" w:color="auto"/>
          <w:left w:val="single" w:sz="4" w:space="4" w:color="auto"/>
          <w:bottom w:val="single" w:sz="4" w:space="1" w:color="auto"/>
          <w:right w:val="single" w:sz="4" w:space="4" w:color="auto"/>
        </w:pBdr>
        <w:jc w:val="both"/>
        <w:rPr>
          <w:rFonts w:eastAsia="Calibri"/>
        </w:rPr>
      </w:pPr>
      <w:r w:rsidRPr="00BF6E43">
        <w:rPr>
          <w:rFonts w:eastAsia="Calibri"/>
        </w:rPr>
        <w:t>La Comisión recomienda al Consejo que:</w:t>
      </w:r>
    </w:p>
    <w:p w14:paraId="66F8011E" w14:textId="60CC1BFE" w:rsidR="0020709A" w:rsidRPr="00BF6E43" w:rsidRDefault="0020709A" w:rsidP="000E0168">
      <w:pPr>
        <w:pStyle w:val="enumlev1"/>
        <w:pBdr>
          <w:top w:val="single" w:sz="4" w:space="1" w:color="auto"/>
          <w:left w:val="single" w:sz="4" w:space="4" w:color="auto"/>
          <w:bottom w:val="single" w:sz="4" w:space="1" w:color="auto"/>
          <w:right w:val="single" w:sz="4" w:space="4" w:color="auto"/>
        </w:pBdr>
        <w:spacing w:before="80"/>
        <w:jc w:val="both"/>
        <w:rPr>
          <w:rFonts w:cs="Calibri"/>
          <w:szCs w:val="24"/>
        </w:rPr>
      </w:pPr>
      <w:r w:rsidRPr="00BF6E43">
        <w:rPr>
          <w:rFonts w:cs="Calibri"/>
          <w:sz w:val="22"/>
          <w:szCs w:val="22"/>
        </w:rPr>
        <w:t>•</w:t>
      </w:r>
      <w:r w:rsidRPr="00BF6E43">
        <w:rPr>
          <w:rFonts w:cs="Calibri"/>
          <w:sz w:val="22"/>
          <w:szCs w:val="22"/>
        </w:rPr>
        <w:tab/>
      </w:r>
      <w:r w:rsidRPr="00BF6E43">
        <w:t>tome nota de los Informes contenidos en los Documentos </w:t>
      </w:r>
      <w:hyperlink r:id="rId73" w:history="1">
        <w:r w:rsidRPr="00BF6E43">
          <w:rPr>
            <w:rStyle w:val="Hyperlink"/>
            <w:rFonts w:cs="Calibri"/>
            <w:szCs w:val="24"/>
          </w:rPr>
          <w:t>C25/44</w:t>
        </w:r>
      </w:hyperlink>
      <w:r w:rsidRPr="00BF6E43">
        <w:rPr>
          <w:rFonts w:cs="Calibri"/>
          <w:szCs w:val="24"/>
        </w:rPr>
        <w:t xml:space="preserve">, </w:t>
      </w:r>
      <w:hyperlink r:id="rId74" w:history="1">
        <w:r w:rsidRPr="00BF6E43">
          <w:rPr>
            <w:rStyle w:val="Hyperlink"/>
            <w:rFonts w:cs="Calibri"/>
            <w:szCs w:val="24"/>
          </w:rPr>
          <w:t>C25/102</w:t>
        </w:r>
      </w:hyperlink>
      <w:r w:rsidRPr="00BF6E43">
        <w:rPr>
          <w:rFonts w:cs="Calibri"/>
          <w:szCs w:val="24"/>
        </w:rPr>
        <w:t xml:space="preserve">, </w:t>
      </w:r>
      <w:hyperlink r:id="rId75" w:history="1">
        <w:r w:rsidRPr="00BF6E43">
          <w:rPr>
            <w:rStyle w:val="Hyperlink"/>
            <w:rFonts w:cs="Calibri"/>
            <w:szCs w:val="24"/>
          </w:rPr>
          <w:t xml:space="preserve">C25/39(Rev.1) </w:t>
        </w:r>
      </w:hyperlink>
      <w:r w:rsidRPr="00BF6E43">
        <w:rPr>
          <w:rFonts w:cs="Calibri"/>
          <w:szCs w:val="24"/>
        </w:rPr>
        <w:t xml:space="preserve">y </w:t>
      </w:r>
      <w:hyperlink r:id="rId76" w:history="1">
        <w:r w:rsidRPr="00BF6E43">
          <w:rPr>
            <w:rStyle w:val="Hyperlink"/>
            <w:rFonts w:cs="Calibri"/>
            <w:szCs w:val="24"/>
          </w:rPr>
          <w:t>C25/99</w:t>
        </w:r>
      </w:hyperlink>
      <w:r w:rsidRPr="00BF6E43">
        <w:rPr>
          <w:rFonts w:cs="Calibri"/>
          <w:szCs w:val="24"/>
        </w:rPr>
        <w:t>;</w:t>
      </w:r>
    </w:p>
    <w:p w14:paraId="534FD80E" w14:textId="5442BAE9" w:rsidR="0020709A" w:rsidRPr="00BF6E43" w:rsidRDefault="0020709A" w:rsidP="000E0168">
      <w:pPr>
        <w:pStyle w:val="enumlev1"/>
        <w:pBdr>
          <w:top w:val="single" w:sz="4" w:space="1" w:color="auto"/>
          <w:left w:val="single" w:sz="4" w:space="4" w:color="auto"/>
          <w:bottom w:val="single" w:sz="4" w:space="1" w:color="auto"/>
          <w:right w:val="single" w:sz="4" w:space="4" w:color="auto"/>
        </w:pBdr>
        <w:spacing w:before="80"/>
        <w:jc w:val="both"/>
        <w:rPr>
          <w:rFonts w:cs="Calibri"/>
          <w:szCs w:val="24"/>
        </w:rPr>
      </w:pPr>
      <w:r w:rsidRPr="00BF6E43">
        <w:rPr>
          <w:rFonts w:cs="Calibri"/>
          <w:szCs w:val="24"/>
        </w:rPr>
        <w:t>•</w:t>
      </w:r>
      <w:r w:rsidRPr="00BF6E43">
        <w:rPr>
          <w:rFonts w:cs="Calibri"/>
          <w:szCs w:val="24"/>
        </w:rPr>
        <w:tab/>
        <w:t xml:space="preserve">tome nota y refrende el procedimiento para la tramitación de las denuncias contra el Jefe y el personal de la Unidad de Supervisión establecido en el punto A del Addéndum 1 al Documento </w:t>
      </w:r>
      <w:hyperlink r:id="rId77" w:history="1">
        <w:r w:rsidRPr="00BF6E43">
          <w:rPr>
            <w:rStyle w:val="Hyperlink"/>
            <w:rFonts w:cs="Calibri"/>
            <w:szCs w:val="24"/>
          </w:rPr>
          <w:t>C25/22(Add.1)</w:t>
        </w:r>
      </w:hyperlink>
      <w:r w:rsidRPr="00BF6E43">
        <w:rPr>
          <w:rFonts w:cs="Calibri"/>
          <w:szCs w:val="24"/>
        </w:rPr>
        <w:t>;</w:t>
      </w:r>
    </w:p>
    <w:p w14:paraId="39206A1A" w14:textId="77777777" w:rsidR="0020709A" w:rsidRPr="00BF6E43" w:rsidRDefault="0020709A" w:rsidP="000E0168">
      <w:pPr>
        <w:pStyle w:val="enumlev1"/>
        <w:pBdr>
          <w:top w:val="single" w:sz="4" w:space="1" w:color="auto"/>
          <w:left w:val="single" w:sz="4" w:space="4" w:color="auto"/>
          <w:bottom w:val="single" w:sz="4" w:space="1" w:color="auto"/>
          <w:right w:val="single" w:sz="4" w:space="4" w:color="auto"/>
        </w:pBdr>
        <w:spacing w:before="80"/>
        <w:jc w:val="both"/>
        <w:rPr>
          <w:rFonts w:cs="Calibri"/>
          <w:szCs w:val="24"/>
        </w:rPr>
      </w:pPr>
      <w:r w:rsidRPr="00BF6E43">
        <w:rPr>
          <w:rFonts w:cs="Calibri"/>
          <w:szCs w:val="24"/>
        </w:rPr>
        <w:t>•</w:t>
      </w:r>
      <w:r w:rsidRPr="00BF6E43">
        <w:rPr>
          <w:rFonts w:cs="Calibri"/>
          <w:szCs w:val="24"/>
        </w:rPr>
        <w:tab/>
        <w:t>apruebe el procedimiento revisado para la tramitación de las denuncias contra funcionarios de elección que figura en el Anexo G al presente Informe, tome nota de las observaciones formuladas sobre dicho documento y las examine en la reunión de 2026 del Consejo;</w:t>
      </w:r>
    </w:p>
    <w:p w14:paraId="2B933932" w14:textId="77777777" w:rsidR="0020709A" w:rsidRPr="00BF6E43" w:rsidRDefault="0020709A" w:rsidP="000E0168">
      <w:pPr>
        <w:pStyle w:val="enumlev1"/>
        <w:pBdr>
          <w:top w:val="single" w:sz="4" w:space="1" w:color="auto"/>
          <w:left w:val="single" w:sz="4" w:space="4" w:color="auto"/>
          <w:bottom w:val="single" w:sz="4" w:space="1" w:color="auto"/>
          <w:right w:val="single" w:sz="4" w:space="4" w:color="auto"/>
        </w:pBdr>
        <w:spacing w:before="80"/>
        <w:jc w:val="both"/>
        <w:rPr>
          <w:rFonts w:cs="Calibri"/>
          <w:szCs w:val="24"/>
        </w:rPr>
      </w:pPr>
      <w:r w:rsidRPr="00BF6E43">
        <w:rPr>
          <w:rFonts w:cs="Calibri"/>
          <w:szCs w:val="24"/>
        </w:rPr>
        <w:t>•</w:t>
      </w:r>
      <w:r w:rsidRPr="00BF6E43">
        <w:rPr>
          <w:rFonts w:cs="Calibri"/>
          <w:szCs w:val="24"/>
        </w:rPr>
        <w:tab/>
        <w:t>invite a la Secretaria General a tomar medidas apropiadas contra las acusaciones maliciosas a fin de garantizar la protección de la reputación de la Unión y del personal afectado por dichas alegaciones; y</w:t>
      </w:r>
    </w:p>
    <w:p w14:paraId="4A05ED29" w14:textId="77777777" w:rsidR="0020709A" w:rsidRPr="00BF6E43" w:rsidRDefault="0020709A" w:rsidP="000E0168">
      <w:pPr>
        <w:pStyle w:val="enumlev1"/>
        <w:pBdr>
          <w:top w:val="single" w:sz="4" w:space="1" w:color="auto"/>
          <w:left w:val="single" w:sz="4" w:space="4" w:color="auto"/>
          <w:bottom w:val="single" w:sz="4" w:space="1" w:color="auto"/>
          <w:right w:val="single" w:sz="4" w:space="4" w:color="auto"/>
        </w:pBdr>
        <w:spacing w:before="80"/>
        <w:jc w:val="both"/>
        <w:rPr>
          <w:rFonts w:cs="Calibri"/>
          <w:szCs w:val="24"/>
        </w:rPr>
      </w:pPr>
      <w:r w:rsidRPr="00BF6E43">
        <w:rPr>
          <w:rFonts w:cs="Calibri"/>
          <w:szCs w:val="24"/>
        </w:rPr>
        <w:t>•</w:t>
      </w:r>
      <w:r w:rsidRPr="00BF6E43">
        <w:rPr>
          <w:rFonts w:cs="Calibri"/>
          <w:szCs w:val="24"/>
        </w:rPr>
        <w:tab/>
        <w:t>defienda las más estrictas políticas en materia de denuncia de irregularidades y protección contra las represalias (véase, entre otros, el informe de la DCI sobre el "Examen de las políticas y prácticas de protección de los denunciantes de irregularidades en las organizaciones del sistema de las Naciones Unidas" (</w:t>
      </w:r>
      <w:hyperlink r:id="rId78" w:history="1">
        <w:r w:rsidRPr="00BF6E43">
          <w:rPr>
            <w:rStyle w:val="Hyperlink"/>
            <w:rFonts w:cs="Calibri"/>
            <w:szCs w:val="24"/>
          </w:rPr>
          <w:t>JIU/R</w:t>
        </w:r>
        <w:r w:rsidRPr="00BF6E43">
          <w:rPr>
            <w:rStyle w:val="Hyperlink"/>
            <w:rFonts w:cs="Calibri"/>
            <w:szCs w:val="24"/>
          </w:rPr>
          <w:t>E</w:t>
        </w:r>
        <w:r w:rsidRPr="00BF6E43">
          <w:rPr>
            <w:rStyle w:val="Hyperlink"/>
            <w:rFonts w:cs="Calibri"/>
            <w:szCs w:val="24"/>
          </w:rPr>
          <w:t>P/2018/4</w:t>
        </w:r>
      </w:hyperlink>
      <w:r w:rsidRPr="00BF6E43">
        <w:rPr>
          <w:rFonts w:cs="Calibri"/>
          <w:szCs w:val="24"/>
        </w:rPr>
        <w:t>)).</w:t>
      </w:r>
    </w:p>
    <w:p w14:paraId="606807FF" w14:textId="056355F7" w:rsidR="0020709A" w:rsidRPr="00BF6E43" w:rsidRDefault="0020709A" w:rsidP="00B04609">
      <w:pPr>
        <w:pStyle w:val="Headingb"/>
        <w:rPr>
          <w:rFonts w:cs="Calibri"/>
          <w:bCs/>
        </w:rPr>
      </w:pPr>
      <w:r w:rsidRPr="00BF6E43">
        <w:t>Aplicación de la estrategia de movilización de los recursos de la UIT (Documentos </w:t>
      </w:r>
      <w:hyperlink r:id="rId79" w:history="1">
        <w:r w:rsidRPr="00BF6E43">
          <w:rPr>
            <w:rStyle w:val="Hyperlink"/>
            <w:rFonts w:cs="Calibri"/>
            <w:bCs/>
            <w:spacing w:val="4"/>
            <w:lang w:eastAsia="en-GB"/>
          </w:rPr>
          <w:t>C25/67</w:t>
        </w:r>
      </w:hyperlink>
      <w:r w:rsidRPr="00BF6E43">
        <w:rPr>
          <w:rFonts w:cs="Calibri"/>
          <w:bCs/>
          <w:spacing w:val="4"/>
          <w:lang w:eastAsia="en-GB"/>
        </w:rPr>
        <w:t xml:space="preserve"> y</w:t>
      </w:r>
      <w:r w:rsidR="00316187" w:rsidRPr="00BF6E43">
        <w:rPr>
          <w:rFonts w:cs="Calibri"/>
          <w:bCs/>
          <w:spacing w:val="4"/>
          <w:lang w:eastAsia="en-GB"/>
        </w:rPr>
        <w:t> </w:t>
      </w:r>
      <w:hyperlink r:id="rId80" w:history="1">
        <w:r w:rsidRPr="00BF6E43">
          <w:rPr>
            <w:rStyle w:val="Hyperlink"/>
            <w:rFonts w:cs="Calibri"/>
            <w:bCs/>
            <w:spacing w:val="4"/>
            <w:lang w:eastAsia="en-GB"/>
          </w:rPr>
          <w:t>C25</w:t>
        </w:r>
        <w:bookmarkStart w:id="10" w:name="_Hlt201858962"/>
        <w:bookmarkStart w:id="11" w:name="_Hlt201858963"/>
        <w:r w:rsidRPr="00BF6E43">
          <w:rPr>
            <w:rStyle w:val="Hyperlink"/>
            <w:rFonts w:cs="Calibri"/>
            <w:bCs/>
            <w:spacing w:val="4"/>
            <w:lang w:eastAsia="en-GB"/>
          </w:rPr>
          <w:t>/</w:t>
        </w:r>
        <w:bookmarkEnd w:id="10"/>
        <w:bookmarkEnd w:id="11"/>
        <w:r w:rsidRPr="00BF6E43">
          <w:rPr>
            <w:rStyle w:val="Hyperlink"/>
            <w:rFonts w:cs="Calibri"/>
            <w:bCs/>
            <w:spacing w:val="4"/>
            <w:lang w:eastAsia="en-GB"/>
          </w:rPr>
          <w:t>90</w:t>
        </w:r>
      </w:hyperlink>
      <w:r w:rsidRPr="00BF6E43">
        <w:rPr>
          <w:rFonts w:cs="Calibri"/>
          <w:bCs/>
          <w:spacing w:val="4"/>
          <w:lang w:eastAsia="en-GB"/>
        </w:rPr>
        <w:t>)</w:t>
      </w:r>
    </w:p>
    <w:p w14:paraId="1207B421" w14:textId="77777777" w:rsidR="0020709A" w:rsidRPr="00BF6E43" w:rsidRDefault="0020709A" w:rsidP="0020709A">
      <w:pPr>
        <w:pBdr>
          <w:top w:val="single" w:sz="4" w:space="1" w:color="auto"/>
          <w:left w:val="single" w:sz="4" w:space="4" w:color="auto"/>
          <w:bottom w:val="single" w:sz="4" w:space="1" w:color="auto"/>
          <w:right w:val="single" w:sz="4" w:space="4" w:color="auto"/>
        </w:pBdr>
        <w:jc w:val="both"/>
        <w:rPr>
          <w:rFonts w:eastAsia="Calibri"/>
          <w:szCs w:val="24"/>
        </w:rPr>
      </w:pPr>
      <w:r w:rsidRPr="00BF6E43">
        <w:t>La Comisión recomienda al Consejo que</w:t>
      </w:r>
      <w:r w:rsidRPr="00BF6E43">
        <w:rPr>
          <w:rFonts w:eastAsia="Calibri"/>
          <w:szCs w:val="24"/>
        </w:rPr>
        <w:t>:</w:t>
      </w:r>
    </w:p>
    <w:p w14:paraId="4C961E72" w14:textId="51C3318B" w:rsidR="0020709A" w:rsidRPr="00BF6E43" w:rsidRDefault="0020709A" w:rsidP="000E0168">
      <w:pPr>
        <w:pStyle w:val="enumlev1"/>
        <w:pBdr>
          <w:top w:val="single" w:sz="4" w:space="1" w:color="auto"/>
          <w:left w:val="single" w:sz="4" w:space="4" w:color="auto"/>
          <w:bottom w:val="single" w:sz="4" w:space="1" w:color="auto"/>
          <w:right w:val="single" w:sz="4" w:space="4" w:color="auto"/>
        </w:pBdr>
        <w:spacing w:before="80"/>
        <w:jc w:val="both"/>
        <w:rPr>
          <w:rFonts w:eastAsia="Calibri"/>
          <w:szCs w:val="24"/>
        </w:rPr>
      </w:pPr>
      <w:r w:rsidRPr="00BF6E43">
        <w:rPr>
          <w:rFonts w:eastAsia="Calibri"/>
          <w:szCs w:val="24"/>
        </w:rPr>
        <w:t>•</w:t>
      </w:r>
      <w:r w:rsidRPr="00BF6E43">
        <w:rPr>
          <w:rFonts w:eastAsia="Calibri"/>
          <w:szCs w:val="24"/>
        </w:rPr>
        <w:tab/>
      </w:r>
      <w:r w:rsidRPr="00BF6E43">
        <w:t>tome nota del informe que figura en el Documento </w:t>
      </w:r>
      <w:hyperlink r:id="rId81" w:history="1">
        <w:r w:rsidRPr="00BF6E43">
          <w:rPr>
            <w:rStyle w:val="Hyperlink"/>
            <w:rFonts w:eastAsia="Calibri" w:cs="Calibri"/>
            <w:szCs w:val="24"/>
          </w:rPr>
          <w:t>C25/67</w:t>
        </w:r>
      </w:hyperlink>
      <w:r w:rsidRPr="00BF6E43">
        <w:rPr>
          <w:rFonts w:eastAsia="Calibri"/>
          <w:szCs w:val="24"/>
        </w:rPr>
        <w:t>; y</w:t>
      </w:r>
    </w:p>
    <w:p w14:paraId="361AC7B1" w14:textId="77777777" w:rsidR="0020709A" w:rsidRPr="00BF6E43" w:rsidRDefault="0020709A" w:rsidP="000E0168">
      <w:pPr>
        <w:pStyle w:val="enumlev1"/>
        <w:pBdr>
          <w:top w:val="single" w:sz="4" w:space="1" w:color="auto"/>
          <w:left w:val="single" w:sz="4" w:space="4" w:color="auto"/>
          <w:bottom w:val="single" w:sz="4" w:space="1" w:color="auto"/>
          <w:right w:val="single" w:sz="4" w:space="4" w:color="auto"/>
        </w:pBdr>
        <w:spacing w:before="80"/>
        <w:jc w:val="both"/>
        <w:rPr>
          <w:rFonts w:eastAsia="Calibri"/>
          <w:szCs w:val="24"/>
        </w:rPr>
      </w:pPr>
      <w:r w:rsidRPr="00BF6E43">
        <w:rPr>
          <w:rFonts w:eastAsia="Calibri"/>
          <w:szCs w:val="24"/>
        </w:rPr>
        <w:t>•</w:t>
      </w:r>
      <w:r w:rsidRPr="00BF6E43">
        <w:rPr>
          <w:rFonts w:eastAsia="Calibri"/>
          <w:szCs w:val="24"/>
        </w:rPr>
        <w:tab/>
        <w:t>solicite a la Secretaría la elaboración de una hoja de ruta por fases, con calendarios e hitos definidos, para orientar la implementación de la movilización de recursos y que presente un proyecto de hoja de ruta al GTC-RHF para comentarios, examen y posterior presentación al Consejo en su reunión de 2026.</w:t>
      </w:r>
    </w:p>
    <w:p w14:paraId="3C6BA7B2" w14:textId="02F2B1C6" w:rsidR="0020709A" w:rsidRPr="00BF6E43" w:rsidRDefault="0020709A" w:rsidP="00B04609">
      <w:pPr>
        <w:pStyle w:val="Headingb"/>
      </w:pPr>
      <w:r w:rsidRPr="00BF6E43">
        <w:t>Informes de la DCI sobre cuestiones que afectan a todo el sistema de las Naciones Unidas para 2023-2024 y recomendaciones a los órganos legislativos (Documento </w:t>
      </w:r>
      <w:hyperlink r:id="rId82" w:history="1">
        <w:r w:rsidRPr="00BF6E43">
          <w:rPr>
            <w:rStyle w:val="Hyperlink"/>
            <w:rFonts w:cs="Calibri"/>
            <w:bCs/>
            <w:spacing w:val="4"/>
            <w:szCs w:val="28"/>
            <w:lang w:eastAsia="en-GB"/>
          </w:rPr>
          <w:t>C25/57</w:t>
        </w:r>
      </w:hyperlink>
      <w:r w:rsidRPr="00BF6E43">
        <w:t>)</w:t>
      </w:r>
    </w:p>
    <w:p w14:paraId="090D1BB4" w14:textId="46C2C3F4" w:rsidR="0020709A" w:rsidRPr="00BF6E43" w:rsidRDefault="0020709A" w:rsidP="0020709A">
      <w:pPr>
        <w:pBdr>
          <w:top w:val="single" w:sz="4" w:space="1" w:color="auto"/>
          <w:left w:val="single" w:sz="4" w:space="4" w:color="auto"/>
          <w:bottom w:val="single" w:sz="4" w:space="1" w:color="auto"/>
          <w:right w:val="single" w:sz="4" w:space="4" w:color="auto"/>
        </w:pBdr>
        <w:jc w:val="both"/>
        <w:rPr>
          <w:szCs w:val="24"/>
        </w:rPr>
      </w:pPr>
      <w:r w:rsidRPr="00BF6E43">
        <w:rPr>
          <w:rFonts w:eastAsia="Calibri"/>
          <w:szCs w:val="24"/>
        </w:rPr>
        <w:t>La Comisión recomienda al Consejo que examine y decida aceptar las seis recomendaciones de la DCI contenidas en el Documento </w:t>
      </w:r>
      <w:hyperlink r:id="rId83" w:history="1">
        <w:r w:rsidRPr="00BF6E43">
          <w:rPr>
            <w:rStyle w:val="Hyperlink"/>
            <w:rFonts w:eastAsia="Calibri" w:cs="Calibri"/>
            <w:szCs w:val="24"/>
          </w:rPr>
          <w:t>C25/57</w:t>
        </w:r>
      </w:hyperlink>
      <w:r w:rsidRPr="00BF6E43">
        <w:rPr>
          <w:rFonts w:eastAsia="Calibri"/>
          <w:szCs w:val="24"/>
        </w:rPr>
        <w:t>.</w:t>
      </w:r>
    </w:p>
    <w:p w14:paraId="56EC792B" w14:textId="6E5E0246" w:rsidR="0020709A" w:rsidRPr="00BF6E43" w:rsidRDefault="0020709A" w:rsidP="00B04609">
      <w:pPr>
        <w:pStyle w:val="Headingb"/>
        <w:rPr>
          <w:rFonts w:cs="Calibri"/>
          <w:bCs/>
        </w:rPr>
      </w:pPr>
      <w:r w:rsidRPr="00BF6E43">
        <w:rPr>
          <w:rFonts w:cs="Calibri"/>
          <w:bCs/>
          <w:spacing w:val="4"/>
          <w:lang w:eastAsia="en-GB"/>
        </w:rPr>
        <w:lastRenderedPageBreak/>
        <w:t xml:space="preserve">Informe inicial sobre el examen de la presencia regional de la UIT (Documentos </w:t>
      </w:r>
      <w:hyperlink r:id="rId84" w:history="1">
        <w:r w:rsidRPr="00BF6E43">
          <w:rPr>
            <w:rStyle w:val="Hyperlink"/>
            <w:rFonts w:cs="Calibri"/>
            <w:bCs/>
            <w:spacing w:val="4"/>
            <w:lang w:eastAsia="en-GB"/>
          </w:rPr>
          <w:t>C25/69</w:t>
        </w:r>
      </w:hyperlink>
      <w:r w:rsidRPr="00BF6E43">
        <w:rPr>
          <w:rFonts w:cs="Calibri"/>
          <w:bCs/>
          <w:spacing w:val="4"/>
          <w:lang w:eastAsia="en-GB"/>
        </w:rPr>
        <w:t xml:space="preserve">, </w:t>
      </w:r>
      <w:hyperlink r:id="rId85" w:history="1">
        <w:r w:rsidRPr="00BF6E43">
          <w:rPr>
            <w:rStyle w:val="Hyperlink"/>
            <w:rFonts w:cs="Calibri"/>
            <w:bCs/>
            <w:spacing w:val="4"/>
            <w:lang w:eastAsia="en-GB"/>
          </w:rPr>
          <w:t>C25/88</w:t>
        </w:r>
      </w:hyperlink>
      <w:r w:rsidRPr="00BF6E43">
        <w:rPr>
          <w:rFonts w:cs="Calibri"/>
          <w:bCs/>
          <w:spacing w:val="4"/>
          <w:lang w:eastAsia="en-GB"/>
        </w:rPr>
        <w:t xml:space="preserve">, </w:t>
      </w:r>
      <w:hyperlink r:id="rId86" w:history="1">
        <w:r w:rsidRPr="00BF6E43">
          <w:rPr>
            <w:rStyle w:val="Hyperlink"/>
            <w:rFonts w:cs="Calibri"/>
            <w:bCs/>
            <w:spacing w:val="4"/>
            <w:lang w:eastAsia="en-GB"/>
          </w:rPr>
          <w:t xml:space="preserve">C25/93 </w:t>
        </w:r>
      </w:hyperlink>
      <w:r w:rsidRPr="00BF6E43">
        <w:rPr>
          <w:rFonts w:cs="Calibri"/>
          <w:bCs/>
          <w:spacing w:val="4"/>
          <w:lang w:eastAsia="en-GB"/>
        </w:rPr>
        <w:t xml:space="preserve">y </w:t>
      </w:r>
      <w:hyperlink r:id="rId87" w:history="1">
        <w:r w:rsidRPr="00BF6E43">
          <w:rPr>
            <w:rStyle w:val="Hyperlink"/>
            <w:rFonts w:cs="Calibri"/>
            <w:bCs/>
            <w:spacing w:val="4"/>
            <w:lang w:eastAsia="en-GB"/>
          </w:rPr>
          <w:t>C25/94</w:t>
        </w:r>
      </w:hyperlink>
      <w:r w:rsidRPr="00BF6E43">
        <w:rPr>
          <w:rFonts w:cs="Calibri"/>
          <w:bCs/>
          <w:spacing w:val="4"/>
          <w:lang w:eastAsia="en-GB"/>
        </w:rPr>
        <w:t>)</w:t>
      </w:r>
    </w:p>
    <w:p w14:paraId="48F149FA" w14:textId="77777777" w:rsidR="0020709A" w:rsidRPr="00BF6E43" w:rsidRDefault="0020709A" w:rsidP="0020709A">
      <w:pPr>
        <w:keepNext/>
        <w:pBdr>
          <w:top w:val="single" w:sz="4" w:space="1" w:color="auto"/>
          <w:left w:val="single" w:sz="4" w:space="4" w:color="auto"/>
          <w:bottom w:val="single" w:sz="4" w:space="1" w:color="auto"/>
          <w:right w:val="single" w:sz="4" w:space="4" w:color="auto"/>
        </w:pBdr>
        <w:jc w:val="both"/>
        <w:rPr>
          <w:rFonts w:eastAsia="Calibri"/>
        </w:rPr>
      </w:pPr>
      <w:r w:rsidRPr="00BF6E43">
        <w:t>La Comisión recomienda que el Consejo</w:t>
      </w:r>
      <w:r w:rsidRPr="00BF6E43">
        <w:rPr>
          <w:rFonts w:eastAsia="Calibri"/>
        </w:rPr>
        <w:t>:</w:t>
      </w:r>
    </w:p>
    <w:p w14:paraId="6BAFD01D" w14:textId="1040FB4B" w:rsidR="0020709A" w:rsidRPr="00BF6E43" w:rsidRDefault="0020709A" w:rsidP="000E0168">
      <w:pPr>
        <w:pStyle w:val="enumlev1"/>
        <w:keepNext/>
        <w:pBdr>
          <w:top w:val="single" w:sz="4" w:space="1" w:color="auto"/>
          <w:left w:val="single" w:sz="4" w:space="4" w:color="auto"/>
          <w:bottom w:val="single" w:sz="4" w:space="1" w:color="auto"/>
          <w:right w:val="single" w:sz="4" w:space="4" w:color="auto"/>
        </w:pBdr>
        <w:spacing w:before="80"/>
        <w:jc w:val="both"/>
        <w:rPr>
          <w:rFonts w:eastAsia="Calibri"/>
          <w:szCs w:val="24"/>
        </w:rPr>
      </w:pPr>
      <w:r w:rsidRPr="00BF6E43">
        <w:rPr>
          <w:rFonts w:eastAsia="Calibri"/>
          <w:szCs w:val="24"/>
        </w:rPr>
        <w:t>•</w:t>
      </w:r>
      <w:r w:rsidRPr="00BF6E43">
        <w:rPr>
          <w:rFonts w:eastAsia="Calibri"/>
          <w:szCs w:val="24"/>
        </w:rPr>
        <w:tab/>
        <w:t>tome nota del informe contenido en el Documento </w:t>
      </w:r>
      <w:hyperlink r:id="rId88" w:history="1">
        <w:r w:rsidRPr="00BF6E43">
          <w:rPr>
            <w:rStyle w:val="Hyperlink"/>
            <w:rFonts w:eastAsia="Calibri" w:cs="Calibri"/>
            <w:szCs w:val="24"/>
          </w:rPr>
          <w:t>C25/69(Rev.1)</w:t>
        </w:r>
      </w:hyperlink>
      <w:r w:rsidRPr="00BF6E43">
        <w:rPr>
          <w:rFonts w:eastAsia="Calibri"/>
          <w:szCs w:val="24"/>
        </w:rPr>
        <w:t>; y</w:t>
      </w:r>
    </w:p>
    <w:p w14:paraId="52CFCFA3" w14:textId="50A9E890" w:rsidR="0020709A" w:rsidRPr="00BF6E43" w:rsidRDefault="0020709A" w:rsidP="000E0168">
      <w:pPr>
        <w:pStyle w:val="enumlev1"/>
        <w:pBdr>
          <w:top w:val="single" w:sz="4" w:space="1" w:color="auto"/>
          <w:left w:val="single" w:sz="4" w:space="4" w:color="auto"/>
          <w:bottom w:val="single" w:sz="4" w:space="1" w:color="auto"/>
          <w:right w:val="single" w:sz="4" w:space="4" w:color="auto"/>
        </w:pBdr>
        <w:spacing w:before="80"/>
        <w:jc w:val="both"/>
        <w:rPr>
          <w:rFonts w:eastAsia="Calibri"/>
          <w:szCs w:val="24"/>
        </w:rPr>
      </w:pPr>
      <w:r w:rsidRPr="00BF6E43">
        <w:rPr>
          <w:rFonts w:eastAsia="Calibri"/>
          <w:szCs w:val="24"/>
        </w:rPr>
        <w:t>•</w:t>
      </w:r>
      <w:r w:rsidRPr="00BF6E43">
        <w:rPr>
          <w:rFonts w:eastAsia="Calibri"/>
          <w:szCs w:val="24"/>
        </w:rPr>
        <w:tab/>
        <w:t xml:space="preserve">apruebe la recomendación contenida en el Documento </w:t>
      </w:r>
      <w:hyperlink r:id="rId89" w:history="1">
        <w:r w:rsidRPr="00BF6E43">
          <w:rPr>
            <w:rStyle w:val="Hyperlink"/>
            <w:rFonts w:eastAsia="Calibri" w:cs="Calibri"/>
            <w:szCs w:val="24"/>
          </w:rPr>
          <w:t>C25/DL/6</w:t>
        </w:r>
      </w:hyperlink>
      <w:r w:rsidRPr="00BF6E43">
        <w:rPr>
          <w:rStyle w:val="Hyperlink"/>
          <w:rFonts w:eastAsia="Calibri" w:cs="Calibri"/>
          <w:szCs w:val="24"/>
        </w:rPr>
        <w:t>(Rev.1)</w:t>
      </w:r>
      <w:r w:rsidRPr="00BF6E43">
        <w:rPr>
          <w:rFonts w:eastAsia="Calibri"/>
          <w:szCs w:val="24"/>
        </w:rPr>
        <w:t xml:space="preserve"> y en el Anexo</w:t>
      </w:r>
      <w:r w:rsidR="001C3584" w:rsidRPr="00BF6E43">
        <w:rPr>
          <w:rFonts w:eastAsia="Calibri"/>
          <w:szCs w:val="24"/>
        </w:rPr>
        <w:t> </w:t>
      </w:r>
      <w:r w:rsidRPr="00BF6E43">
        <w:rPr>
          <w:rFonts w:eastAsia="Calibri"/>
          <w:szCs w:val="24"/>
        </w:rPr>
        <w:t>H al presente documento.</w:t>
      </w:r>
    </w:p>
    <w:p w14:paraId="095D77A9" w14:textId="648991F3" w:rsidR="0020709A" w:rsidRPr="00BF6E43" w:rsidRDefault="0020709A" w:rsidP="00B04609">
      <w:pPr>
        <w:pStyle w:val="Headingb"/>
        <w:rPr>
          <w:rFonts w:cs="Calibri"/>
          <w:bCs/>
        </w:rPr>
      </w:pPr>
      <w:r w:rsidRPr="00BF6E43">
        <w:rPr>
          <w:rFonts w:cs="Calibri"/>
          <w:bCs/>
          <w:spacing w:val="4"/>
          <w:lang w:eastAsia="en-GB"/>
        </w:rPr>
        <w:t>Gestión de recursos humanos (Documento </w:t>
      </w:r>
      <w:hyperlink r:id="rId90" w:history="1">
        <w:r w:rsidRPr="00BF6E43">
          <w:rPr>
            <w:rStyle w:val="Hyperlink"/>
            <w:rFonts w:cs="Calibri"/>
            <w:bCs/>
            <w:spacing w:val="4"/>
            <w:lang w:eastAsia="en-GB"/>
          </w:rPr>
          <w:t xml:space="preserve">C25/66 </w:t>
        </w:r>
      </w:hyperlink>
      <w:r w:rsidRPr="00BF6E43">
        <w:rPr>
          <w:rFonts w:cs="Calibri"/>
          <w:bCs/>
          <w:spacing w:val="4"/>
          <w:lang w:eastAsia="en-GB"/>
        </w:rPr>
        <w:t xml:space="preserve">y </w:t>
      </w:r>
      <w:hyperlink r:id="rId91" w:history="1">
        <w:r w:rsidRPr="00BF6E43">
          <w:rPr>
            <w:rStyle w:val="Hyperlink"/>
            <w:rFonts w:cs="Calibri"/>
            <w:bCs/>
            <w:spacing w:val="4"/>
            <w:lang w:eastAsia="en-GB"/>
          </w:rPr>
          <w:t>C25/85(Rev.1)</w:t>
        </w:r>
      </w:hyperlink>
      <w:r w:rsidRPr="00BF6E43">
        <w:rPr>
          <w:rFonts w:cs="Calibri"/>
          <w:bCs/>
          <w:spacing w:val="4"/>
          <w:lang w:eastAsia="en-GB"/>
        </w:rPr>
        <w:t>)</w:t>
      </w:r>
    </w:p>
    <w:p w14:paraId="61C440E5" w14:textId="77777777" w:rsidR="0020709A" w:rsidRPr="00BF6E43" w:rsidRDefault="0020709A" w:rsidP="0020709A">
      <w:pPr>
        <w:pBdr>
          <w:top w:val="single" w:sz="4" w:space="1" w:color="auto"/>
          <w:left w:val="single" w:sz="4" w:space="4" w:color="auto"/>
          <w:bottom w:val="single" w:sz="4" w:space="1" w:color="auto"/>
          <w:right w:val="single" w:sz="4" w:space="4" w:color="auto"/>
        </w:pBdr>
        <w:jc w:val="both"/>
        <w:rPr>
          <w:rFonts w:eastAsia="Calibri"/>
        </w:rPr>
      </w:pPr>
      <w:r w:rsidRPr="00BF6E43">
        <w:t>La Comisión recomienda que el Consejo</w:t>
      </w:r>
      <w:r w:rsidRPr="00BF6E43">
        <w:rPr>
          <w:rFonts w:eastAsia="Calibri"/>
        </w:rPr>
        <w:t>:</w:t>
      </w:r>
    </w:p>
    <w:p w14:paraId="40FA7B5D" w14:textId="06A79467" w:rsidR="0020709A" w:rsidRPr="00BF6E43" w:rsidRDefault="0020709A" w:rsidP="000E0168">
      <w:pPr>
        <w:pStyle w:val="enumlev1"/>
        <w:pBdr>
          <w:top w:val="single" w:sz="4" w:space="1" w:color="auto"/>
          <w:left w:val="single" w:sz="4" w:space="4" w:color="auto"/>
          <w:bottom w:val="single" w:sz="4" w:space="1" w:color="auto"/>
          <w:right w:val="single" w:sz="4" w:space="4" w:color="auto"/>
        </w:pBdr>
        <w:spacing w:before="80"/>
        <w:jc w:val="both"/>
        <w:rPr>
          <w:rFonts w:eastAsia="Calibri"/>
          <w:szCs w:val="24"/>
        </w:rPr>
      </w:pPr>
      <w:r w:rsidRPr="00BF6E43">
        <w:rPr>
          <w:rFonts w:eastAsia="Calibri"/>
          <w:szCs w:val="24"/>
        </w:rPr>
        <w:t>•</w:t>
      </w:r>
      <w:r w:rsidRPr="00BF6E43">
        <w:rPr>
          <w:rFonts w:eastAsia="Calibri"/>
          <w:szCs w:val="24"/>
        </w:rPr>
        <w:tab/>
        <w:t>tome nota del informe contenido en el Documento </w:t>
      </w:r>
      <w:hyperlink r:id="rId92" w:history="1">
        <w:r w:rsidRPr="00BF6E43">
          <w:rPr>
            <w:rStyle w:val="Hyperlink"/>
            <w:rFonts w:eastAsia="Calibri" w:cs="Calibri"/>
            <w:szCs w:val="24"/>
          </w:rPr>
          <w:t>C25/66</w:t>
        </w:r>
      </w:hyperlink>
      <w:r w:rsidRPr="00BF6E43">
        <w:rPr>
          <w:rFonts w:eastAsia="Calibri"/>
          <w:szCs w:val="24"/>
        </w:rPr>
        <w:t>; y</w:t>
      </w:r>
    </w:p>
    <w:p w14:paraId="645B8762" w14:textId="1A61EF9A" w:rsidR="0020709A" w:rsidRPr="00BF6E43" w:rsidRDefault="0020709A" w:rsidP="000E0168">
      <w:pPr>
        <w:pStyle w:val="enumlev1"/>
        <w:pBdr>
          <w:top w:val="single" w:sz="4" w:space="1" w:color="auto"/>
          <w:left w:val="single" w:sz="4" w:space="4" w:color="auto"/>
          <w:bottom w:val="single" w:sz="4" w:space="1" w:color="auto"/>
          <w:right w:val="single" w:sz="4" w:space="4" w:color="auto"/>
        </w:pBdr>
        <w:spacing w:before="80"/>
        <w:jc w:val="both"/>
        <w:rPr>
          <w:szCs w:val="24"/>
        </w:rPr>
      </w:pPr>
      <w:r w:rsidRPr="00BF6E43">
        <w:rPr>
          <w:rFonts w:eastAsia="Calibri"/>
          <w:szCs w:val="24"/>
        </w:rPr>
        <w:t>•</w:t>
      </w:r>
      <w:r w:rsidRPr="00BF6E43">
        <w:rPr>
          <w:rFonts w:eastAsia="Calibri"/>
          <w:szCs w:val="24"/>
        </w:rPr>
        <w:tab/>
        <w:t>transmitir la contribución contenida en el Documento </w:t>
      </w:r>
      <w:hyperlink r:id="rId93" w:history="1">
        <w:r w:rsidRPr="00BF6E43">
          <w:rPr>
            <w:rStyle w:val="Hyperlink"/>
            <w:rFonts w:eastAsia="Calibri"/>
            <w:szCs w:val="24"/>
          </w:rPr>
          <w:t>C25/85(Rev.1)</w:t>
        </w:r>
      </w:hyperlink>
      <w:r w:rsidRPr="00BF6E43">
        <w:rPr>
          <w:rFonts w:eastAsia="Calibri"/>
          <w:szCs w:val="24"/>
        </w:rPr>
        <w:t xml:space="preserve"> a la próxima reunión del GTC-RHF para su ulterior consideración.</w:t>
      </w:r>
    </w:p>
    <w:p w14:paraId="2665AA52" w14:textId="7BAE8FF5" w:rsidR="0020709A" w:rsidRPr="00BF6E43" w:rsidRDefault="0020709A" w:rsidP="00B04609">
      <w:pPr>
        <w:pStyle w:val="Headingb"/>
      </w:pPr>
      <w:r w:rsidRPr="00BF6E43">
        <w:t>Medidas de eficiencia aplicadas en 2023-24 y planes futuros (Documento </w:t>
      </w:r>
      <w:hyperlink r:id="rId94" w:history="1">
        <w:r w:rsidRPr="00BF6E43">
          <w:rPr>
            <w:rStyle w:val="Hyperlink"/>
            <w:rFonts w:cs="Calibri"/>
            <w:bCs/>
            <w:spacing w:val="4"/>
            <w:lang w:eastAsia="en-GB"/>
          </w:rPr>
          <w:t>C25/62</w:t>
        </w:r>
      </w:hyperlink>
      <w:r w:rsidRPr="00BF6E43">
        <w:rPr>
          <w:lang w:eastAsia="en-GB"/>
        </w:rPr>
        <w:t>)</w:t>
      </w:r>
    </w:p>
    <w:p w14:paraId="2543DEF6" w14:textId="63CE6094" w:rsidR="0020709A" w:rsidRPr="00BF6E43" w:rsidRDefault="0020709A" w:rsidP="0020709A">
      <w:pPr>
        <w:pBdr>
          <w:top w:val="single" w:sz="4" w:space="1" w:color="auto"/>
          <w:left w:val="single" w:sz="4" w:space="4" w:color="auto"/>
          <w:bottom w:val="single" w:sz="4" w:space="1" w:color="auto"/>
          <w:right w:val="single" w:sz="4" w:space="4" w:color="auto"/>
        </w:pBdr>
        <w:jc w:val="both"/>
      </w:pPr>
      <w:r w:rsidRPr="00BF6E43">
        <w:rPr>
          <w:rFonts w:eastAsia="Calibri"/>
        </w:rPr>
        <w:t>La Comisión recomienda al Consejo que tome nota del informe contenido en el Documento </w:t>
      </w:r>
      <w:hyperlink r:id="rId95" w:history="1">
        <w:r w:rsidRPr="00BF6E43">
          <w:rPr>
            <w:rStyle w:val="Hyperlink"/>
            <w:rFonts w:eastAsia="Calibri" w:cs="Calibri"/>
            <w:sz w:val="22"/>
            <w:szCs w:val="22"/>
          </w:rPr>
          <w:t>C25/62</w:t>
        </w:r>
      </w:hyperlink>
      <w:r w:rsidRPr="00BF6E43">
        <w:rPr>
          <w:rFonts w:eastAsia="Calibri"/>
        </w:rPr>
        <w:t>.</w:t>
      </w:r>
    </w:p>
    <w:p w14:paraId="37CD4EAC" w14:textId="1310CCDD" w:rsidR="0020709A" w:rsidRPr="00BF6E43" w:rsidRDefault="0020709A" w:rsidP="00B04609">
      <w:pPr>
        <w:pStyle w:val="Headingb"/>
      </w:pPr>
      <w:r w:rsidRPr="00BF6E43">
        <w:rPr>
          <w:lang w:eastAsia="en-GB"/>
        </w:rPr>
        <w:t>Recomendaciones sobre el aumento de la eficacia en la ejecución del presupuesto de la Unión y la racionalización de los gastos (Documento</w:t>
      </w:r>
      <w:r w:rsidRPr="00BF6E43">
        <w:rPr>
          <w:bCs/>
          <w:lang w:eastAsia="en-GB"/>
        </w:rPr>
        <w:t> </w:t>
      </w:r>
      <w:hyperlink r:id="rId96" w:history="1">
        <w:r w:rsidRPr="00BF6E43">
          <w:rPr>
            <w:rStyle w:val="Hyperlink"/>
            <w:rFonts w:cs="Calibri"/>
            <w:bCs/>
            <w:spacing w:val="4"/>
            <w:lang w:eastAsia="en-GB"/>
          </w:rPr>
          <w:t>C25/86</w:t>
        </w:r>
      </w:hyperlink>
      <w:r w:rsidRPr="00BF6E43">
        <w:rPr>
          <w:lang w:eastAsia="en-GB"/>
        </w:rPr>
        <w:t>)</w:t>
      </w:r>
    </w:p>
    <w:p w14:paraId="5A4FE504" w14:textId="611112CA" w:rsidR="0020709A" w:rsidRPr="00BF6E43" w:rsidRDefault="0020709A" w:rsidP="0020709A">
      <w:pPr>
        <w:pBdr>
          <w:top w:val="single" w:sz="4" w:space="1" w:color="auto"/>
          <w:left w:val="single" w:sz="4" w:space="4" w:color="auto"/>
          <w:bottom w:val="single" w:sz="4" w:space="1" w:color="auto"/>
          <w:right w:val="single" w:sz="4" w:space="4" w:color="auto"/>
        </w:pBdr>
        <w:jc w:val="both"/>
        <w:rPr>
          <w:rFonts w:eastAsia="Calibri"/>
          <w:szCs w:val="24"/>
        </w:rPr>
      </w:pPr>
      <w:r w:rsidRPr="00BF6E43">
        <w:rPr>
          <w:rFonts w:eastAsia="Calibri"/>
          <w:szCs w:val="24"/>
        </w:rPr>
        <w:t xml:space="preserve">La Comisión recomienda al Consejo que tome nota de la contribución presentada en el Documento </w:t>
      </w:r>
      <w:hyperlink r:id="rId97" w:history="1">
        <w:r w:rsidRPr="00BF6E43">
          <w:rPr>
            <w:rStyle w:val="Hyperlink"/>
            <w:rFonts w:eastAsia="Calibri" w:cs="Calibri"/>
            <w:szCs w:val="24"/>
          </w:rPr>
          <w:t>C25/86</w:t>
        </w:r>
      </w:hyperlink>
      <w:r w:rsidRPr="00BF6E43">
        <w:rPr>
          <w:rFonts w:eastAsia="Calibri"/>
          <w:szCs w:val="24"/>
        </w:rPr>
        <w:t>.</w:t>
      </w:r>
    </w:p>
    <w:p w14:paraId="46119DB3" w14:textId="247944DB" w:rsidR="0020709A" w:rsidRPr="00BF6E43" w:rsidRDefault="0020709A" w:rsidP="00B04609">
      <w:pPr>
        <w:pStyle w:val="Headingb"/>
      </w:pPr>
      <w:r w:rsidRPr="00BF6E43">
        <w:rPr>
          <w:lang w:eastAsia="en-GB"/>
        </w:rPr>
        <w:t>Informe de la Comisión de Control del Presupuesto de la Asamblea Mundial de Normalización de las Telecomunicaciones (AMNT</w:t>
      </w:r>
      <w:r w:rsidRPr="00BF6E43">
        <w:rPr>
          <w:bCs/>
          <w:lang w:eastAsia="en-GB"/>
        </w:rPr>
        <w:t>-24) (Documento </w:t>
      </w:r>
      <w:hyperlink r:id="rId98" w:history="1">
        <w:r w:rsidRPr="00BF6E43">
          <w:rPr>
            <w:rStyle w:val="Hyperlink"/>
            <w:rFonts w:cs="Calibri"/>
            <w:bCs/>
            <w:lang w:eastAsia="en-GB"/>
          </w:rPr>
          <w:t>C25/13</w:t>
        </w:r>
      </w:hyperlink>
      <w:r w:rsidRPr="00BF6E43">
        <w:rPr>
          <w:lang w:eastAsia="en-GB"/>
        </w:rPr>
        <w:t>)</w:t>
      </w:r>
    </w:p>
    <w:p w14:paraId="2CDBAE4D" w14:textId="4917EE76" w:rsidR="0020709A" w:rsidRPr="00BF6E43" w:rsidRDefault="0020709A" w:rsidP="0020709A">
      <w:pPr>
        <w:pBdr>
          <w:top w:val="single" w:sz="4" w:space="1" w:color="auto"/>
          <w:left w:val="single" w:sz="4" w:space="4" w:color="auto"/>
          <w:bottom w:val="single" w:sz="4" w:space="1" w:color="auto"/>
          <w:right w:val="single" w:sz="4" w:space="4" w:color="auto"/>
        </w:pBdr>
        <w:jc w:val="both"/>
        <w:rPr>
          <w:szCs w:val="24"/>
        </w:rPr>
      </w:pPr>
      <w:r w:rsidRPr="00BF6E43">
        <w:rPr>
          <w:szCs w:val="24"/>
        </w:rPr>
        <w:t>La Comisión recomienda al Consejo que tome nota del Informe presentado en el Documento </w:t>
      </w:r>
      <w:hyperlink r:id="rId99" w:history="1">
        <w:r w:rsidRPr="00BF6E43">
          <w:rPr>
            <w:rStyle w:val="Hyperlink"/>
            <w:rFonts w:cs="Calibri"/>
            <w:szCs w:val="24"/>
          </w:rPr>
          <w:t>C25/13</w:t>
        </w:r>
      </w:hyperlink>
      <w:r w:rsidRPr="00BF6E43">
        <w:rPr>
          <w:rFonts w:eastAsia="Calibri"/>
          <w:szCs w:val="24"/>
        </w:rPr>
        <w:t>.</w:t>
      </w:r>
    </w:p>
    <w:p w14:paraId="02BA8463" w14:textId="17F3EFCC" w:rsidR="0020709A" w:rsidRPr="00BF6E43" w:rsidRDefault="0020709A" w:rsidP="00B04609">
      <w:pPr>
        <w:pStyle w:val="Headingb"/>
      </w:pPr>
      <w:r w:rsidRPr="00BF6E43">
        <w:rPr>
          <w:lang w:eastAsia="en-GB"/>
        </w:rPr>
        <w:t>Modalidades de continuidad de las actividades para las reuniones de la UIT en 2028-2029 (Documento </w:t>
      </w:r>
      <w:hyperlink r:id="rId100" w:history="1">
        <w:r w:rsidRPr="00BF6E43">
          <w:rPr>
            <w:rStyle w:val="Hyperlink"/>
            <w:rFonts w:cs="Calibri"/>
            <w:bCs/>
            <w:lang w:eastAsia="en-GB"/>
          </w:rPr>
          <w:t>C25/60</w:t>
        </w:r>
      </w:hyperlink>
      <w:r w:rsidRPr="00BF6E43">
        <w:rPr>
          <w:lang w:eastAsia="en-GB"/>
        </w:rPr>
        <w:t>)</w:t>
      </w:r>
    </w:p>
    <w:p w14:paraId="48757739" w14:textId="70304C7E" w:rsidR="0020709A" w:rsidRPr="00BF6E43" w:rsidRDefault="0020709A" w:rsidP="0020709A">
      <w:pPr>
        <w:pBdr>
          <w:top w:val="single" w:sz="4" w:space="1" w:color="auto"/>
          <w:left w:val="single" w:sz="4" w:space="4" w:color="auto"/>
          <w:bottom w:val="single" w:sz="4" w:space="1" w:color="auto"/>
          <w:right w:val="single" w:sz="4" w:space="4" w:color="auto"/>
        </w:pBdr>
        <w:jc w:val="both"/>
        <w:rPr>
          <w:rFonts w:eastAsia="Calibri"/>
        </w:rPr>
      </w:pPr>
      <w:r w:rsidRPr="00BF6E43">
        <w:rPr>
          <w:rFonts w:eastAsia="Aptos"/>
        </w:rPr>
        <w:t xml:space="preserve">La Comisión recomienda al Consejo que encargue al GTC-RHF que siga considerando el plan de continuidad de las actividades, partiendo de la información adicional presentada por la </w:t>
      </w:r>
      <w:r w:rsidR="001C3584" w:rsidRPr="00BF6E43">
        <w:rPr>
          <w:rFonts w:eastAsia="Aptos"/>
        </w:rPr>
        <w:t>S</w:t>
      </w:r>
      <w:r w:rsidRPr="00BF6E43">
        <w:rPr>
          <w:rFonts w:eastAsia="Aptos"/>
        </w:rPr>
        <w:t>ecretaría sobre las diferentes opciones y sus repercusiones financieras.</w:t>
      </w:r>
    </w:p>
    <w:p w14:paraId="5D6B9475" w14:textId="7417F27D" w:rsidR="0020709A" w:rsidRPr="00BF6E43" w:rsidRDefault="0020709A" w:rsidP="00B04609">
      <w:pPr>
        <w:pStyle w:val="Headingb"/>
      </w:pPr>
      <w:r w:rsidRPr="00BF6E43">
        <w:t>Refuerzo de la gestión de riesgos y de los sistemas de control interno (Documento </w:t>
      </w:r>
      <w:hyperlink r:id="rId101" w:history="1">
        <w:r w:rsidRPr="00BF6E43">
          <w:rPr>
            <w:rStyle w:val="Hyperlink"/>
            <w:rFonts w:cs="Calibri"/>
            <w:bCs/>
            <w:lang w:eastAsia="en-GB"/>
          </w:rPr>
          <w:t>C25/49</w:t>
        </w:r>
      </w:hyperlink>
      <w:r w:rsidRPr="00BF6E43">
        <w:rPr>
          <w:lang w:eastAsia="en-GB"/>
        </w:rPr>
        <w:t>)</w:t>
      </w:r>
    </w:p>
    <w:p w14:paraId="032B39AE" w14:textId="77777777" w:rsidR="0020709A" w:rsidRPr="00BF6E43" w:rsidRDefault="0020709A" w:rsidP="0020709A">
      <w:pPr>
        <w:pBdr>
          <w:top w:val="single" w:sz="4" w:space="1" w:color="auto"/>
          <w:left w:val="single" w:sz="4" w:space="4" w:color="auto"/>
          <w:bottom w:val="single" w:sz="4" w:space="1" w:color="auto"/>
          <w:right w:val="single" w:sz="4" w:space="4" w:color="auto"/>
        </w:pBdr>
        <w:jc w:val="both"/>
        <w:rPr>
          <w:szCs w:val="24"/>
        </w:rPr>
      </w:pPr>
      <w:r w:rsidRPr="00BF6E43">
        <w:t>La Comisión recomienda al Consejo que</w:t>
      </w:r>
      <w:r w:rsidRPr="00BF6E43">
        <w:rPr>
          <w:szCs w:val="24"/>
        </w:rPr>
        <w:t>:</w:t>
      </w:r>
    </w:p>
    <w:p w14:paraId="2C506E47" w14:textId="35972820" w:rsidR="0020709A" w:rsidRPr="00BF6E43" w:rsidRDefault="0020709A" w:rsidP="000E0168">
      <w:pPr>
        <w:pStyle w:val="enumlev1"/>
        <w:pBdr>
          <w:top w:val="single" w:sz="4" w:space="1" w:color="auto"/>
          <w:left w:val="single" w:sz="4" w:space="4" w:color="auto"/>
          <w:bottom w:val="single" w:sz="4" w:space="1" w:color="auto"/>
          <w:right w:val="single" w:sz="4" w:space="4" w:color="auto"/>
        </w:pBdr>
        <w:spacing w:before="80"/>
        <w:jc w:val="both"/>
        <w:rPr>
          <w:rFonts w:eastAsia="Calibri"/>
          <w:szCs w:val="24"/>
        </w:rPr>
      </w:pPr>
      <w:r w:rsidRPr="00BF6E43">
        <w:rPr>
          <w:szCs w:val="24"/>
        </w:rPr>
        <w:t>•</w:t>
      </w:r>
      <w:r w:rsidRPr="00BF6E43">
        <w:rPr>
          <w:szCs w:val="24"/>
        </w:rPr>
        <w:tab/>
      </w:r>
      <w:r w:rsidRPr="00BF6E43">
        <w:t>tome nota del informe contenido en el Documento </w:t>
      </w:r>
      <w:hyperlink r:id="rId102" w:history="1">
        <w:r w:rsidRPr="00BF6E43">
          <w:rPr>
            <w:rStyle w:val="Hyperlink"/>
            <w:rFonts w:cs="Calibri"/>
            <w:szCs w:val="24"/>
          </w:rPr>
          <w:t>C25/49</w:t>
        </w:r>
      </w:hyperlink>
      <w:r w:rsidRPr="00BF6E43">
        <w:rPr>
          <w:rFonts w:eastAsia="Calibri"/>
          <w:szCs w:val="24"/>
        </w:rPr>
        <w:t xml:space="preserve">; </w:t>
      </w:r>
    </w:p>
    <w:p w14:paraId="24A357C3" w14:textId="77777777" w:rsidR="0020709A" w:rsidRPr="00BF6E43" w:rsidRDefault="0020709A" w:rsidP="000E0168">
      <w:pPr>
        <w:pStyle w:val="enumlev1"/>
        <w:pBdr>
          <w:top w:val="single" w:sz="4" w:space="1" w:color="auto"/>
          <w:left w:val="single" w:sz="4" w:space="4" w:color="auto"/>
          <w:bottom w:val="single" w:sz="4" w:space="1" w:color="auto"/>
          <w:right w:val="single" w:sz="4" w:space="4" w:color="auto"/>
        </w:pBdr>
        <w:spacing w:before="80"/>
        <w:jc w:val="both"/>
        <w:rPr>
          <w:szCs w:val="24"/>
        </w:rPr>
      </w:pPr>
      <w:r w:rsidRPr="00BF6E43">
        <w:rPr>
          <w:szCs w:val="24"/>
        </w:rPr>
        <w:t>•</w:t>
      </w:r>
      <w:r w:rsidRPr="00BF6E43">
        <w:rPr>
          <w:szCs w:val="24"/>
        </w:rPr>
        <w:tab/>
        <w:t>pida a la Secretaría que proporcione al GTC-RHF y al GTC-PEF, en sus próximas reuniones, una lista exhaustiva de riesgos moderados y bajos (riesgos insignificantes), incluidas evaluaciones, medidas de gestión de dichos riesgos y planes de respuesta conexos; y</w:t>
      </w:r>
    </w:p>
    <w:p w14:paraId="296AA6A3" w14:textId="225FFB24" w:rsidR="0020709A" w:rsidRPr="00BF6E43" w:rsidRDefault="0020709A" w:rsidP="000E0168">
      <w:pPr>
        <w:pStyle w:val="enumlev1"/>
        <w:pBdr>
          <w:top w:val="single" w:sz="4" w:space="1" w:color="auto"/>
          <w:left w:val="single" w:sz="4" w:space="4" w:color="auto"/>
          <w:bottom w:val="single" w:sz="4" w:space="1" w:color="auto"/>
          <w:right w:val="single" w:sz="4" w:space="4" w:color="auto"/>
        </w:pBdr>
        <w:spacing w:before="80"/>
        <w:jc w:val="both"/>
        <w:rPr>
          <w:szCs w:val="24"/>
        </w:rPr>
      </w:pPr>
      <w:r w:rsidRPr="00BF6E43">
        <w:rPr>
          <w:szCs w:val="24"/>
        </w:rPr>
        <w:t>•</w:t>
      </w:r>
      <w:r w:rsidRPr="00BF6E43">
        <w:rPr>
          <w:szCs w:val="24"/>
        </w:rPr>
        <w:tab/>
        <w:t xml:space="preserve">solicite a la Secretaría que facilite al GTC-RHF y al GTC-PEF, en sus próximas reuniones, un informe sobre la gestión de los riesgos específicamente identificados por el auditor externo (véanse el fraude al que se alude en el párrafo 2.17 del Documento </w:t>
      </w:r>
      <w:hyperlink r:id="rId103" w:history="1">
        <w:r w:rsidRPr="00BF6E43">
          <w:rPr>
            <w:rStyle w:val="Hyperlink"/>
            <w:szCs w:val="24"/>
          </w:rPr>
          <w:t>C25/41</w:t>
        </w:r>
      </w:hyperlink>
      <w:r w:rsidRPr="00BF6E43">
        <w:rPr>
          <w:szCs w:val="24"/>
        </w:rPr>
        <w:t xml:space="preserve"> y el</w:t>
      </w:r>
      <w:r w:rsidR="001C3584" w:rsidRPr="00BF6E43">
        <w:rPr>
          <w:szCs w:val="24"/>
        </w:rPr>
        <w:t> </w:t>
      </w:r>
      <w:r w:rsidRPr="00BF6E43">
        <w:rPr>
          <w:szCs w:val="24"/>
        </w:rPr>
        <w:t>ASHI en el párrafo 1.26 del Documento C25/41).</w:t>
      </w:r>
    </w:p>
    <w:p w14:paraId="7B878A09" w14:textId="65B18839" w:rsidR="0020709A" w:rsidRPr="000E0168" w:rsidRDefault="0020709A" w:rsidP="00B04609">
      <w:pPr>
        <w:pStyle w:val="Headingb"/>
        <w:rPr>
          <w:rFonts w:cs="Calibri"/>
          <w:bCs/>
          <w:spacing w:val="-2"/>
        </w:rPr>
      </w:pPr>
      <w:r w:rsidRPr="000E0168">
        <w:rPr>
          <w:rFonts w:cs="Calibri"/>
          <w:bCs/>
          <w:spacing w:val="-2"/>
          <w:lang w:eastAsia="en-GB"/>
        </w:rPr>
        <w:lastRenderedPageBreak/>
        <w:t xml:space="preserve">Notificaciones de redes de satélites (Documentos </w:t>
      </w:r>
      <w:hyperlink r:id="rId104" w:history="1">
        <w:r w:rsidRPr="000E0168">
          <w:rPr>
            <w:rStyle w:val="Hyperlink"/>
            <w:rFonts w:cs="Calibri"/>
            <w:bCs/>
            <w:spacing w:val="-2"/>
          </w:rPr>
          <w:t>C25/64</w:t>
        </w:r>
      </w:hyperlink>
      <w:r w:rsidRPr="000E0168">
        <w:rPr>
          <w:rFonts w:cs="Calibri"/>
          <w:bCs/>
          <w:spacing w:val="-2"/>
        </w:rPr>
        <w:t xml:space="preserve">, </w:t>
      </w:r>
      <w:hyperlink r:id="rId105" w:history="1">
        <w:r w:rsidRPr="000E0168">
          <w:rPr>
            <w:rStyle w:val="Hyperlink"/>
            <w:rFonts w:cs="Calibri"/>
            <w:bCs/>
            <w:spacing w:val="-2"/>
          </w:rPr>
          <w:t>C25/16</w:t>
        </w:r>
      </w:hyperlink>
      <w:r w:rsidRPr="000E0168">
        <w:rPr>
          <w:rFonts w:cs="Calibri"/>
          <w:bCs/>
          <w:spacing w:val="-2"/>
        </w:rPr>
        <w:t xml:space="preserve">, </w:t>
      </w:r>
      <w:hyperlink r:id="rId106" w:history="1">
        <w:r w:rsidRPr="000E0168">
          <w:rPr>
            <w:rStyle w:val="Hyperlink"/>
            <w:rFonts w:cs="Calibri"/>
            <w:bCs/>
            <w:spacing w:val="-2"/>
          </w:rPr>
          <w:t>C25/10</w:t>
        </w:r>
      </w:hyperlink>
      <w:r w:rsidRPr="000E0168">
        <w:rPr>
          <w:rFonts w:cs="Calibri"/>
          <w:bCs/>
          <w:spacing w:val="-2"/>
        </w:rPr>
        <w:t xml:space="preserve">, </w:t>
      </w:r>
      <w:hyperlink r:id="rId107" w:history="1">
        <w:r w:rsidRPr="000E0168">
          <w:rPr>
            <w:rStyle w:val="Hyperlink"/>
            <w:rFonts w:cs="Calibri"/>
            <w:bCs/>
            <w:spacing w:val="-2"/>
          </w:rPr>
          <w:t xml:space="preserve">C25/98 </w:t>
        </w:r>
      </w:hyperlink>
      <w:r w:rsidRPr="000E0168">
        <w:rPr>
          <w:rFonts w:cs="Calibri"/>
          <w:bCs/>
          <w:spacing w:val="-2"/>
        </w:rPr>
        <w:t>y </w:t>
      </w:r>
      <w:hyperlink r:id="rId108" w:history="1">
        <w:r w:rsidRPr="000E0168">
          <w:rPr>
            <w:rStyle w:val="Hyperlink"/>
            <w:rFonts w:cs="Calibri"/>
            <w:bCs/>
            <w:spacing w:val="-2"/>
          </w:rPr>
          <w:t>C25/74</w:t>
        </w:r>
      </w:hyperlink>
      <w:r w:rsidRPr="000E0168">
        <w:rPr>
          <w:rFonts w:cs="Calibri"/>
          <w:bCs/>
          <w:spacing w:val="-2"/>
          <w:lang w:eastAsia="en-GB"/>
        </w:rPr>
        <w:t>)</w:t>
      </w:r>
    </w:p>
    <w:p w14:paraId="19C77EC5" w14:textId="77777777" w:rsidR="0020709A" w:rsidRPr="00BF6E43" w:rsidRDefault="0020709A" w:rsidP="0020709A">
      <w:pPr>
        <w:keepNext/>
        <w:pBdr>
          <w:top w:val="single" w:sz="4" w:space="1" w:color="auto"/>
          <w:left w:val="single" w:sz="4" w:space="0" w:color="auto"/>
          <w:bottom w:val="single" w:sz="4" w:space="1" w:color="auto"/>
          <w:right w:val="single" w:sz="4" w:space="4" w:color="auto"/>
        </w:pBdr>
        <w:jc w:val="both"/>
        <w:rPr>
          <w:szCs w:val="24"/>
        </w:rPr>
      </w:pPr>
      <w:r w:rsidRPr="00BF6E43">
        <w:rPr>
          <w:szCs w:val="24"/>
        </w:rPr>
        <w:t>La Comisión recomienda al Consejo que:</w:t>
      </w:r>
    </w:p>
    <w:p w14:paraId="15571D04" w14:textId="426BCF9D" w:rsidR="0020709A" w:rsidRPr="00BF6E43" w:rsidRDefault="0020709A" w:rsidP="000E0168">
      <w:pPr>
        <w:pStyle w:val="enumlev1"/>
        <w:pBdr>
          <w:top w:val="single" w:sz="4" w:space="1" w:color="auto"/>
          <w:left w:val="single" w:sz="4" w:space="0" w:color="auto"/>
          <w:bottom w:val="single" w:sz="4" w:space="1" w:color="auto"/>
          <w:right w:val="single" w:sz="4" w:space="4" w:color="auto"/>
        </w:pBdr>
        <w:spacing w:before="80"/>
        <w:jc w:val="both"/>
        <w:rPr>
          <w:rFonts w:eastAsia="Calibri"/>
          <w:szCs w:val="24"/>
        </w:rPr>
      </w:pPr>
      <w:r w:rsidRPr="00BF6E43">
        <w:rPr>
          <w:szCs w:val="24"/>
        </w:rPr>
        <w:t>•</w:t>
      </w:r>
      <w:r w:rsidRPr="00BF6E43">
        <w:rPr>
          <w:szCs w:val="24"/>
        </w:rPr>
        <w:tab/>
        <w:t xml:space="preserve">exprese su agradecimiento al GE-Acuerdo 482 y a su Presidenta por su trabajo y tome nota del Documento </w:t>
      </w:r>
      <w:hyperlink r:id="rId109" w:history="1">
        <w:r w:rsidRPr="00BF6E43">
          <w:rPr>
            <w:rStyle w:val="Hyperlink"/>
            <w:rFonts w:cs="Calibri"/>
            <w:szCs w:val="24"/>
          </w:rPr>
          <w:t>C25/10</w:t>
        </w:r>
      </w:hyperlink>
      <w:r w:rsidRPr="00BF6E43">
        <w:rPr>
          <w:szCs w:val="24"/>
        </w:rPr>
        <w:t>;</w:t>
      </w:r>
    </w:p>
    <w:p w14:paraId="4A00E6F0" w14:textId="5A93E0CF" w:rsidR="0020709A" w:rsidRPr="00BF6E43" w:rsidRDefault="0020709A" w:rsidP="000E0168">
      <w:pPr>
        <w:pStyle w:val="enumlev1"/>
        <w:pBdr>
          <w:top w:val="single" w:sz="4" w:space="1" w:color="auto"/>
          <w:left w:val="single" w:sz="4" w:space="0" w:color="auto"/>
          <w:bottom w:val="single" w:sz="4" w:space="1" w:color="auto"/>
          <w:right w:val="single" w:sz="4" w:space="4" w:color="auto"/>
        </w:pBdr>
        <w:spacing w:before="80"/>
        <w:jc w:val="both"/>
        <w:rPr>
          <w:szCs w:val="24"/>
        </w:rPr>
      </w:pPr>
      <w:r w:rsidRPr="00BF6E43">
        <w:rPr>
          <w:szCs w:val="24"/>
        </w:rPr>
        <w:t>•</w:t>
      </w:r>
      <w:r w:rsidRPr="00BF6E43">
        <w:rPr>
          <w:szCs w:val="24"/>
        </w:rPr>
        <w:tab/>
        <w:t xml:space="preserve">tome nota de los Documentos </w:t>
      </w:r>
      <w:hyperlink r:id="rId110" w:history="1">
        <w:r w:rsidRPr="00BF6E43">
          <w:rPr>
            <w:rStyle w:val="Hyperlink"/>
            <w:rFonts w:cs="Calibri"/>
            <w:szCs w:val="24"/>
          </w:rPr>
          <w:t>C25/64</w:t>
        </w:r>
      </w:hyperlink>
      <w:r w:rsidRPr="00BF6E43">
        <w:rPr>
          <w:szCs w:val="24"/>
        </w:rPr>
        <w:t xml:space="preserve">, </w:t>
      </w:r>
      <w:hyperlink r:id="rId111" w:history="1">
        <w:r w:rsidRPr="00BF6E43">
          <w:rPr>
            <w:rStyle w:val="Hyperlink"/>
            <w:rFonts w:cs="Calibri"/>
            <w:szCs w:val="24"/>
          </w:rPr>
          <w:t>C25/10</w:t>
        </w:r>
      </w:hyperlink>
      <w:r w:rsidRPr="00BF6E43">
        <w:rPr>
          <w:szCs w:val="24"/>
        </w:rPr>
        <w:t xml:space="preserve">, </w:t>
      </w:r>
      <w:hyperlink r:id="rId112" w:history="1">
        <w:r w:rsidRPr="00BF6E43">
          <w:rPr>
            <w:rStyle w:val="Hyperlink"/>
            <w:rFonts w:cs="Calibri"/>
            <w:szCs w:val="24"/>
          </w:rPr>
          <w:t>C25/16</w:t>
        </w:r>
      </w:hyperlink>
      <w:r w:rsidRPr="00BF6E43">
        <w:rPr>
          <w:szCs w:val="24"/>
        </w:rPr>
        <w:t xml:space="preserve">, </w:t>
      </w:r>
      <w:hyperlink r:id="rId113" w:history="1">
        <w:r w:rsidRPr="00BF6E43">
          <w:rPr>
            <w:rStyle w:val="Hyperlink"/>
            <w:rFonts w:cs="Calibri"/>
            <w:szCs w:val="24"/>
          </w:rPr>
          <w:t xml:space="preserve">C25/98 </w:t>
        </w:r>
      </w:hyperlink>
      <w:r w:rsidRPr="00BF6E43">
        <w:rPr>
          <w:szCs w:val="24"/>
        </w:rPr>
        <w:t xml:space="preserve">y </w:t>
      </w:r>
      <w:hyperlink r:id="rId114" w:history="1">
        <w:r w:rsidRPr="00BF6E43">
          <w:rPr>
            <w:rStyle w:val="Hyperlink"/>
            <w:rFonts w:cs="Calibri"/>
            <w:szCs w:val="24"/>
          </w:rPr>
          <w:t>C25/74</w:t>
        </w:r>
      </w:hyperlink>
      <w:r w:rsidRPr="00BF6E43">
        <w:rPr>
          <w:szCs w:val="24"/>
        </w:rPr>
        <w:t>;</w:t>
      </w:r>
    </w:p>
    <w:p w14:paraId="1FA85FC7" w14:textId="3F9F3C5F" w:rsidR="0020709A" w:rsidRPr="00BF6E43" w:rsidRDefault="0020709A" w:rsidP="000E0168">
      <w:pPr>
        <w:pStyle w:val="enumlev1"/>
        <w:pBdr>
          <w:top w:val="single" w:sz="4" w:space="1" w:color="auto"/>
          <w:left w:val="single" w:sz="4" w:space="0" w:color="auto"/>
          <w:bottom w:val="single" w:sz="4" w:space="1" w:color="auto"/>
          <w:right w:val="single" w:sz="4" w:space="4" w:color="auto"/>
        </w:pBdr>
        <w:spacing w:before="80"/>
        <w:jc w:val="both"/>
        <w:rPr>
          <w:szCs w:val="24"/>
        </w:rPr>
      </w:pPr>
      <w:r w:rsidRPr="00BF6E43">
        <w:rPr>
          <w:szCs w:val="24"/>
        </w:rPr>
        <w:t>•</w:t>
      </w:r>
      <w:r w:rsidRPr="00BF6E43">
        <w:rPr>
          <w:szCs w:val="24"/>
        </w:rPr>
        <w:tab/>
        <w:t>para los años presupuestarios 2026 y 2027, fijar un límite máximo de los costes indirectos que se recuperarán mediante las tasas de notificación de redes de satélite al</w:t>
      </w:r>
      <w:r w:rsidR="001C3584" w:rsidRPr="00BF6E43">
        <w:rPr>
          <w:szCs w:val="24"/>
        </w:rPr>
        <w:t> </w:t>
      </w:r>
      <w:r w:rsidRPr="00BF6E43">
        <w:rPr>
          <w:szCs w:val="24"/>
        </w:rPr>
        <w:t>19,15</w:t>
      </w:r>
      <w:r w:rsidR="00316187" w:rsidRPr="00BF6E43">
        <w:rPr>
          <w:szCs w:val="24"/>
        </w:rPr>
        <w:t> </w:t>
      </w:r>
      <w:r w:rsidRPr="00BF6E43">
        <w:rPr>
          <w:szCs w:val="24"/>
        </w:rPr>
        <w:t>% de los costes directos en que incurra la BR;</w:t>
      </w:r>
    </w:p>
    <w:p w14:paraId="196F1FED" w14:textId="5ADBCCB2" w:rsidR="0020709A" w:rsidRPr="00BF6E43" w:rsidRDefault="0020709A" w:rsidP="000E0168">
      <w:pPr>
        <w:pStyle w:val="enumlev1"/>
        <w:pBdr>
          <w:top w:val="single" w:sz="4" w:space="1" w:color="auto"/>
          <w:left w:val="single" w:sz="4" w:space="0" w:color="auto"/>
          <w:bottom w:val="single" w:sz="4" w:space="1" w:color="auto"/>
          <w:right w:val="single" w:sz="4" w:space="4" w:color="auto"/>
        </w:pBdr>
        <w:spacing w:before="80"/>
        <w:jc w:val="both"/>
        <w:rPr>
          <w:szCs w:val="24"/>
        </w:rPr>
      </w:pPr>
      <w:r w:rsidRPr="00BF6E43">
        <w:rPr>
          <w:szCs w:val="24"/>
        </w:rPr>
        <w:t>•</w:t>
      </w:r>
      <w:r w:rsidRPr="00BF6E43">
        <w:rPr>
          <w:szCs w:val="24"/>
        </w:rPr>
        <w:tab/>
        <w:t>asigne 500</w:t>
      </w:r>
      <w:r w:rsidR="00316187" w:rsidRPr="00BF6E43">
        <w:rPr>
          <w:szCs w:val="24"/>
        </w:rPr>
        <w:t> </w:t>
      </w:r>
      <w:r w:rsidRPr="00BF6E43">
        <w:rPr>
          <w:szCs w:val="24"/>
        </w:rPr>
        <w:t>000</w:t>
      </w:r>
      <w:r w:rsidR="00316187" w:rsidRPr="00BF6E43">
        <w:rPr>
          <w:szCs w:val="24"/>
        </w:rPr>
        <w:t> </w:t>
      </w:r>
      <w:r w:rsidRPr="00BF6E43">
        <w:rPr>
          <w:szCs w:val="24"/>
        </w:rPr>
        <w:t>CHF anuales de las tasas recaudadas al Fondo de Capital para las TIC para el desarrollo de programas informáticos de la BR;</w:t>
      </w:r>
    </w:p>
    <w:p w14:paraId="57287747" w14:textId="69D2DB5A" w:rsidR="0020709A" w:rsidRPr="00BF6E43" w:rsidRDefault="0020709A" w:rsidP="000E0168">
      <w:pPr>
        <w:pStyle w:val="enumlev1"/>
        <w:pBdr>
          <w:top w:val="single" w:sz="4" w:space="1" w:color="auto"/>
          <w:left w:val="single" w:sz="4" w:space="0" w:color="auto"/>
          <w:bottom w:val="single" w:sz="4" w:space="1" w:color="auto"/>
          <w:right w:val="single" w:sz="4" w:space="4" w:color="auto"/>
        </w:pBdr>
        <w:spacing w:before="80"/>
        <w:jc w:val="both"/>
        <w:rPr>
          <w:szCs w:val="24"/>
        </w:rPr>
      </w:pPr>
      <w:r w:rsidRPr="00BF6E43">
        <w:rPr>
          <w:szCs w:val="24"/>
        </w:rPr>
        <w:t>•</w:t>
      </w:r>
      <w:r w:rsidRPr="00BF6E43">
        <w:rPr>
          <w:szCs w:val="24"/>
        </w:rPr>
        <w:tab/>
        <w:t>encargue al GTC-RHF que aclare la definición de costes directos y costes indirectos, en consulta con los Estados Miembros y los Miembros de Sector, y que formule recomendaciones y las someta a la aprobación del Consejo de la UIT en su reunión de</w:t>
      </w:r>
      <w:r w:rsidR="00316187" w:rsidRPr="00BF6E43">
        <w:rPr>
          <w:szCs w:val="24"/>
        </w:rPr>
        <w:t> </w:t>
      </w:r>
      <w:r w:rsidRPr="00BF6E43">
        <w:rPr>
          <w:szCs w:val="24"/>
        </w:rPr>
        <w:t>2026;</w:t>
      </w:r>
    </w:p>
    <w:p w14:paraId="4674B0C4" w14:textId="283E2D23" w:rsidR="0020709A" w:rsidRPr="00BF6E43" w:rsidRDefault="0020709A" w:rsidP="000E0168">
      <w:pPr>
        <w:pStyle w:val="enumlev1"/>
        <w:pBdr>
          <w:top w:val="single" w:sz="4" w:space="1" w:color="auto"/>
          <w:left w:val="single" w:sz="4" w:space="0" w:color="auto"/>
          <w:bottom w:val="single" w:sz="4" w:space="1" w:color="auto"/>
          <w:right w:val="single" w:sz="4" w:space="4" w:color="auto"/>
        </w:pBdr>
        <w:spacing w:before="80"/>
        <w:jc w:val="both"/>
        <w:rPr>
          <w:szCs w:val="24"/>
        </w:rPr>
      </w:pPr>
      <w:r w:rsidRPr="00BF6E43">
        <w:rPr>
          <w:szCs w:val="24"/>
        </w:rPr>
        <w:t>•</w:t>
      </w:r>
      <w:r w:rsidRPr="00BF6E43">
        <w:rPr>
          <w:szCs w:val="24"/>
        </w:rPr>
        <w:tab/>
        <w:t>encargue al GTC-RHF que examine el modelo de costes actual diseñado en virtud del</w:t>
      </w:r>
      <w:r w:rsidR="001C3584" w:rsidRPr="00BF6E43">
        <w:rPr>
          <w:szCs w:val="24"/>
        </w:rPr>
        <w:t> </w:t>
      </w:r>
      <w:r w:rsidRPr="00BF6E43">
        <w:rPr>
          <w:szCs w:val="24"/>
        </w:rPr>
        <w:t>Acuerdo 535, evaluando su aplicabilidad a la recuperación de costes de las notificaciones de satélites, y formule recomendaciones sobre un modelo de costes adecuado y las presente al Consejo de la UIT en su reunión de 2026;</w:t>
      </w:r>
    </w:p>
    <w:p w14:paraId="05AE1E1B" w14:textId="32972E89" w:rsidR="0020709A" w:rsidRPr="00BF6E43" w:rsidRDefault="0020709A" w:rsidP="000E0168">
      <w:pPr>
        <w:pStyle w:val="enumlev1"/>
        <w:pBdr>
          <w:top w:val="single" w:sz="4" w:space="1" w:color="auto"/>
          <w:left w:val="single" w:sz="4" w:space="0" w:color="auto"/>
          <w:bottom w:val="single" w:sz="4" w:space="1" w:color="auto"/>
          <w:right w:val="single" w:sz="4" w:space="4" w:color="auto"/>
        </w:pBdr>
        <w:spacing w:before="80"/>
        <w:jc w:val="both"/>
      </w:pPr>
      <w:r w:rsidRPr="00BF6E43">
        <w:rPr>
          <w:szCs w:val="24"/>
        </w:rPr>
        <w:t>•</w:t>
      </w:r>
      <w:r w:rsidRPr="00BF6E43">
        <w:rPr>
          <w:szCs w:val="24"/>
        </w:rPr>
        <w:tab/>
      </w:r>
      <w:r w:rsidRPr="00BF6E43">
        <w:t>basándose en la definición de costes directos y costes indirectos aprobada por el</w:t>
      </w:r>
      <w:r w:rsidR="001C3584" w:rsidRPr="00BF6E43">
        <w:t> </w:t>
      </w:r>
      <w:r w:rsidRPr="00BF6E43">
        <w:t>Consejo, encargue al Grupo de Trabajo del GTC-RHF que siga considerando las tasas de los costes indirectos relacionadas con la recuperación de costes de notificación de redes de satélite, tras el análisis adicional de las categorías de costes indirectos adecuadas aplicables a las notificaciones de redes de satélite, teniendo en cuenta el coste indirecto ya incluido en el Acuerdo 482 adoptado en junio de 2025, y formule recomendaciones y las presente al Consejo de la UIT en su reunión de 2027. El análisis debería tener en cuenta los siguientes aspectos:</w:t>
      </w:r>
    </w:p>
    <w:p w14:paraId="03C5AF8E" w14:textId="0E53EA4F" w:rsidR="0020709A" w:rsidRPr="00BF6E43" w:rsidRDefault="000E0168" w:rsidP="000E0168">
      <w:pPr>
        <w:pStyle w:val="enumlev1"/>
        <w:pBdr>
          <w:top w:val="single" w:sz="4" w:space="1" w:color="auto"/>
          <w:left w:val="single" w:sz="4" w:space="0" w:color="auto"/>
          <w:bottom w:val="single" w:sz="4" w:space="1" w:color="auto"/>
          <w:right w:val="single" w:sz="4" w:space="4" w:color="auto"/>
        </w:pBdr>
        <w:spacing w:before="80"/>
        <w:ind w:left="1134" w:hanging="1134"/>
        <w:jc w:val="both"/>
        <w:rPr>
          <w:szCs w:val="24"/>
        </w:rPr>
      </w:pPr>
      <w:r>
        <w:rPr>
          <w:szCs w:val="24"/>
        </w:rPr>
        <w:tab/>
      </w:r>
      <w:r w:rsidR="0020709A" w:rsidRPr="00BF6E43">
        <w:rPr>
          <w:szCs w:val="24"/>
        </w:rPr>
        <w:t>a)</w:t>
      </w:r>
      <w:r w:rsidR="0020709A" w:rsidRPr="00BF6E43">
        <w:rPr>
          <w:szCs w:val="24"/>
        </w:rPr>
        <w:tab/>
        <w:t>la necesidad de utilizar un modelo abierto y transparente que delimite la categorización y evaluación de los costes indirectos y la aplicación de los cánones;</w:t>
      </w:r>
    </w:p>
    <w:p w14:paraId="51EC8179" w14:textId="44508ECC" w:rsidR="0020709A" w:rsidRPr="00BF6E43" w:rsidRDefault="000E0168" w:rsidP="000E0168">
      <w:pPr>
        <w:pStyle w:val="enumlev1"/>
        <w:pBdr>
          <w:top w:val="single" w:sz="4" w:space="1" w:color="auto"/>
          <w:left w:val="single" w:sz="4" w:space="0" w:color="auto"/>
          <w:bottom w:val="single" w:sz="4" w:space="1" w:color="auto"/>
          <w:right w:val="single" w:sz="4" w:space="4" w:color="auto"/>
        </w:pBdr>
        <w:spacing w:before="80"/>
        <w:ind w:left="1134" w:hanging="1134"/>
        <w:jc w:val="both"/>
        <w:rPr>
          <w:szCs w:val="24"/>
        </w:rPr>
      </w:pPr>
      <w:r>
        <w:rPr>
          <w:szCs w:val="24"/>
        </w:rPr>
        <w:tab/>
      </w:r>
      <w:r w:rsidR="0020709A" w:rsidRPr="00BF6E43">
        <w:rPr>
          <w:szCs w:val="24"/>
        </w:rPr>
        <w:t>b)</w:t>
      </w:r>
      <w:r w:rsidR="0020709A" w:rsidRPr="00BF6E43">
        <w:rPr>
          <w:szCs w:val="24"/>
        </w:rPr>
        <w:tab/>
        <w:t>la necesidad de establecer niveles razonables de asignación de costes indirectos, teniendo en cuenta la Resolución 91 (Rev. Guadalajara, 2010);</w:t>
      </w:r>
    </w:p>
    <w:p w14:paraId="792FE335" w14:textId="618312FE" w:rsidR="0020709A" w:rsidRPr="00BF6E43" w:rsidRDefault="000E0168" w:rsidP="000E0168">
      <w:pPr>
        <w:pStyle w:val="enumlev1"/>
        <w:pBdr>
          <w:top w:val="single" w:sz="4" w:space="1" w:color="auto"/>
          <w:left w:val="single" w:sz="4" w:space="0" w:color="auto"/>
          <w:bottom w:val="single" w:sz="4" w:space="1" w:color="auto"/>
          <w:right w:val="single" w:sz="4" w:space="4" w:color="auto"/>
        </w:pBdr>
        <w:spacing w:before="80"/>
        <w:ind w:left="1134" w:hanging="1134"/>
        <w:jc w:val="both"/>
        <w:rPr>
          <w:szCs w:val="24"/>
        </w:rPr>
      </w:pPr>
      <w:r>
        <w:rPr>
          <w:szCs w:val="24"/>
        </w:rPr>
        <w:tab/>
      </w:r>
      <w:r w:rsidR="0020709A" w:rsidRPr="00BF6E43">
        <w:rPr>
          <w:szCs w:val="24"/>
        </w:rPr>
        <w:t>c)</w:t>
      </w:r>
      <w:r w:rsidR="0020709A" w:rsidRPr="00BF6E43">
        <w:rPr>
          <w:szCs w:val="24"/>
        </w:rPr>
        <w:tab/>
        <w:t>la evaluación de los costes directos e indirectos de la gratuidad de las notificaciones y otras posibles exenciones a la recuperación de los costes de notificación de redes de satélites;</w:t>
      </w:r>
    </w:p>
    <w:p w14:paraId="3D2C69CE" w14:textId="7C7C8B90" w:rsidR="0020709A" w:rsidRPr="00BF6E43" w:rsidRDefault="000E0168" w:rsidP="000E0168">
      <w:pPr>
        <w:pStyle w:val="enumlev1"/>
        <w:pBdr>
          <w:top w:val="single" w:sz="4" w:space="1" w:color="auto"/>
          <w:left w:val="single" w:sz="4" w:space="0" w:color="auto"/>
          <w:bottom w:val="single" w:sz="4" w:space="1" w:color="auto"/>
          <w:right w:val="single" w:sz="4" w:space="4" w:color="auto"/>
        </w:pBdr>
        <w:spacing w:before="80"/>
        <w:ind w:left="1134" w:hanging="1134"/>
        <w:jc w:val="both"/>
        <w:rPr>
          <w:szCs w:val="24"/>
        </w:rPr>
      </w:pPr>
      <w:r>
        <w:rPr>
          <w:szCs w:val="24"/>
        </w:rPr>
        <w:tab/>
      </w:r>
      <w:r w:rsidR="0020709A" w:rsidRPr="00BF6E43">
        <w:rPr>
          <w:szCs w:val="24"/>
        </w:rPr>
        <w:t>d)</w:t>
      </w:r>
      <w:r w:rsidR="0020709A" w:rsidRPr="00BF6E43">
        <w:rPr>
          <w:szCs w:val="24"/>
        </w:rPr>
        <w:tab/>
        <w:t>la necesidad de todos los Estados Miembros, y en particular de los países en desarrollo, de asegurar que la recuperación de costes no genera obstáculos a la entrada en el despliegue de redes de satélites; y</w:t>
      </w:r>
    </w:p>
    <w:p w14:paraId="6BE3DFEC" w14:textId="510305BA" w:rsidR="0020709A" w:rsidRPr="00BF6E43" w:rsidRDefault="000E0168" w:rsidP="000E0168">
      <w:pPr>
        <w:pStyle w:val="enumlev1"/>
        <w:pBdr>
          <w:top w:val="single" w:sz="4" w:space="1" w:color="auto"/>
          <w:left w:val="single" w:sz="4" w:space="0" w:color="auto"/>
          <w:bottom w:val="single" w:sz="4" w:space="1" w:color="auto"/>
          <w:right w:val="single" w:sz="4" w:space="4" w:color="auto"/>
        </w:pBdr>
        <w:spacing w:before="80"/>
        <w:ind w:left="1134" w:hanging="1134"/>
        <w:jc w:val="both"/>
        <w:rPr>
          <w:szCs w:val="24"/>
        </w:rPr>
      </w:pPr>
      <w:r>
        <w:rPr>
          <w:szCs w:val="24"/>
        </w:rPr>
        <w:tab/>
      </w:r>
      <w:r w:rsidR="0020709A" w:rsidRPr="00BF6E43">
        <w:rPr>
          <w:szCs w:val="24"/>
        </w:rPr>
        <w:t>e)</w:t>
      </w:r>
      <w:r w:rsidR="0020709A" w:rsidRPr="00BF6E43">
        <w:rPr>
          <w:szCs w:val="24"/>
        </w:rPr>
        <w:tab/>
        <w:t>el fortalecimiento de la estabilidad financiera, incluida la consideración de las posibles repercusiones del aumento de las tasas en el volumen de notificaciones, a reserva de que se evite cualquier efecto negativo en el desarrollo y la utilización sostenibles y equitativos de los recursos de satélites;</w:t>
      </w:r>
    </w:p>
    <w:p w14:paraId="201243A4" w14:textId="00E74F9A" w:rsidR="0020709A" w:rsidRPr="00BF6E43" w:rsidRDefault="0020709A" w:rsidP="00191FAE">
      <w:pPr>
        <w:pStyle w:val="enumlev1"/>
        <w:keepLines/>
        <w:pBdr>
          <w:top w:val="single" w:sz="4" w:space="1" w:color="auto"/>
          <w:left w:val="single" w:sz="4" w:space="0" w:color="auto"/>
          <w:bottom w:val="single" w:sz="4" w:space="1" w:color="auto"/>
          <w:right w:val="single" w:sz="4" w:space="4" w:color="auto"/>
        </w:pBdr>
        <w:spacing w:before="80"/>
        <w:jc w:val="both"/>
        <w:rPr>
          <w:szCs w:val="24"/>
        </w:rPr>
      </w:pPr>
      <w:r w:rsidRPr="00BF6E43">
        <w:rPr>
          <w:szCs w:val="24"/>
        </w:rPr>
        <w:lastRenderedPageBreak/>
        <w:t>•</w:t>
      </w:r>
      <w:r w:rsidRPr="00BF6E43">
        <w:rPr>
          <w:szCs w:val="24"/>
        </w:rPr>
        <w:tab/>
        <w:t>solicite a la Secretaría que presente un informe detallado sobre el análisis y las opciones de contabilidad de costes de todos los productos y servicios proporcionados por la UIT al GTC-RHF y al GTC-PEF, para que se tenga en cuenta en la preparación de los Planes Estratégico y Financiero. El análisis debería tener en cuenta los costes indirectos que ya se han incluido en el Acuerdo 482. El análisis también debería considerar otras formas en que la UIT ha aplicado o podría aplicar cánones por costes indirectos a otros bienes y serv</w:t>
      </w:r>
      <w:r w:rsidR="00BF6E43" w:rsidRPr="00BF6E43">
        <w:rPr>
          <w:szCs w:val="24"/>
        </w:rPr>
        <w:t>i</w:t>
      </w:r>
      <w:r w:rsidRPr="00BF6E43">
        <w:rPr>
          <w:szCs w:val="24"/>
        </w:rPr>
        <w:t>cios proporcionados por la UIT de conformidad con la Resolución 91 (Rev.</w:t>
      </w:r>
      <w:r w:rsidR="00316187" w:rsidRPr="00BF6E43">
        <w:rPr>
          <w:szCs w:val="24"/>
        </w:rPr>
        <w:t> </w:t>
      </w:r>
      <w:r w:rsidRPr="00BF6E43">
        <w:rPr>
          <w:szCs w:val="24"/>
        </w:rPr>
        <w:t>Guadalajara, 2010);</w:t>
      </w:r>
    </w:p>
    <w:p w14:paraId="77B9BB6C" w14:textId="77777777" w:rsidR="0020709A" w:rsidRPr="00BF6E43" w:rsidRDefault="0020709A" w:rsidP="0020709A">
      <w:pPr>
        <w:pStyle w:val="enumlev1"/>
        <w:pBdr>
          <w:top w:val="single" w:sz="4" w:space="1" w:color="auto"/>
          <w:left w:val="single" w:sz="4" w:space="0" w:color="auto"/>
          <w:bottom w:val="single" w:sz="4" w:space="1" w:color="auto"/>
          <w:right w:val="single" w:sz="4" w:space="4" w:color="auto"/>
        </w:pBdr>
        <w:jc w:val="both"/>
        <w:rPr>
          <w:szCs w:val="24"/>
        </w:rPr>
      </w:pPr>
      <w:r w:rsidRPr="00BF6E43">
        <w:rPr>
          <w:szCs w:val="24"/>
        </w:rPr>
        <w:t>•</w:t>
      </w:r>
      <w:r w:rsidRPr="00BF6E43">
        <w:rPr>
          <w:szCs w:val="24"/>
        </w:rPr>
        <w:tab/>
        <w:t>invite al GTC-RHF a celebrar consultas entre los Estados Miembros y los Miembros de Sector para comprender las posibles repercusiones de las metodologías de recuperación de costes nuevas, colaborando en todo momento de forma particular con los Miembros de Sector de la industria de satélites; y</w:t>
      </w:r>
    </w:p>
    <w:p w14:paraId="2B581E10" w14:textId="77777777" w:rsidR="0020709A" w:rsidRPr="00BF6E43" w:rsidRDefault="0020709A" w:rsidP="0020709A">
      <w:pPr>
        <w:pStyle w:val="enumlev1"/>
        <w:pBdr>
          <w:top w:val="single" w:sz="4" w:space="1" w:color="auto"/>
          <w:left w:val="single" w:sz="4" w:space="0" w:color="auto"/>
          <w:bottom w:val="single" w:sz="4" w:space="1" w:color="auto"/>
          <w:right w:val="single" w:sz="4" w:space="4" w:color="auto"/>
        </w:pBdr>
        <w:jc w:val="both"/>
        <w:rPr>
          <w:szCs w:val="24"/>
        </w:rPr>
      </w:pPr>
      <w:r w:rsidRPr="00BF6E43">
        <w:rPr>
          <w:szCs w:val="24"/>
        </w:rPr>
        <w:t>•</w:t>
      </w:r>
      <w:r w:rsidRPr="00BF6E43">
        <w:rPr>
          <w:szCs w:val="24"/>
        </w:rPr>
        <w:tab/>
        <w:t>encargue al GTC-RHF que informe al Consejo en su reunión de 2026 de las directrices para evaluar los costes indirectos relacionados con la notificación de redes de satélites.</w:t>
      </w:r>
    </w:p>
    <w:p w14:paraId="6E862127" w14:textId="422344D1" w:rsidR="0020709A" w:rsidRPr="00BF6E43" w:rsidRDefault="0020709A" w:rsidP="0020709A">
      <w:pPr>
        <w:pBdr>
          <w:top w:val="single" w:sz="4" w:space="1" w:color="auto"/>
          <w:left w:val="single" w:sz="4" w:space="0" w:color="auto"/>
          <w:bottom w:val="single" w:sz="4" w:space="1" w:color="auto"/>
          <w:right w:val="single" w:sz="4" w:space="4" w:color="auto"/>
        </w:pBdr>
        <w:jc w:val="both"/>
        <w:rPr>
          <w:szCs w:val="24"/>
        </w:rPr>
      </w:pPr>
      <w:r w:rsidRPr="00BF6E43">
        <w:t>La Comisión recomienda al Consejo que apruebe la revisión del Acuerdo 482 (C01, modificado por última vez C24) que figura en el Document</w:t>
      </w:r>
      <w:r w:rsidRPr="00BF6E43">
        <w:rPr>
          <w:szCs w:val="24"/>
        </w:rPr>
        <w:t xml:space="preserve">o </w:t>
      </w:r>
      <w:hyperlink r:id="rId115" w:history="1">
        <w:r w:rsidRPr="00BF6E43">
          <w:rPr>
            <w:rStyle w:val="Hyperlink"/>
            <w:rFonts w:cs="Calibri"/>
            <w:szCs w:val="24"/>
          </w:rPr>
          <w:t>C25/DT/6</w:t>
        </w:r>
      </w:hyperlink>
      <w:r w:rsidRPr="00BF6E43">
        <w:rPr>
          <w:szCs w:val="24"/>
        </w:rPr>
        <w:t>.</w:t>
      </w:r>
    </w:p>
    <w:p w14:paraId="2AB2D11A" w14:textId="4BBD3825" w:rsidR="0020709A" w:rsidRPr="00BF6E43" w:rsidRDefault="0020709A" w:rsidP="00B04609">
      <w:pPr>
        <w:pStyle w:val="Headingb"/>
      </w:pPr>
      <w:r w:rsidRPr="00BF6E43">
        <w:rPr>
          <w:lang w:eastAsia="en-GB"/>
        </w:rPr>
        <w:t>Consignación del ahorro logrado en la ejecución del presupuesto para 2024 y Fondo de Operaciones de las Exposiciones (Documentos </w:t>
      </w:r>
      <w:hyperlink r:id="rId116" w:history="1">
        <w:r w:rsidRPr="00BF6E43">
          <w:rPr>
            <w:rStyle w:val="Hyperlink"/>
            <w:rFonts w:cs="Calibri"/>
            <w:bCs/>
            <w:lang w:eastAsia="en-GB"/>
          </w:rPr>
          <w:t xml:space="preserve">C25/43 </w:t>
        </w:r>
      </w:hyperlink>
      <w:r w:rsidRPr="00BF6E43">
        <w:rPr>
          <w:lang w:eastAsia="en-GB"/>
        </w:rPr>
        <w:t xml:space="preserve">y </w:t>
      </w:r>
      <w:hyperlink r:id="rId117" w:history="1">
        <w:r w:rsidRPr="00BF6E43">
          <w:rPr>
            <w:rStyle w:val="Hyperlink"/>
            <w:rFonts w:cs="Calibri"/>
            <w:bCs/>
            <w:lang w:eastAsia="en-GB"/>
          </w:rPr>
          <w:t>C25/DL/8</w:t>
        </w:r>
      </w:hyperlink>
      <w:r w:rsidRPr="00BF6E43">
        <w:rPr>
          <w:lang w:eastAsia="en-GB"/>
        </w:rPr>
        <w:t>)</w:t>
      </w:r>
    </w:p>
    <w:p w14:paraId="290C96B5" w14:textId="77777777" w:rsidR="0020709A" w:rsidRPr="00BF6E43" w:rsidRDefault="0020709A" w:rsidP="0020709A">
      <w:pPr>
        <w:pBdr>
          <w:top w:val="single" w:sz="4" w:space="1" w:color="auto"/>
          <w:left w:val="single" w:sz="4" w:space="4" w:color="auto"/>
          <w:bottom w:val="single" w:sz="4" w:space="1" w:color="auto"/>
          <w:right w:val="single" w:sz="4" w:space="4" w:color="auto"/>
        </w:pBdr>
        <w:jc w:val="both"/>
      </w:pPr>
      <w:r w:rsidRPr="00BF6E43">
        <w:t>La Comisión recomienda al Consejo que:</w:t>
      </w:r>
    </w:p>
    <w:p w14:paraId="62FE636F" w14:textId="65C5313D" w:rsidR="0020709A" w:rsidRPr="00BF6E43" w:rsidRDefault="0020709A" w:rsidP="006C01E5">
      <w:pPr>
        <w:pStyle w:val="enumlev1"/>
        <w:pBdr>
          <w:top w:val="single" w:sz="4" w:space="1" w:color="auto"/>
          <w:left w:val="single" w:sz="4" w:space="4" w:color="auto"/>
          <w:bottom w:val="single" w:sz="4" w:space="1" w:color="auto"/>
          <w:right w:val="single" w:sz="4" w:space="4" w:color="auto"/>
        </w:pBdr>
        <w:spacing w:before="80"/>
        <w:jc w:val="both"/>
        <w:rPr>
          <w:szCs w:val="24"/>
        </w:rPr>
      </w:pPr>
      <w:r w:rsidRPr="00BF6E43">
        <w:rPr>
          <w:szCs w:val="24"/>
        </w:rPr>
        <w:t>•</w:t>
      </w:r>
      <w:r w:rsidRPr="00BF6E43">
        <w:rPr>
          <w:szCs w:val="24"/>
        </w:rPr>
        <w:tab/>
        <w:t>tome nota del informe que figura en el Documento </w:t>
      </w:r>
      <w:hyperlink r:id="rId118" w:history="1">
        <w:r w:rsidRPr="00BF6E43">
          <w:rPr>
            <w:rStyle w:val="Hyperlink"/>
            <w:rFonts w:cs="Calibri"/>
            <w:szCs w:val="24"/>
          </w:rPr>
          <w:t>C25/43</w:t>
        </w:r>
      </w:hyperlink>
      <w:r w:rsidRPr="00BF6E43">
        <w:rPr>
          <w:szCs w:val="24"/>
        </w:rPr>
        <w:t xml:space="preserve">; y </w:t>
      </w:r>
    </w:p>
    <w:p w14:paraId="543996AE" w14:textId="1BF7F53D" w:rsidR="0020709A" w:rsidRPr="00BF6E43" w:rsidRDefault="0020709A" w:rsidP="006C01E5">
      <w:pPr>
        <w:pStyle w:val="enumlev1"/>
        <w:pBdr>
          <w:top w:val="single" w:sz="4" w:space="1" w:color="auto"/>
          <w:left w:val="single" w:sz="4" w:space="4" w:color="auto"/>
          <w:bottom w:val="single" w:sz="4" w:space="1" w:color="auto"/>
          <w:right w:val="single" w:sz="4" w:space="4" w:color="auto"/>
        </w:pBdr>
        <w:spacing w:before="80"/>
        <w:jc w:val="both"/>
        <w:rPr>
          <w:szCs w:val="24"/>
        </w:rPr>
      </w:pPr>
      <w:r w:rsidRPr="00BF6E43">
        <w:rPr>
          <w:szCs w:val="24"/>
        </w:rPr>
        <w:t>•</w:t>
      </w:r>
      <w:r w:rsidRPr="00BF6E43">
        <w:rPr>
          <w:szCs w:val="24"/>
        </w:rPr>
        <w:tab/>
        <w:t xml:space="preserve">adopte el proyecto de Resolución que figura en el Documento </w:t>
      </w:r>
      <w:hyperlink r:id="rId119" w:history="1">
        <w:r w:rsidRPr="00BF6E43">
          <w:rPr>
            <w:rStyle w:val="Hyperlink"/>
            <w:rFonts w:cs="Calibri"/>
            <w:szCs w:val="24"/>
          </w:rPr>
          <w:t>C25/DL/8</w:t>
        </w:r>
      </w:hyperlink>
      <w:r w:rsidRPr="00BF6E43">
        <w:rPr>
          <w:szCs w:val="24"/>
        </w:rPr>
        <w:t xml:space="preserve"> y en el Anexo J al mismo.</w:t>
      </w:r>
    </w:p>
    <w:p w14:paraId="405666A1" w14:textId="2AC9BB53" w:rsidR="0020709A" w:rsidRPr="00BF6E43" w:rsidRDefault="0020709A" w:rsidP="00B04609">
      <w:pPr>
        <w:pStyle w:val="Headingb"/>
      </w:pPr>
      <w:r w:rsidRPr="00BF6E43">
        <w:rPr>
          <w:lang w:eastAsia="en-GB"/>
        </w:rPr>
        <w:t>Proyecto de presupuesto bienal de la Unión para 2026-2027 (Documento</w:t>
      </w:r>
      <w:r w:rsidR="003B5416" w:rsidRPr="00BF6E43">
        <w:rPr>
          <w:lang w:eastAsia="en-GB"/>
        </w:rPr>
        <w:t>s</w:t>
      </w:r>
      <w:r w:rsidRPr="00BF6E43">
        <w:rPr>
          <w:lang w:eastAsia="en-GB"/>
        </w:rPr>
        <w:t> </w:t>
      </w:r>
      <w:hyperlink r:id="rId120" w:history="1">
        <w:r w:rsidRPr="00BF6E43">
          <w:rPr>
            <w:rStyle w:val="Hyperlink"/>
            <w:rFonts w:cs="Calibri"/>
            <w:bCs/>
            <w:lang w:eastAsia="en-GB"/>
          </w:rPr>
          <w:t>C25/47</w:t>
        </w:r>
      </w:hyperlink>
      <w:r w:rsidR="003B5416" w:rsidRPr="00BF6E43">
        <w:t xml:space="preserve"> y </w:t>
      </w:r>
      <w:hyperlink r:id="rId121" w:history="1">
        <w:r w:rsidR="003B5416" w:rsidRPr="00BF6E43">
          <w:rPr>
            <w:rStyle w:val="Hyperlink"/>
            <w:lang w:eastAsia="en-GB"/>
          </w:rPr>
          <w:t>DT/5(Rev.1)</w:t>
        </w:r>
      </w:hyperlink>
      <w:r w:rsidRPr="00BF6E43">
        <w:rPr>
          <w:lang w:eastAsia="en-GB"/>
        </w:rPr>
        <w:t>)</w:t>
      </w:r>
    </w:p>
    <w:p w14:paraId="4DAC0B06" w14:textId="77777777" w:rsidR="0020709A" w:rsidRPr="00BF6E43" w:rsidRDefault="0020709A" w:rsidP="0020709A">
      <w:pPr>
        <w:pBdr>
          <w:top w:val="single" w:sz="4" w:space="1" w:color="auto"/>
          <w:left w:val="single" w:sz="4" w:space="4" w:color="auto"/>
          <w:bottom w:val="single" w:sz="4" w:space="1" w:color="auto"/>
          <w:right w:val="single" w:sz="4" w:space="4" w:color="auto"/>
        </w:pBdr>
        <w:jc w:val="both"/>
      </w:pPr>
      <w:r w:rsidRPr="00BF6E43">
        <w:t>La Comisión recomienda que el Consejo:</w:t>
      </w:r>
    </w:p>
    <w:p w14:paraId="5C2FCB88" w14:textId="77777777" w:rsidR="0020709A" w:rsidRPr="00BF6E43" w:rsidRDefault="0020709A" w:rsidP="006C01E5">
      <w:pPr>
        <w:pStyle w:val="enumlev1"/>
        <w:pBdr>
          <w:top w:val="single" w:sz="4" w:space="1" w:color="auto"/>
          <w:left w:val="single" w:sz="4" w:space="4" w:color="auto"/>
          <w:bottom w:val="single" w:sz="4" w:space="1" w:color="auto"/>
          <w:right w:val="single" w:sz="4" w:space="4" w:color="auto"/>
        </w:pBdr>
        <w:spacing w:before="80"/>
        <w:jc w:val="both"/>
        <w:rPr>
          <w:szCs w:val="24"/>
        </w:rPr>
      </w:pPr>
      <w:r w:rsidRPr="00BF6E43">
        <w:rPr>
          <w:rFonts w:cs="Calibri"/>
          <w:szCs w:val="24"/>
        </w:rPr>
        <w:t>•</w:t>
      </w:r>
      <w:r w:rsidRPr="00BF6E43">
        <w:rPr>
          <w:szCs w:val="24"/>
        </w:rPr>
        <w:tab/>
        <w:t>apruebe el proyecto de presupuesto bienal de la Unión para 2026-2027, tal como figura en la Resolución contenida en el Anexo K al presente informe;</w:t>
      </w:r>
    </w:p>
    <w:p w14:paraId="309FFEE4" w14:textId="3FF0A730" w:rsidR="0020709A" w:rsidRPr="00BF6E43" w:rsidRDefault="0020709A" w:rsidP="006C01E5">
      <w:pPr>
        <w:pStyle w:val="enumlev1"/>
        <w:pBdr>
          <w:top w:val="single" w:sz="4" w:space="1" w:color="auto"/>
          <w:left w:val="single" w:sz="4" w:space="4" w:color="auto"/>
          <w:bottom w:val="single" w:sz="4" w:space="1" w:color="auto"/>
          <w:right w:val="single" w:sz="4" w:space="4" w:color="auto"/>
        </w:pBdr>
        <w:spacing w:before="80"/>
        <w:jc w:val="both"/>
        <w:rPr>
          <w:szCs w:val="24"/>
        </w:rPr>
      </w:pPr>
      <w:r w:rsidRPr="00BF6E43">
        <w:rPr>
          <w:szCs w:val="24"/>
        </w:rPr>
        <w:t>•</w:t>
      </w:r>
      <w:r w:rsidRPr="00BF6E43">
        <w:rPr>
          <w:szCs w:val="24"/>
        </w:rPr>
        <w:tab/>
        <w:t>vele por que, a medida que la Secretaría proceda a la reducción global indicada en el</w:t>
      </w:r>
      <w:r w:rsidR="001C3584" w:rsidRPr="00BF6E43">
        <w:rPr>
          <w:szCs w:val="24"/>
        </w:rPr>
        <w:t> </w:t>
      </w:r>
      <w:r w:rsidRPr="00BF6E43">
        <w:rPr>
          <w:szCs w:val="24"/>
        </w:rPr>
        <w:t>Cuadro 1 de la Resolución, las prioridades se establezcan teniendo presente que los tres Sectores deben ser capaces de cumplir sus mandatos de forma eficaz, e informe sobre las medidas adoptadas al GTC-RHF.</w:t>
      </w:r>
    </w:p>
    <w:p w14:paraId="05024C8B" w14:textId="4F55F335" w:rsidR="0020709A" w:rsidRPr="00BF6E43" w:rsidRDefault="0020709A" w:rsidP="00B04609">
      <w:pPr>
        <w:pStyle w:val="Headingb"/>
      </w:pPr>
      <w:r w:rsidRPr="00BF6E43">
        <w:rPr>
          <w:lang w:eastAsia="en-GB"/>
        </w:rPr>
        <w:t xml:space="preserve">Propuesta para el mantenimiento o el aumento del presupuesto para becas de la UIT para el bienio 2026-2027 (Documento </w:t>
      </w:r>
      <w:hyperlink r:id="rId122" w:history="1">
        <w:r w:rsidRPr="00BF6E43">
          <w:rPr>
            <w:rStyle w:val="Hyperlink"/>
            <w:rFonts w:cs="Calibri"/>
            <w:bCs/>
            <w:lang w:eastAsia="en-GB"/>
          </w:rPr>
          <w:t>C25/75</w:t>
        </w:r>
      </w:hyperlink>
      <w:r w:rsidRPr="00BF6E43">
        <w:rPr>
          <w:lang w:eastAsia="en-GB"/>
        </w:rPr>
        <w:t>)</w:t>
      </w:r>
    </w:p>
    <w:p w14:paraId="443F308F" w14:textId="56DA9475" w:rsidR="0020709A" w:rsidRPr="00BF6E43" w:rsidRDefault="0020709A" w:rsidP="0020709A">
      <w:pPr>
        <w:pBdr>
          <w:top w:val="single" w:sz="4" w:space="1" w:color="auto"/>
          <w:left w:val="single" w:sz="4" w:space="4" w:color="auto"/>
          <w:bottom w:val="single" w:sz="4" w:space="1" w:color="auto"/>
          <w:right w:val="single" w:sz="4" w:space="4" w:color="auto"/>
        </w:pBdr>
        <w:jc w:val="both"/>
        <w:rPr>
          <w:szCs w:val="24"/>
        </w:rPr>
      </w:pPr>
      <w:r w:rsidRPr="00BF6E43">
        <w:rPr>
          <w:szCs w:val="24"/>
        </w:rPr>
        <w:t xml:space="preserve">La Comisión recomienda al Consejo que tome nota del Documento </w:t>
      </w:r>
      <w:hyperlink r:id="rId123" w:history="1">
        <w:r w:rsidRPr="00BF6E43">
          <w:rPr>
            <w:rStyle w:val="Hyperlink"/>
            <w:rFonts w:cs="Calibri"/>
            <w:szCs w:val="24"/>
          </w:rPr>
          <w:t>C25/75</w:t>
        </w:r>
      </w:hyperlink>
      <w:r w:rsidRPr="00BF6E43">
        <w:rPr>
          <w:szCs w:val="24"/>
        </w:rPr>
        <w:t>.</w:t>
      </w:r>
    </w:p>
    <w:p w14:paraId="4736C367" w14:textId="77777777" w:rsidR="0020709A" w:rsidRPr="00BF6E43" w:rsidRDefault="0020709A" w:rsidP="00191FAE">
      <w:pPr>
        <w:keepNext/>
        <w:keepLines/>
        <w:jc w:val="both"/>
      </w:pPr>
      <w:r w:rsidRPr="00BF6E43">
        <w:lastRenderedPageBreak/>
        <w:t>5.5</w:t>
      </w:r>
      <w:r w:rsidRPr="00BF6E43">
        <w:tab/>
        <w:t xml:space="preserve">Al aprobar las recomendaciones expuestas, el Consejo </w:t>
      </w:r>
      <w:r w:rsidRPr="00BF6E43">
        <w:rPr>
          <w:b/>
          <w:bCs/>
        </w:rPr>
        <w:t>adopta</w:t>
      </w:r>
      <w:r w:rsidRPr="00BF6E43">
        <w:t xml:space="preserve"> en consecuencia los siguientes textos incluidos en el Documento C25/105(Rev.1):</w:t>
      </w:r>
    </w:p>
    <w:p w14:paraId="1AF31E03" w14:textId="77777777" w:rsidR="0020709A" w:rsidRPr="00BF6E43" w:rsidRDefault="0020709A" w:rsidP="00191FAE">
      <w:pPr>
        <w:pStyle w:val="enumlev2"/>
        <w:keepNext/>
        <w:keepLines/>
        <w:spacing w:before="80"/>
        <w:jc w:val="both"/>
        <w:rPr>
          <w:bCs/>
        </w:rPr>
      </w:pPr>
      <w:r w:rsidRPr="00BF6E43">
        <w:t xml:space="preserve">Anexo A – </w:t>
      </w:r>
      <w:r w:rsidRPr="00BF6E43">
        <w:tab/>
      </w:r>
      <w:r w:rsidRPr="00BF6E43">
        <w:rPr>
          <w:bCs/>
        </w:rPr>
        <w:t>Mandato relativo al examen de la presencia regional de la UIT</w:t>
      </w:r>
    </w:p>
    <w:p w14:paraId="7BD31986" w14:textId="0E4AB036" w:rsidR="0020709A" w:rsidRPr="00BF6E43" w:rsidRDefault="0020709A" w:rsidP="00191FAE">
      <w:pPr>
        <w:pStyle w:val="enumlev2"/>
        <w:keepNext/>
        <w:keepLines/>
        <w:spacing w:before="80"/>
        <w:ind w:left="1701" w:hanging="1134"/>
        <w:jc w:val="both"/>
        <w:rPr>
          <w:bCs/>
        </w:rPr>
      </w:pPr>
      <w:r w:rsidRPr="00BF6E43">
        <w:rPr>
          <w:bCs/>
        </w:rPr>
        <w:t xml:space="preserve">Anexo B – </w:t>
      </w:r>
      <w:r w:rsidRPr="00BF6E43">
        <w:rPr>
          <w:bCs/>
        </w:rPr>
        <w:tab/>
        <w:t>Directrices sobre la gestión de reuniones totalmente virtuales y presenciales con participación a distancia</w:t>
      </w:r>
    </w:p>
    <w:p w14:paraId="6C8731F9" w14:textId="77777777" w:rsidR="0020709A" w:rsidRPr="00BF6E43" w:rsidRDefault="0020709A" w:rsidP="006C01E5">
      <w:pPr>
        <w:pStyle w:val="enumlev2"/>
        <w:spacing w:before="80"/>
        <w:ind w:left="1701" w:hanging="1134"/>
        <w:jc w:val="both"/>
      </w:pPr>
      <w:r w:rsidRPr="00BF6E43">
        <w:t xml:space="preserve">Anexo C – </w:t>
      </w:r>
      <w:r w:rsidRPr="00BF6E43">
        <w:tab/>
        <w:t>Proyecto de Resolución sobre el informe de gestión financiera y los estados financieros auditados para el ejercicio 2024</w:t>
      </w:r>
    </w:p>
    <w:p w14:paraId="199506E2" w14:textId="77777777" w:rsidR="0020709A" w:rsidRPr="00BF6E43" w:rsidRDefault="0020709A" w:rsidP="006C01E5">
      <w:pPr>
        <w:pStyle w:val="enumlev2"/>
        <w:spacing w:before="80"/>
        <w:ind w:left="1701" w:hanging="1134"/>
        <w:jc w:val="both"/>
      </w:pPr>
      <w:r w:rsidRPr="00BF6E43">
        <w:t xml:space="preserve">Anexo D – </w:t>
      </w:r>
      <w:r w:rsidRPr="00BF6E43">
        <w:tab/>
        <w:t>Proyecto de Acuerdo sobre la r</w:t>
      </w:r>
      <w:r w:rsidRPr="00BF6E43">
        <w:rPr>
          <w:bCs/>
        </w:rPr>
        <w:t>enovación del mandato del Auditor Externo (Oficina Nacional de Auditoría (NAO) del Reino Unido) por un periodo de dos años</w:t>
      </w:r>
    </w:p>
    <w:p w14:paraId="0535D576" w14:textId="77777777" w:rsidR="0020709A" w:rsidRPr="00BF6E43" w:rsidRDefault="0020709A" w:rsidP="006C01E5">
      <w:pPr>
        <w:pStyle w:val="enumlev2"/>
        <w:spacing w:before="80"/>
        <w:ind w:left="1701" w:hanging="1134"/>
        <w:jc w:val="both"/>
      </w:pPr>
      <w:r w:rsidRPr="00BF6E43">
        <w:t xml:space="preserve">Anexo E – </w:t>
      </w:r>
      <w:r w:rsidRPr="00BF6E43">
        <w:tab/>
        <w:t>Proyecto de Resolución sobre las condiciones de servicio de los funcionarios de elección de la UIT</w:t>
      </w:r>
    </w:p>
    <w:p w14:paraId="7D4ABCAC" w14:textId="77777777" w:rsidR="0020709A" w:rsidRPr="00BF6E43" w:rsidRDefault="0020709A" w:rsidP="006C01E5">
      <w:pPr>
        <w:pStyle w:val="enumlev2"/>
        <w:spacing w:before="80"/>
        <w:ind w:left="1701" w:hanging="1134"/>
        <w:jc w:val="both"/>
      </w:pPr>
      <w:r w:rsidRPr="00BF6E43">
        <w:t xml:space="preserve">Anexo F – </w:t>
      </w:r>
      <w:r w:rsidRPr="00BF6E43">
        <w:tab/>
        <w:t>Proyecto de Acuerdo sobre el registro en pérdidas y ganancias de los intereses de mora y las cantidades adeudadas incobrables</w:t>
      </w:r>
    </w:p>
    <w:p w14:paraId="37350427" w14:textId="77777777" w:rsidR="0020709A" w:rsidRPr="00BF6E43" w:rsidRDefault="0020709A" w:rsidP="006C01E5">
      <w:pPr>
        <w:pStyle w:val="enumlev2"/>
        <w:spacing w:before="80"/>
        <w:ind w:left="1701" w:hanging="1134"/>
        <w:jc w:val="both"/>
      </w:pPr>
      <w:r w:rsidRPr="00BF6E43">
        <w:t xml:space="preserve">Anexo G – </w:t>
      </w:r>
      <w:r w:rsidRPr="00BF6E43">
        <w:tab/>
        <w:t>Procedimiento para la tramitación de las denuncias de conducta indebida contra funcionarios de elección de la UIT</w:t>
      </w:r>
    </w:p>
    <w:p w14:paraId="07ED14C7" w14:textId="77777777" w:rsidR="0020709A" w:rsidRPr="00BF6E43" w:rsidRDefault="0020709A" w:rsidP="006C01E5">
      <w:pPr>
        <w:pStyle w:val="enumlev2"/>
        <w:spacing w:before="80"/>
        <w:jc w:val="both"/>
      </w:pPr>
      <w:r w:rsidRPr="00BF6E43">
        <w:t>Anexo H –</w:t>
      </w:r>
      <w:r w:rsidRPr="00BF6E43">
        <w:tab/>
        <w:t>Recomendación sobre la presencia regional</w:t>
      </w:r>
    </w:p>
    <w:p w14:paraId="2D42CA25" w14:textId="4C21EE79" w:rsidR="0020709A" w:rsidRPr="00BF6E43" w:rsidRDefault="0020709A" w:rsidP="006C01E5">
      <w:pPr>
        <w:pStyle w:val="enumlev2"/>
        <w:spacing w:before="80"/>
        <w:ind w:left="1701" w:hanging="1134"/>
        <w:jc w:val="both"/>
      </w:pPr>
      <w:r w:rsidRPr="00BF6E43">
        <w:t xml:space="preserve">Anexo I – </w:t>
      </w:r>
      <w:r w:rsidRPr="00BF6E43">
        <w:tab/>
        <w:t>Acuerdo 482 (C01, modificado por última vez C25) sobre la</w:t>
      </w:r>
      <w:r w:rsidR="00931FB7" w:rsidRPr="00BF6E43">
        <w:t xml:space="preserve"> </w:t>
      </w:r>
      <w:r w:rsidRPr="00BF6E43">
        <w:t>aplicación de la recuperación de costes a la tramitación de las notificaciones de redes de satélite</w:t>
      </w:r>
    </w:p>
    <w:p w14:paraId="7651BB97" w14:textId="77777777" w:rsidR="0020709A" w:rsidRPr="00BF6E43" w:rsidRDefault="0020709A" w:rsidP="006C01E5">
      <w:pPr>
        <w:pStyle w:val="enumlev2"/>
        <w:spacing w:before="80"/>
        <w:ind w:left="1701" w:hanging="1134"/>
        <w:jc w:val="both"/>
      </w:pPr>
      <w:r w:rsidRPr="00BF6E43">
        <w:t xml:space="preserve">Anexo J – </w:t>
      </w:r>
      <w:r w:rsidRPr="00BF6E43">
        <w:tab/>
        <w:t>Proyecto de Resolución sobre la asignación de ahorros conseguidos en la ejecución del presupuesto de 2024</w:t>
      </w:r>
    </w:p>
    <w:p w14:paraId="38967B01" w14:textId="77777777" w:rsidR="0020709A" w:rsidRPr="00BF6E43" w:rsidRDefault="0020709A" w:rsidP="006C01E5">
      <w:pPr>
        <w:pStyle w:val="enumlev2"/>
        <w:spacing w:before="80"/>
        <w:ind w:left="1701" w:hanging="1134"/>
        <w:jc w:val="both"/>
      </w:pPr>
      <w:r w:rsidRPr="00BF6E43">
        <w:t xml:space="preserve">Anexo K – </w:t>
      </w:r>
      <w:r w:rsidRPr="00BF6E43">
        <w:tab/>
        <w:t>Proyecto de Resolución sobre el presupuesto bienal de la Unión para 2026-2027</w:t>
      </w:r>
    </w:p>
    <w:p w14:paraId="7FF9A59C" w14:textId="77777777" w:rsidR="0020709A" w:rsidRPr="00BF6E43" w:rsidRDefault="0020709A" w:rsidP="0020709A">
      <w:pPr>
        <w:jc w:val="both"/>
      </w:pPr>
      <w:r w:rsidRPr="00BF6E43">
        <w:t>5.6</w:t>
      </w:r>
      <w:r w:rsidRPr="00BF6E43">
        <w:tab/>
        <w:t xml:space="preserve">Se </w:t>
      </w:r>
      <w:r w:rsidRPr="00BF6E43">
        <w:rPr>
          <w:b/>
          <w:bCs/>
        </w:rPr>
        <w:t>aprueba</w:t>
      </w:r>
      <w:r w:rsidRPr="00BF6E43">
        <w:t>, en su totalidad, el informe de la Presidenta de la Comisión Permanente de Administración y Gestión (Documento C25/105(Rev.1)).</w:t>
      </w:r>
    </w:p>
    <w:p w14:paraId="2753401E" w14:textId="0E9B0C35" w:rsidR="0020709A" w:rsidRPr="00BF6E43" w:rsidRDefault="0020709A" w:rsidP="0020709A">
      <w:pPr>
        <w:jc w:val="both"/>
      </w:pPr>
      <w:r w:rsidRPr="00BF6E43">
        <w:t>5.7</w:t>
      </w:r>
      <w:r w:rsidRPr="00BF6E43">
        <w:tab/>
        <w:t xml:space="preserve">La Presidenta de la Comisión Permanente de Administración y Gestión expresa su agradecimiento a los Estados Miembros por su cooperación y su arduo trabajo, así como a la </w:t>
      </w:r>
      <w:r w:rsidR="00337DAB" w:rsidRPr="00BF6E43">
        <w:t>Secretaría</w:t>
      </w:r>
      <w:r w:rsidRPr="00BF6E43">
        <w:t xml:space="preserve"> por su apoyo.</w:t>
      </w:r>
    </w:p>
    <w:p w14:paraId="3FCF8ED9" w14:textId="77777777" w:rsidR="0020709A" w:rsidRPr="00BF6E43" w:rsidRDefault="0020709A" w:rsidP="00B04609">
      <w:pPr>
        <w:pStyle w:val="Heading1"/>
        <w:rPr>
          <w:szCs w:val="24"/>
        </w:rPr>
      </w:pPr>
      <w:r w:rsidRPr="00BF6E43">
        <w:t>6</w:t>
      </w:r>
      <w:r w:rsidRPr="00BF6E43">
        <w:tab/>
        <w:t>Clausura de la reunión del Consejo</w:t>
      </w:r>
    </w:p>
    <w:bookmarkEnd w:id="6"/>
    <w:p w14:paraId="18A7ED68" w14:textId="33EF937B" w:rsidR="0020709A" w:rsidRPr="00BF6E43" w:rsidRDefault="0020709A" w:rsidP="006C01E5">
      <w:pPr>
        <w:jc w:val="both"/>
      </w:pPr>
      <w:r w:rsidRPr="00BF6E43">
        <w:rPr>
          <w:rFonts w:eastAsia="Calibri"/>
          <w:spacing w:val="-2"/>
          <w:kern w:val="2"/>
          <w:szCs w:val="24"/>
          <w14:ligatures w14:val="standardContextual"/>
        </w:rPr>
        <w:t>6.1</w:t>
      </w:r>
      <w:r w:rsidRPr="00BF6E43">
        <w:rPr>
          <w:rFonts w:eastAsia="Calibri"/>
          <w:spacing w:val="-2"/>
          <w:kern w:val="2"/>
          <w:szCs w:val="24"/>
          <w14:ligatures w14:val="standardContextual"/>
        </w:rPr>
        <w:tab/>
      </w:r>
      <w:r w:rsidRPr="00BF6E43">
        <w:t xml:space="preserve">La Secretaria General pronuncia el discurso que puede consultarse en la siguiente dirección: </w:t>
      </w:r>
      <w:hyperlink r:id="rId124" w:history="1">
        <w:r w:rsidR="00BF6E43" w:rsidRPr="00BF6E43">
          <w:rPr>
            <w:rStyle w:val="Hyperlink"/>
          </w:rPr>
          <w:t>council.itu.int/2025/wp-conten</w:t>
        </w:r>
        <w:r w:rsidR="00BF6E43" w:rsidRPr="00BF6E43">
          <w:rPr>
            <w:rStyle w:val="Hyperlink"/>
          </w:rPr>
          <w:t>t</w:t>
        </w:r>
        <w:r w:rsidR="00BF6E43" w:rsidRPr="00BF6E43">
          <w:rPr>
            <w:rStyle w:val="Hyperlink"/>
          </w:rPr>
          <w:t>/uploads/sites/5/2025/07/Statement-SG-closing-speech-e.pdf</w:t>
        </w:r>
      </w:hyperlink>
      <w:r w:rsidRPr="00BF6E43">
        <w:t>.</w:t>
      </w:r>
    </w:p>
    <w:p w14:paraId="7D4B68B3" w14:textId="34CACBF6" w:rsidR="0020709A" w:rsidRPr="00BF6E43" w:rsidRDefault="0020709A" w:rsidP="006C01E5">
      <w:pPr>
        <w:jc w:val="both"/>
      </w:pPr>
      <w:r w:rsidRPr="00BF6E43">
        <w:t>6.2</w:t>
      </w:r>
      <w:r w:rsidRPr="00BF6E43">
        <w:tab/>
        <w:t xml:space="preserve">La Presidenta pronuncia el discurso que puede consultarse en la siguiente dirección: </w:t>
      </w:r>
      <w:hyperlink r:id="rId125" w:history="1">
        <w:r w:rsidR="00BF6E43" w:rsidRPr="00BF6E43">
          <w:rPr>
            <w:rStyle w:val="Hyperlink"/>
          </w:rPr>
          <w:t>council.itu.int/2025/wp-content/uploa</w:t>
        </w:r>
        <w:r w:rsidR="00BF6E43" w:rsidRPr="00BF6E43">
          <w:rPr>
            <w:rStyle w:val="Hyperlink"/>
          </w:rPr>
          <w:t>d</w:t>
        </w:r>
        <w:r w:rsidR="00BF6E43" w:rsidRPr="00BF6E43">
          <w:rPr>
            <w:rStyle w:val="Hyperlink"/>
          </w:rPr>
          <w:t>s/sites/5/2025/07/Statement-Chair-C25-closing-270625-e.pdf</w:t>
        </w:r>
      </w:hyperlink>
      <w:r w:rsidRPr="00BF6E43">
        <w:t>.</w:t>
      </w:r>
    </w:p>
    <w:p w14:paraId="50FC8487" w14:textId="6D2FFDCE" w:rsidR="0020709A" w:rsidRPr="00BF6E43" w:rsidRDefault="0020709A" w:rsidP="006C01E5">
      <w:pPr>
        <w:jc w:val="both"/>
      </w:pPr>
      <w:r w:rsidRPr="00BF6E43">
        <w:t>6.3</w:t>
      </w:r>
      <w:r w:rsidRPr="00BF6E43">
        <w:tab/>
        <w:t xml:space="preserve">Numerosos consejeros y observadores, dos de los cuales hablan en nombre de sus organizaciones regionales de telecomunicaciones, felicitan a la Presidenta, la más joven en la historia del Consejo, por la destreza con que ha liderado la reunión de 2025 del Consejo. Expresan asimismo su agradecimiento al Vicepresidente del Consejo, a la Presidenta y al Vicepresidente de la Comisión Permanente de Administración y Gestión, a los funcionarios de </w:t>
      </w:r>
      <w:r w:rsidRPr="00BF6E43">
        <w:lastRenderedPageBreak/>
        <w:t xml:space="preserve">elección, a la Secretaria de la Plenaria y a toda la </w:t>
      </w:r>
      <w:r w:rsidR="00337DAB" w:rsidRPr="00BF6E43">
        <w:t>Secretaría</w:t>
      </w:r>
      <w:r w:rsidRPr="00BF6E43">
        <w:t xml:space="preserve"> por su valioso apoyo, así como a los equipos técnicos, incluidos intérpretes y el personal técnico, por su contribución al buen desarrollo de la reunión.</w:t>
      </w:r>
    </w:p>
    <w:p w14:paraId="0274FF4C" w14:textId="77777777" w:rsidR="0020709A" w:rsidRPr="00BF6E43" w:rsidRDefault="0020709A" w:rsidP="006C01E5">
      <w:pPr>
        <w:jc w:val="both"/>
      </w:pPr>
      <w:r w:rsidRPr="00BF6E43">
        <w:t>6.4</w:t>
      </w:r>
      <w:r w:rsidRPr="00BF6E43">
        <w:tab/>
        <w:t>Se proyecta un vídeo en el que se recogen los momentos más destacados de la reunión de 2025 del Consejo.</w:t>
      </w:r>
    </w:p>
    <w:p w14:paraId="5D72A853" w14:textId="77777777" w:rsidR="0020709A" w:rsidRPr="00BF6E43" w:rsidRDefault="0020709A" w:rsidP="006C01E5">
      <w:pPr>
        <w:keepNext/>
        <w:jc w:val="both"/>
      </w:pPr>
      <w:r w:rsidRPr="00BF6E43">
        <w:t>6.5</w:t>
      </w:r>
      <w:r w:rsidRPr="00BF6E43">
        <w:tab/>
        <w:t>La Secretaria General entrega a la Presidenta del Consejo un mazo como obsequio en reconocimiento a su excelente labor al frente del Consejo y de la Comisión.</w:t>
      </w:r>
    </w:p>
    <w:p w14:paraId="12B06E52" w14:textId="77777777" w:rsidR="0020709A" w:rsidRPr="00BF6E43" w:rsidRDefault="0020709A" w:rsidP="006C01E5">
      <w:pPr>
        <w:keepNext/>
        <w:jc w:val="both"/>
      </w:pPr>
      <w:r w:rsidRPr="00BF6E43">
        <w:t>6.6</w:t>
      </w:r>
      <w:r w:rsidRPr="00BF6E43">
        <w:tab/>
        <w:t>La Presidenta declara clausurada la reunión de 2025 del Consejo</w:t>
      </w:r>
      <w:r w:rsidRPr="00BF6E43">
        <w:rPr>
          <w:rFonts w:eastAsia="Calibri"/>
          <w:kern w:val="2"/>
          <w:szCs w:val="24"/>
          <w14:ligatures w14:val="standardContextual"/>
        </w:rPr>
        <w:t>.</w:t>
      </w:r>
      <w:bookmarkEnd w:id="7"/>
    </w:p>
    <w:p w14:paraId="1584F511" w14:textId="77777777" w:rsidR="0020709A" w:rsidRPr="00BF6E43" w:rsidRDefault="0020709A" w:rsidP="0020709A">
      <w:pPr>
        <w:tabs>
          <w:tab w:val="clear" w:pos="567"/>
          <w:tab w:val="clear" w:pos="1134"/>
          <w:tab w:val="clear" w:pos="1701"/>
          <w:tab w:val="clear" w:pos="2268"/>
          <w:tab w:val="clear" w:pos="2835"/>
          <w:tab w:val="left" w:pos="6237"/>
        </w:tabs>
        <w:spacing w:before="480"/>
        <w:jc w:val="both"/>
        <w:rPr>
          <w:szCs w:val="24"/>
        </w:rPr>
      </w:pPr>
      <w:r w:rsidRPr="00BF6E43">
        <w:rPr>
          <w:szCs w:val="24"/>
        </w:rPr>
        <w:t>La Secretaria General:</w:t>
      </w:r>
      <w:r w:rsidRPr="00BF6E43">
        <w:rPr>
          <w:szCs w:val="24"/>
        </w:rPr>
        <w:tab/>
        <w:t>La Presidenta:</w:t>
      </w:r>
    </w:p>
    <w:p w14:paraId="28BA4646" w14:textId="77777777" w:rsidR="0020709A" w:rsidRPr="00DA33AE" w:rsidRDefault="0020709A" w:rsidP="0020709A">
      <w:pPr>
        <w:tabs>
          <w:tab w:val="clear" w:pos="567"/>
          <w:tab w:val="clear" w:pos="1134"/>
          <w:tab w:val="clear" w:pos="1701"/>
          <w:tab w:val="clear" w:pos="2268"/>
          <w:tab w:val="clear" w:pos="2835"/>
          <w:tab w:val="left" w:pos="6237"/>
        </w:tabs>
        <w:spacing w:before="0" w:after="120"/>
        <w:jc w:val="both"/>
        <w:rPr>
          <w:szCs w:val="24"/>
          <w:lang w:val="en-GB"/>
        </w:rPr>
      </w:pPr>
      <w:r w:rsidRPr="00DA33AE">
        <w:rPr>
          <w:szCs w:val="24"/>
          <w:lang w:val="en-GB"/>
        </w:rPr>
        <w:t>D. BOGDAN-MARTIN</w:t>
      </w:r>
      <w:r w:rsidRPr="00DA33AE">
        <w:rPr>
          <w:szCs w:val="24"/>
          <w:lang w:val="en-GB"/>
        </w:rPr>
        <w:tab/>
        <w:t>C. FLUTUR</w:t>
      </w:r>
    </w:p>
    <w:p w14:paraId="199A364E" w14:textId="6CCB7580" w:rsidR="00316187" w:rsidRPr="006C01E5" w:rsidRDefault="006C01E5" w:rsidP="006C01E5">
      <w:pPr>
        <w:spacing w:before="600"/>
        <w:jc w:val="center"/>
      </w:pPr>
      <w:bookmarkStart w:id="12" w:name="_Hlk206164117"/>
      <w:r>
        <w:t>______________</w:t>
      </w:r>
      <w:bookmarkEnd w:id="12"/>
    </w:p>
    <w:sectPr w:rsidR="00316187" w:rsidRPr="006C01E5" w:rsidSect="00C538FC">
      <w:footerReference w:type="default" r:id="rId126"/>
      <w:headerReference w:type="first" r:id="rId127"/>
      <w:footerReference w:type="first" r:id="rId12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97E7A" w14:textId="77777777" w:rsidR="002D17BE" w:rsidRDefault="002D17BE">
      <w:r>
        <w:separator/>
      </w:r>
    </w:p>
  </w:endnote>
  <w:endnote w:type="continuationSeparator" w:id="0">
    <w:p w14:paraId="495A65FF" w14:textId="77777777" w:rsidR="002D17BE" w:rsidRDefault="002D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538215F9" w14:textId="77777777" w:rsidTr="00E31DCE">
      <w:trPr>
        <w:jc w:val="center"/>
      </w:trPr>
      <w:tc>
        <w:tcPr>
          <w:tcW w:w="1803" w:type="dxa"/>
          <w:vAlign w:val="center"/>
        </w:tcPr>
        <w:p w14:paraId="1F561429" w14:textId="0BEB1396" w:rsidR="003273A4" w:rsidRDefault="0020709A" w:rsidP="003273A4">
          <w:pPr>
            <w:pStyle w:val="Header"/>
            <w:jc w:val="left"/>
            <w:rPr>
              <w:noProof/>
            </w:rPr>
          </w:pPr>
          <w:r>
            <w:rPr>
              <w:noProof/>
            </w:rPr>
            <w:t>2501785</w:t>
          </w:r>
        </w:p>
      </w:tc>
      <w:tc>
        <w:tcPr>
          <w:tcW w:w="8261" w:type="dxa"/>
        </w:tcPr>
        <w:p w14:paraId="4450315A" w14:textId="2C255829"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20709A">
            <w:rPr>
              <w:bCs/>
            </w:rPr>
            <w:t>114</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091C7DA"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75CEBABB" w14:textId="77777777" w:rsidTr="00E31DCE">
      <w:trPr>
        <w:jc w:val="center"/>
      </w:trPr>
      <w:tc>
        <w:tcPr>
          <w:tcW w:w="1803" w:type="dxa"/>
          <w:vAlign w:val="center"/>
        </w:tcPr>
        <w:p w14:paraId="78D13C2D"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0DFE74AD" w14:textId="62AF9C40"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20709A">
            <w:rPr>
              <w:bCs/>
            </w:rPr>
            <w:t>114</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6DE8661"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8866" w14:textId="77777777" w:rsidR="002D17BE" w:rsidRDefault="002D17BE">
      <w:r>
        <w:t>____________________</w:t>
      </w:r>
    </w:p>
  </w:footnote>
  <w:footnote w:type="continuationSeparator" w:id="0">
    <w:p w14:paraId="1D7A40AC" w14:textId="77777777" w:rsidR="002D17BE" w:rsidRDefault="002D1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7EC028C4" w14:textId="77777777" w:rsidTr="00666D09">
      <w:trPr>
        <w:trHeight w:val="1104"/>
        <w:jc w:val="center"/>
      </w:trPr>
      <w:tc>
        <w:tcPr>
          <w:tcW w:w="5998" w:type="dxa"/>
          <w:vAlign w:val="center"/>
        </w:tcPr>
        <w:p w14:paraId="04714094"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0721202A" wp14:editId="1CDB95F8">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07C72AC3" w14:textId="77777777" w:rsidR="00666D09" w:rsidRDefault="00666D09" w:rsidP="001559F5">
          <w:pPr>
            <w:pStyle w:val="Header"/>
            <w:jc w:val="right"/>
            <w:rPr>
              <w:rFonts w:ascii="Arial" w:hAnsi="Arial" w:cs="Arial"/>
              <w:b/>
              <w:bCs/>
              <w:color w:val="009CD6"/>
              <w:szCs w:val="18"/>
            </w:rPr>
          </w:pPr>
        </w:p>
      </w:tc>
    </w:tr>
  </w:tbl>
  <w:p w14:paraId="2CE8F4AB"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F15131A" wp14:editId="568A9546">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2291E"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391C77"/>
    <w:multiLevelType w:val="hybridMultilevel"/>
    <w:tmpl w:val="789A2CBC"/>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11D4C"/>
    <w:multiLevelType w:val="hybridMultilevel"/>
    <w:tmpl w:val="A90E0648"/>
    <w:lvl w:ilvl="0" w:tplc="2486767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B683B"/>
    <w:multiLevelType w:val="hybridMultilevel"/>
    <w:tmpl w:val="BA4E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432B9"/>
    <w:multiLevelType w:val="hybridMultilevel"/>
    <w:tmpl w:val="4F7C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F0915"/>
    <w:multiLevelType w:val="hybridMultilevel"/>
    <w:tmpl w:val="5238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B299D"/>
    <w:multiLevelType w:val="hybridMultilevel"/>
    <w:tmpl w:val="66DC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E93A31"/>
    <w:multiLevelType w:val="hybridMultilevel"/>
    <w:tmpl w:val="6F3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15829"/>
    <w:multiLevelType w:val="hybridMultilevel"/>
    <w:tmpl w:val="ED14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03EFB"/>
    <w:multiLevelType w:val="hybridMultilevel"/>
    <w:tmpl w:val="BC54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704F7"/>
    <w:multiLevelType w:val="hybridMultilevel"/>
    <w:tmpl w:val="4088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B152E"/>
    <w:multiLevelType w:val="hybridMultilevel"/>
    <w:tmpl w:val="5594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424DD"/>
    <w:multiLevelType w:val="hybridMultilevel"/>
    <w:tmpl w:val="C4D4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147C5"/>
    <w:multiLevelType w:val="hybridMultilevel"/>
    <w:tmpl w:val="177A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616991"/>
    <w:multiLevelType w:val="hybridMultilevel"/>
    <w:tmpl w:val="0A8A931A"/>
    <w:lvl w:ilvl="0" w:tplc="EDD0D402">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5E0AF9"/>
    <w:multiLevelType w:val="hybridMultilevel"/>
    <w:tmpl w:val="3A0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602374">
    <w:abstractNumId w:val="0"/>
  </w:num>
  <w:num w:numId="2" w16cid:durableId="961761764">
    <w:abstractNumId w:val="2"/>
  </w:num>
  <w:num w:numId="3" w16cid:durableId="1740321889">
    <w:abstractNumId w:val="1"/>
  </w:num>
  <w:num w:numId="4" w16cid:durableId="994183168">
    <w:abstractNumId w:val="13"/>
  </w:num>
  <w:num w:numId="5" w16cid:durableId="474225817">
    <w:abstractNumId w:val="6"/>
  </w:num>
  <w:num w:numId="6" w16cid:durableId="1143960828">
    <w:abstractNumId w:val="7"/>
  </w:num>
  <w:num w:numId="7" w16cid:durableId="1148548973">
    <w:abstractNumId w:val="12"/>
  </w:num>
  <w:num w:numId="8" w16cid:durableId="1471167435">
    <w:abstractNumId w:val="5"/>
  </w:num>
  <w:num w:numId="9" w16cid:durableId="739905324">
    <w:abstractNumId w:val="10"/>
  </w:num>
  <w:num w:numId="10" w16cid:durableId="1352875311">
    <w:abstractNumId w:val="15"/>
  </w:num>
  <w:num w:numId="11" w16cid:durableId="2049449282">
    <w:abstractNumId w:val="3"/>
  </w:num>
  <w:num w:numId="12" w16cid:durableId="416832674">
    <w:abstractNumId w:val="8"/>
  </w:num>
  <w:num w:numId="13" w16cid:durableId="133370588">
    <w:abstractNumId w:val="11"/>
  </w:num>
  <w:num w:numId="14" w16cid:durableId="620302365">
    <w:abstractNumId w:val="4"/>
  </w:num>
  <w:num w:numId="15" w16cid:durableId="1634097243">
    <w:abstractNumId w:val="9"/>
  </w:num>
  <w:num w:numId="16" w16cid:durableId="14424521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9A"/>
    <w:rsid w:val="000007D1"/>
    <w:rsid w:val="000558C4"/>
    <w:rsid w:val="0006007D"/>
    <w:rsid w:val="00093EEB"/>
    <w:rsid w:val="000B0D00"/>
    <w:rsid w:val="000B7C15"/>
    <w:rsid w:val="000D1D0F"/>
    <w:rsid w:val="000E0168"/>
    <w:rsid w:val="000E3F07"/>
    <w:rsid w:val="000F5290"/>
    <w:rsid w:val="0010165C"/>
    <w:rsid w:val="00135964"/>
    <w:rsid w:val="00146BFB"/>
    <w:rsid w:val="001559F5"/>
    <w:rsid w:val="00157AC4"/>
    <w:rsid w:val="0016169C"/>
    <w:rsid w:val="00191FAE"/>
    <w:rsid w:val="001B6E2B"/>
    <w:rsid w:val="001C3584"/>
    <w:rsid w:val="001F14A2"/>
    <w:rsid w:val="0020709A"/>
    <w:rsid w:val="002801AA"/>
    <w:rsid w:val="002946E2"/>
    <w:rsid w:val="002C3F32"/>
    <w:rsid w:val="002C4676"/>
    <w:rsid w:val="002C70B0"/>
    <w:rsid w:val="002D17BE"/>
    <w:rsid w:val="002F3CC4"/>
    <w:rsid w:val="003032E2"/>
    <w:rsid w:val="0031300A"/>
    <w:rsid w:val="00316187"/>
    <w:rsid w:val="003273A4"/>
    <w:rsid w:val="00337DAB"/>
    <w:rsid w:val="0034796E"/>
    <w:rsid w:val="003B5416"/>
    <w:rsid w:val="003D6F72"/>
    <w:rsid w:val="003E16D6"/>
    <w:rsid w:val="00473962"/>
    <w:rsid w:val="004B5D49"/>
    <w:rsid w:val="004D3A3C"/>
    <w:rsid w:val="00513630"/>
    <w:rsid w:val="0052730E"/>
    <w:rsid w:val="00560125"/>
    <w:rsid w:val="00585553"/>
    <w:rsid w:val="005B34D9"/>
    <w:rsid w:val="005D0CCF"/>
    <w:rsid w:val="005F3BCB"/>
    <w:rsid w:val="005F410F"/>
    <w:rsid w:val="0060149A"/>
    <w:rsid w:val="00601924"/>
    <w:rsid w:val="006447EA"/>
    <w:rsid w:val="0064481D"/>
    <w:rsid w:val="0064731F"/>
    <w:rsid w:val="00664572"/>
    <w:rsid w:val="00666D09"/>
    <w:rsid w:val="006710F6"/>
    <w:rsid w:val="00677A97"/>
    <w:rsid w:val="006C01E5"/>
    <w:rsid w:val="006C1B56"/>
    <w:rsid w:val="006D4761"/>
    <w:rsid w:val="00726872"/>
    <w:rsid w:val="00760F1C"/>
    <w:rsid w:val="007657F0"/>
    <w:rsid w:val="0077110E"/>
    <w:rsid w:val="0077252D"/>
    <w:rsid w:val="007955DA"/>
    <w:rsid w:val="007E5DD3"/>
    <w:rsid w:val="007F350B"/>
    <w:rsid w:val="00820BE4"/>
    <w:rsid w:val="008451E8"/>
    <w:rsid w:val="00865E80"/>
    <w:rsid w:val="008E2E42"/>
    <w:rsid w:val="008F6ABC"/>
    <w:rsid w:val="00913B9C"/>
    <w:rsid w:val="00927F93"/>
    <w:rsid w:val="00931FB7"/>
    <w:rsid w:val="00956E77"/>
    <w:rsid w:val="009A338E"/>
    <w:rsid w:val="009E7FA4"/>
    <w:rsid w:val="009F4811"/>
    <w:rsid w:val="00A6581D"/>
    <w:rsid w:val="00A94438"/>
    <w:rsid w:val="00AA390C"/>
    <w:rsid w:val="00B0200A"/>
    <w:rsid w:val="00B04609"/>
    <w:rsid w:val="00B060DF"/>
    <w:rsid w:val="00B574DB"/>
    <w:rsid w:val="00B826C2"/>
    <w:rsid w:val="00B8298E"/>
    <w:rsid w:val="00BB6FD8"/>
    <w:rsid w:val="00BD0723"/>
    <w:rsid w:val="00BD2518"/>
    <w:rsid w:val="00BF1D1C"/>
    <w:rsid w:val="00BF6E43"/>
    <w:rsid w:val="00C20C59"/>
    <w:rsid w:val="00C2727F"/>
    <w:rsid w:val="00C538FC"/>
    <w:rsid w:val="00C55B1F"/>
    <w:rsid w:val="00CF1A67"/>
    <w:rsid w:val="00D2750E"/>
    <w:rsid w:val="00D375E0"/>
    <w:rsid w:val="00D50A36"/>
    <w:rsid w:val="00D62446"/>
    <w:rsid w:val="00DA33AE"/>
    <w:rsid w:val="00DA4EA2"/>
    <w:rsid w:val="00DC3D3E"/>
    <w:rsid w:val="00DC79E1"/>
    <w:rsid w:val="00DE2C90"/>
    <w:rsid w:val="00DE3B24"/>
    <w:rsid w:val="00E06947"/>
    <w:rsid w:val="00E11319"/>
    <w:rsid w:val="00E21444"/>
    <w:rsid w:val="00E34072"/>
    <w:rsid w:val="00E3592D"/>
    <w:rsid w:val="00E50D76"/>
    <w:rsid w:val="00E8018B"/>
    <w:rsid w:val="00E92DE8"/>
    <w:rsid w:val="00EB1212"/>
    <w:rsid w:val="00ED65AB"/>
    <w:rsid w:val="00F12850"/>
    <w:rsid w:val="00F24B71"/>
    <w:rsid w:val="00F33BF4"/>
    <w:rsid w:val="00F477AC"/>
    <w:rsid w:val="00F7105E"/>
    <w:rsid w:val="00F75F57"/>
    <w:rsid w:val="00F82FEE"/>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C1C02"/>
  <w15:docId w15:val="{F3550386-FEDD-47A4-B5D1-78E931C9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B04609"/>
    <w:pPr>
      <w:keepNext/>
      <w:keepLines/>
      <w:spacing w:before="360"/>
      <w:ind w:left="567" w:hanging="567"/>
      <w:outlineLvl w:val="0"/>
    </w:pPr>
    <w:rPr>
      <w:rFonts w:eastAsia="Calibri"/>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qFormat/>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B04609"/>
    <w:pPr>
      <w:spacing w:before="160"/>
      <w:ind w:left="0" w:firstLine="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DA33AE"/>
    <w:rPr>
      <w:color w:val="0070C0"/>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styleId="CommentText">
    <w:name w:val="annotation text"/>
    <w:basedOn w:val="Normal"/>
    <w:link w:val="CommentTextChar"/>
    <w:uiPriority w:val="99"/>
    <w:unhideWhenUsed/>
    <w:rsid w:val="0020709A"/>
    <w:pPr>
      <w:suppressAutoHyphens/>
      <w:overflowPunct/>
      <w:autoSpaceDE/>
      <w:autoSpaceDN/>
      <w:adjustRightInd/>
    </w:pPr>
    <w:rPr>
      <w:sz w:val="20"/>
      <w:lang w:val="en-GB"/>
    </w:rPr>
  </w:style>
  <w:style w:type="character" w:customStyle="1" w:styleId="CommentTextChar">
    <w:name w:val="Comment Text Char"/>
    <w:basedOn w:val="DefaultParagraphFont"/>
    <w:link w:val="CommentText"/>
    <w:uiPriority w:val="99"/>
    <w:rsid w:val="0020709A"/>
    <w:rPr>
      <w:rFonts w:ascii="Calibri" w:hAnsi="Calibri"/>
      <w:lang w:val="en-GB" w:eastAsia="en-US"/>
    </w:rPr>
  </w:style>
  <w:style w:type="paragraph" w:customStyle="1" w:styleId="Object">
    <w:name w:val="Object"/>
    <w:basedOn w:val="Subject"/>
    <w:next w:val="Subject"/>
    <w:rsid w:val="0020709A"/>
    <w:pPr>
      <w:tabs>
        <w:tab w:val="clear" w:pos="709"/>
      </w:tabs>
      <w:ind w:left="1134" w:hanging="1134"/>
    </w:pPr>
    <w:rPr>
      <w:lang w:val="en-GB"/>
    </w:rPr>
  </w:style>
  <w:style w:type="paragraph" w:customStyle="1" w:styleId="Subtitle1">
    <w:name w:val="Subtitle1"/>
    <w:basedOn w:val="Title1"/>
    <w:qFormat/>
    <w:rsid w:val="0020709A"/>
    <w:pPr>
      <w:framePr w:hSpace="180" w:wrap="around" w:hAnchor="text" w:x="1821" w:y="2317"/>
      <w:spacing w:before="120" w:after="160"/>
      <w:jc w:val="left"/>
    </w:pPr>
    <w:rPr>
      <w:caps w:val="0"/>
      <w:sz w:val="32"/>
      <w:szCs w:val="32"/>
      <w:lang w:val="en-GB"/>
    </w:rPr>
  </w:style>
  <w:style w:type="paragraph" w:styleId="ListParagraph">
    <w:name w:val="List Paragraph"/>
    <w:basedOn w:val="Normal"/>
    <w:uiPriority w:val="34"/>
    <w:qFormat/>
    <w:rsid w:val="0020709A"/>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lang w:val="en-GB"/>
      <w14:ligatures w14:val="standardContextual"/>
    </w:rPr>
  </w:style>
  <w:style w:type="paragraph" w:styleId="NoSpacing">
    <w:name w:val="No Spacing"/>
    <w:uiPriority w:val="1"/>
    <w:qFormat/>
    <w:rsid w:val="0020709A"/>
    <w:rPr>
      <w:rFonts w:asciiTheme="minorHAnsi" w:eastAsiaTheme="minorHAnsi" w:hAnsiTheme="minorHAnsi" w:cstheme="minorBidi"/>
      <w:kern w:val="2"/>
      <w:sz w:val="24"/>
      <w:szCs w:val="24"/>
      <w:lang w:val="en-GB" w:eastAsia="en-US"/>
      <w14:ligatures w14:val="standardContextual"/>
    </w:rPr>
  </w:style>
  <w:style w:type="character" w:styleId="CommentReference">
    <w:name w:val="annotation reference"/>
    <w:basedOn w:val="DefaultParagraphFont"/>
    <w:uiPriority w:val="99"/>
    <w:semiHidden/>
    <w:unhideWhenUsed/>
    <w:qFormat/>
    <w:rsid w:val="0020709A"/>
    <w:rPr>
      <w:sz w:val="16"/>
      <w:szCs w:val="16"/>
    </w:rPr>
  </w:style>
  <w:style w:type="character" w:customStyle="1" w:styleId="apple-converted-space">
    <w:name w:val="apple-converted-space"/>
    <w:basedOn w:val="DefaultParagraphFont"/>
    <w:rsid w:val="0020709A"/>
  </w:style>
  <w:style w:type="paragraph" w:styleId="Revision">
    <w:name w:val="Revision"/>
    <w:hidden/>
    <w:uiPriority w:val="99"/>
    <w:semiHidden/>
    <w:rsid w:val="0020709A"/>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20709A"/>
    <w:pPr>
      <w:suppressAutoHyphens w:val="0"/>
      <w:overflowPunct w:val="0"/>
      <w:autoSpaceDE w:val="0"/>
      <w:autoSpaceDN w:val="0"/>
      <w:adjustRightInd w:val="0"/>
    </w:pPr>
    <w:rPr>
      <w:b/>
      <w:bCs/>
    </w:rPr>
  </w:style>
  <w:style w:type="character" w:customStyle="1" w:styleId="CommentSubjectChar">
    <w:name w:val="Comment Subject Char"/>
    <w:basedOn w:val="CommentTextChar"/>
    <w:link w:val="CommentSubject"/>
    <w:semiHidden/>
    <w:rsid w:val="0020709A"/>
    <w:rPr>
      <w:rFonts w:ascii="Calibri" w:hAnsi="Calibri"/>
      <w:b/>
      <w:bCs/>
      <w:lang w:val="en-GB" w:eastAsia="en-US"/>
    </w:rPr>
  </w:style>
  <w:style w:type="character" w:styleId="Mention">
    <w:name w:val="Mention"/>
    <w:basedOn w:val="DefaultParagraphFont"/>
    <w:uiPriority w:val="99"/>
    <w:unhideWhenUsed/>
    <w:rsid w:val="002070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5-CL-250617-DL-0008/es" TargetMode="External"/><Relationship Id="rId21" Type="http://schemas.openxmlformats.org/officeDocument/2006/relationships/hyperlink" Target="https://www.itu.int/md/S25-CL-C-0050/es" TargetMode="External"/><Relationship Id="rId42" Type="http://schemas.openxmlformats.org/officeDocument/2006/relationships/hyperlink" Target="https://www.itu.int/md/S25-CL-C-0007/es" TargetMode="External"/><Relationship Id="rId47" Type="http://schemas.openxmlformats.org/officeDocument/2006/relationships/hyperlink" Target="https://www.itu.int/md/S25-CL-C-0063/es" TargetMode="External"/><Relationship Id="rId63" Type="http://schemas.openxmlformats.org/officeDocument/2006/relationships/hyperlink" Target="https://www.itu.int/md/S25-CL-C-0034/es" TargetMode="External"/><Relationship Id="rId68" Type="http://schemas.openxmlformats.org/officeDocument/2006/relationships/hyperlink" Target="https://www.itu.int/md/S25-CL-C-0039/es" TargetMode="External"/><Relationship Id="rId84" Type="http://schemas.openxmlformats.org/officeDocument/2006/relationships/hyperlink" Target="https://www.itu.int/md/S25-CL-C-0069/es" TargetMode="External"/><Relationship Id="rId89" Type="http://schemas.openxmlformats.org/officeDocument/2006/relationships/hyperlink" Target="https://www.itu.int/md/S25-CL-250617-DL-0006/es" TargetMode="External"/><Relationship Id="rId112" Type="http://schemas.openxmlformats.org/officeDocument/2006/relationships/hyperlink" Target="https://www.itu.int/md/S25-CL-C-0016/es" TargetMode="External"/><Relationship Id="rId16" Type="http://schemas.openxmlformats.org/officeDocument/2006/relationships/hyperlink" Target="https://www.itu.int/md/S25-CL-C-0003/es" TargetMode="External"/><Relationship Id="rId107" Type="http://schemas.openxmlformats.org/officeDocument/2006/relationships/hyperlink" Target="https://www.itu.int/md/S25-CL-C-0098/es" TargetMode="External"/><Relationship Id="rId11" Type="http://schemas.openxmlformats.org/officeDocument/2006/relationships/hyperlink" Target="https://www.itu.int/md/S25-CL-C-0105/es" TargetMode="External"/><Relationship Id="rId32" Type="http://schemas.openxmlformats.org/officeDocument/2006/relationships/hyperlink" Target="https://www.itu.int/md/S25-CL-C-0041/es" TargetMode="External"/><Relationship Id="rId37" Type="http://schemas.openxmlformats.org/officeDocument/2006/relationships/hyperlink" Target="http://www.itu.int/md/S25-CL-C-0046/es" TargetMode="External"/><Relationship Id="rId53" Type="http://schemas.openxmlformats.org/officeDocument/2006/relationships/hyperlink" Target="https://www.itu.int/md/S25-CL-C-0020/es" TargetMode="External"/><Relationship Id="rId58" Type="http://schemas.openxmlformats.org/officeDocument/2006/relationships/hyperlink" Target="https://www.itu.int/md/S25-CL-C-0011/es" TargetMode="External"/><Relationship Id="rId74" Type="http://schemas.openxmlformats.org/officeDocument/2006/relationships/hyperlink" Target="https://www.itu.int/md/S25-CL-C-0102/es" TargetMode="External"/><Relationship Id="rId79" Type="http://schemas.openxmlformats.org/officeDocument/2006/relationships/hyperlink" Target="https://www.itu.int/md/S25-CL-C-0067/es" TargetMode="External"/><Relationship Id="rId102" Type="http://schemas.openxmlformats.org/officeDocument/2006/relationships/hyperlink" Target="https://www.itu.int/md/S25-CL-C-0049/es" TargetMode="External"/><Relationship Id="rId123" Type="http://schemas.openxmlformats.org/officeDocument/2006/relationships/hyperlink" Target="https://www.itu.int/md/S25-CL-C-0075/es" TargetMode="External"/><Relationship Id="rId128"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s://www.itu.int/md/S25-CL-C-0066/es" TargetMode="External"/><Relationship Id="rId95" Type="http://schemas.openxmlformats.org/officeDocument/2006/relationships/hyperlink" Target="https://www.itu.int/md/S25-CL-C-0062/es" TargetMode="External"/><Relationship Id="rId22" Type="http://schemas.openxmlformats.org/officeDocument/2006/relationships/hyperlink" Target="http://www.itu.int/md/S25-CL-C-0084/es" TargetMode="External"/><Relationship Id="rId27" Type="http://schemas.openxmlformats.org/officeDocument/2006/relationships/hyperlink" Target="http://www.itu.int/md/S25-CL-C-0082/es" TargetMode="External"/><Relationship Id="rId43" Type="http://schemas.openxmlformats.org/officeDocument/2006/relationships/hyperlink" Target="https://www.itu.int/md/S25-CL-C-0048/es" TargetMode="External"/><Relationship Id="rId48" Type="http://schemas.openxmlformats.org/officeDocument/2006/relationships/hyperlink" Target="https://www.itu.int/md/S25-CL-C-0063/es" TargetMode="External"/><Relationship Id="rId64" Type="http://schemas.openxmlformats.org/officeDocument/2006/relationships/hyperlink" Target="https://www.itu.int/md/S25-CL-C-0022/es" TargetMode="External"/><Relationship Id="rId69" Type="http://schemas.openxmlformats.org/officeDocument/2006/relationships/hyperlink" Target="https://www.itu.int/md/S25-CL-C-0099/es" TargetMode="External"/><Relationship Id="rId113" Type="http://schemas.openxmlformats.org/officeDocument/2006/relationships/hyperlink" Target="https://www.itu.int/md/S25-CL-C-0098/es" TargetMode="External"/><Relationship Id="rId118" Type="http://schemas.openxmlformats.org/officeDocument/2006/relationships/hyperlink" Target="https://www.itu.int/md/S25-CL-C-0043/es" TargetMode="External"/><Relationship Id="rId80" Type="http://schemas.openxmlformats.org/officeDocument/2006/relationships/hyperlink" Target="https://www.itu.int/md/S25-CL-C-0090/es" TargetMode="External"/><Relationship Id="rId85" Type="http://schemas.openxmlformats.org/officeDocument/2006/relationships/hyperlink" Target="https://www.itu.int/md/S25-CL-C-0088/es" TargetMode="External"/><Relationship Id="rId12" Type="http://schemas.openxmlformats.org/officeDocument/2006/relationships/hyperlink" Target="https://www.itu.int/md/S25-CL-C-0002/es" TargetMode="External"/><Relationship Id="rId17" Type="http://schemas.openxmlformats.org/officeDocument/2006/relationships/hyperlink" Target="https://www.itu.int/md/S25-CL-C-0105/es" TargetMode="External"/><Relationship Id="rId33" Type="http://schemas.openxmlformats.org/officeDocument/2006/relationships/hyperlink" Target="http://www.itu.int/md/S25-CL-C-0042/es" TargetMode="External"/><Relationship Id="rId38" Type="http://schemas.openxmlformats.org/officeDocument/2006/relationships/hyperlink" Target="http://www.itu.int/md/S25-CL-C-0046/es" TargetMode="External"/><Relationship Id="rId59" Type="http://schemas.openxmlformats.org/officeDocument/2006/relationships/hyperlink" Target="https://www.itu.int/md/S25-CL-C-0011/es" TargetMode="External"/><Relationship Id="rId103" Type="http://schemas.openxmlformats.org/officeDocument/2006/relationships/hyperlink" Target="https://www.itu.int/md/S25-CL-C-0041/es" TargetMode="External"/><Relationship Id="rId108" Type="http://schemas.openxmlformats.org/officeDocument/2006/relationships/hyperlink" Target="https://www.itu.int/md/S25-CL-C-0074/es" TargetMode="External"/><Relationship Id="rId124" Type="http://schemas.openxmlformats.org/officeDocument/2006/relationships/hyperlink" Target="https://council.itu.int/2025/wp-content/uploads/sites/5/2025/07/Statement-SG-closing-speech-e.pdf" TargetMode="External"/><Relationship Id="rId129" Type="http://schemas.openxmlformats.org/officeDocument/2006/relationships/fontTable" Target="fontTable.xml"/><Relationship Id="rId54" Type="http://schemas.openxmlformats.org/officeDocument/2006/relationships/hyperlink" Target="https://www.itu.int/md/S25-CL-C-0020/es" TargetMode="External"/><Relationship Id="rId70" Type="http://schemas.openxmlformats.org/officeDocument/2006/relationships/hyperlink" Target="https://www.itu.int/md/S25-CL-C-0087/es" TargetMode="External"/><Relationship Id="rId75" Type="http://schemas.openxmlformats.org/officeDocument/2006/relationships/hyperlink" Target="https://www.itu.int/md/S25-CL-C-0039/es" TargetMode="External"/><Relationship Id="rId91" Type="http://schemas.openxmlformats.org/officeDocument/2006/relationships/hyperlink" Target="https://www.itu.int/md/S25-CL-C-0085/es" TargetMode="External"/><Relationship Id="rId96" Type="http://schemas.openxmlformats.org/officeDocument/2006/relationships/hyperlink" Target="https://www.itu.int/md/S25-CL-C-0086/e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itu.int/md/S25-CL-C-0084/es" TargetMode="External"/><Relationship Id="rId28" Type="http://schemas.openxmlformats.org/officeDocument/2006/relationships/hyperlink" Target="http://www.itu.int/md/S25-CL-C-0082/es" TargetMode="External"/><Relationship Id="rId49" Type="http://schemas.openxmlformats.org/officeDocument/2006/relationships/hyperlink" Target="https://www.itu.int/md/S25-CL-C-0009/es" TargetMode="External"/><Relationship Id="rId114" Type="http://schemas.openxmlformats.org/officeDocument/2006/relationships/hyperlink" Target="https://www.itu.int/md/S25-CL-C-0074/es" TargetMode="External"/><Relationship Id="rId119" Type="http://schemas.openxmlformats.org/officeDocument/2006/relationships/hyperlink" Target="https://www.itu.int/md/S25-CL-250617-DL-0008/es" TargetMode="External"/><Relationship Id="rId44" Type="http://schemas.openxmlformats.org/officeDocument/2006/relationships/hyperlink" Target="https://www.itu.int/md/S25-CL-C-0083/es" TargetMode="External"/><Relationship Id="rId60" Type="http://schemas.openxmlformats.org/officeDocument/2006/relationships/hyperlink" Target="https://www.itu.int/md/S25-CL-C-0059/es" TargetMode="External"/><Relationship Id="rId65" Type="http://schemas.openxmlformats.org/officeDocument/2006/relationships/hyperlink" Target="https://www.itu.int/md/S25-CL-C-0022/es" TargetMode="External"/><Relationship Id="rId81" Type="http://schemas.openxmlformats.org/officeDocument/2006/relationships/hyperlink" Target="https://www.itu.int/md/S25-CL-C-0067/es" TargetMode="External"/><Relationship Id="rId86" Type="http://schemas.openxmlformats.org/officeDocument/2006/relationships/hyperlink" Target="https://www.itu.int/md/S25-CL-C-0093/es" TargetMode="External"/><Relationship Id="rId130" Type="http://schemas.openxmlformats.org/officeDocument/2006/relationships/theme" Target="theme/theme1.xml"/><Relationship Id="rId13" Type="http://schemas.openxmlformats.org/officeDocument/2006/relationships/hyperlink" Target="https://www.itu.int/md/S25-CL-C-0021/es" TargetMode="External"/><Relationship Id="rId18" Type="http://schemas.openxmlformats.org/officeDocument/2006/relationships/hyperlink" Target="http://www.itu.int/md/S25-CL-C-0050/es" TargetMode="External"/><Relationship Id="rId39" Type="http://schemas.openxmlformats.org/officeDocument/2006/relationships/hyperlink" Target="http://www.itu.int/md/S25-CL-C-0023/es" TargetMode="External"/><Relationship Id="rId109" Type="http://schemas.openxmlformats.org/officeDocument/2006/relationships/hyperlink" Target="https://www.itu.int/md/S25-CL-C-0010/es" TargetMode="External"/><Relationship Id="rId34" Type="http://schemas.openxmlformats.org/officeDocument/2006/relationships/hyperlink" Target="https://www.itu.int/md/S25-CL-C-0022/es" TargetMode="External"/><Relationship Id="rId50" Type="http://schemas.openxmlformats.org/officeDocument/2006/relationships/hyperlink" Target="https://www.itu.int/md/S25-CL-C-0009/es" TargetMode="External"/><Relationship Id="rId55" Type="http://schemas.openxmlformats.org/officeDocument/2006/relationships/hyperlink" Target="https://www.itu.int/md/S25-CL-C-0014/es" TargetMode="External"/><Relationship Id="rId76" Type="http://schemas.openxmlformats.org/officeDocument/2006/relationships/hyperlink" Target="https://www.itu.int/md/S25-CL-C-0099/es" TargetMode="External"/><Relationship Id="rId97" Type="http://schemas.openxmlformats.org/officeDocument/2006/relationships/hyperlink" Target="https://www.itu.int/md/S25-CL-C-0086/es" TargetMode="External"/><Relationship Id="rId104" Type="http://schemas.openxmlformats.org/officeDocument/2006/relationships/hyperlink" Target="https://www.itu.int/md/S25-CL-C-0064/es" TargetMode="External"/><Relationship Id="rId120" Type="http://schemas.openxmlformats.org/officeDocument/2006/relationships/hyperlink" Target="https://www.itu.int/md/S25-CL-C-0047/es" TargetMode="External"/><Relationship Id="rId125" Type="http://schemas.openxmlformats.org/officeDocument/2006/relationships/hyperlink" Target="http://council.itu.int/2025/wp-content/uploads/sites/5/2025/07/Statement-Chair-C25-closing-270625-e.pdf" TargetMode="External"/><Relationship Id="rId7" Type="http://schemas.openxmlformats.org/officeDocument/2006/relationships/hyperlink" Target="https://www.itu.int/md/S25-CL-C-0002/es" TargetMode="External"/><Relationship Id="rId71" Type="http://schemas.openxmlformats.org/officeDocument/2006/relationships/hyperlink" Target="https://www.itu.int/md/S25-CL-C-0102/es" TargetMode="External"/><Relationship Id="rId92" Type="http://schemas.openxmlformats.org/officeDocument/2006/relationships/hyperlink" Target="https://www.itu.int/md/S25-CL-C-0066/es" TargetMode="External"/><Relationship Id="rId2" Type="http://schemas.openxmlformats.org/officeDocument/2006/relationships/styles" Target="styles.xml"/><Relationship Id="rId29" Type="http://schemas.openxmlformats.org/officeDocument/2006/relationships/hyperlink" Target="http://www.itu.int/md/S25-CL-C-0040/es" TargetMode="External"/><Relationship Id="rId24" Type="http://schemas.openxmlformats.org/officeDocument/2006/relationships/hyperlink" Target="http://www.itu.int/md/S25-CL-C-0084/es" TargetMode="External"/><Relationship Id="rId40" Type="http://schemas.openxmlformats.org/officeDocument/2006/relationships/hyperlink" Target="http://www.itu.int/md/S25-CL-C-0038/es" TargetMode="External"/><Relationship Id="rId45" Type="http://schemas.openxmlformats.org/officeDocument/2006/relationships/hyperlink" Target="https://www.itu.int/md/S25-CL-C-0007/es" TargetMode="External"/><Relationship Id="rId66" Type="http://schemas.openxmlformats.org/officeDocument/2006/relationships/hyperlink" Target="https://www.itu.int/md/S25-CL-C-0022/es" TargetMode="External"/><Relationship Id="rId87" Type="http://schemas.openxmlformats.org/officeDocument/2006/relationships/hyperlink" Target="https://www.itu.int/md/S25-CL-C-0094/es" TargetMode="External"/><Relationship Id="rId110" Type="http://schemas.openxmlformats.org/officeDocument/2006/relationships/hyperlink" Target="https://www.itu.int/md/S25-CL-C-0064/es" TargetMode="External"/><Relationship Id="rId115" Type="http://schemas.openxmlformats.org/officeDocument/2006/relationships/hyperlink" Target="https://www.itu.int/md/S25-CL-250617-TD-0006/es" TargetMode="External"/><Relationship Id="rId61" Type="http://schemas.openxmlformats.org/officeDocument/2006/relationships/hyperlink" Target="https://www.itu.int/md/S25-CL-C-0059/es" TargetMode="External"/><Relationship Id="rId82" Type="http://schemas.openxmlformats.org/officeDocument/2006/relationships/hyperlink" Target="https://www.itu.int/md/S25-CL-C-0057/es" TargetMode="External"/><Relationship Id="rId19" Type="http://schemas.openxmlformats.org/officeDocument/2006/relationships/hyperlink" Target="https://www.itu.int/md/S25-CL-250617-DL-0003/es" TargetMode="External"/><Relationship Id="rId14" Type="http://schemas.openxmlformats.org/officeDocument/2006/relationships/hyperlink" Target="http://council.itu.int/2025/wp-content/uploads/sites/5/2025/07/Statement_Russia_CWG-lang_27062025_e.pdf" TargetMode="External"/><Relationship Id="rId30" Type="http://schemas.openxmlformats.org/officeDocument/2006/relationships/hyperlink" Target="https://www.itu.int/md/S25-CL-C-0040/es" TargetMode="External"/><Relationship Id="rId35" Type="http://schemas.openxmlformats.org/officeDocument/2006/relationships/hyperlink" Target="https://www.itu.int/md/S25-CL-C-0042/es" TargetMode="External"/><Relationship Id="rId56" Type="http://schemas.openxmlformats.org/officeDocument/2006/relationships/hyperlink" Target="https://www.itu.int/md/S25-CL-C-0014/es" TargetMode="External"/><Relationship Id="rId77" Type="http://schemas.openxmlformats.org/officeDocument/2006/relationships/hyperlink" Target="https://www.itu.int/md/S25-CL-C-0022/es" TargetMode="External"/><Relationship Id="rId100" Type="http://schemas.openxmlformats.org/officeDocument/2006/relationships/hyperlink" Target="https://www.itu.int/md/S25-CL-C-0060/es" TargetMode="External"/><Relationship Id="rId105" Type="http://schemas.openxmlformats.org/officeDocument/2006/relationships/hyperlink" Target="https://www.itu.int/md/S25-CL-C-0016/es" TargetMode="External"/><Relationship Id="rId126" Type="http://schemas.openxmlformats.org/officeDocument/2006/relationships/footer" Target="footer1.xml"/><Relationship Id="rId8" Type="http://schemas.openxmlformats.org/officeDocument/2006/relationships/hyperlink" Target="https://www.itu.int/md/S25-CL-C-0021/es" TargetMode="External"/><Relationship Id="rId51" Type="http://schemas.openxmlformats.org/officeDocument/2006/relationships/hyperlink" Target="https://www.itu.int/md/S25-CL-C-0065/es" TargetMode="External"/><Relationship Id="rId72" Type="http://schemas.openxmlformats.org/officeDocument/2006/relationships/hyperlink" Target="https://www.itu.int/md/S25-CL-C-0022/es" TargetMode="External"/><Relationship Id="rId93" Type="http://schemas.openxmlformats.org/officeDocument/2006/relationships/hyperlink" Target="https://www.itu.int/md/S25-CL-C-0085/es" TargetMode="External"/><Relationship Id="rId98" Type="http://schemas.openxmlformats.org/officeDocument/2006/relationships/hyperlink" Target="https://www.itu.int/md/S25-CL-C-0013/es" TargetMode="External"/><Relationship Id="rId121" Type="http://schemas.openxmlformats.org/officeDocument/2006/relationships/hyperlink" Target="https://www.itu.int/md/S25-CL-250617-TD-0005/es" TargetMode="External"/><Relationship Id="rId3" Type="http://schemas.openxmlformats.org/officeDocument/2006/relationships/settings" Target="settings.xml"/><Relationship Id="rId25" Type="http://schemas.openxmlformats.org/officeDocument/2006/relationships/hyperlink" Target="https://www.itu.int/md/S25-CL-C-0095/es" TargetMode="External"/><Relationship Id="rId46" Type="http://schemas.openxmlformats.org/officeDocument/2006/relationships/hyperlink" Target="https://www.itu.int/md/S25-CL-C-0048/es" TargetMode="External"/><Relationship Id="rId67" Type="http://schemas.openxmlformats.org/officeDocument/2006/relationships/hyperlink" Target="https://www.itu.int/md/S25-CL-C-0044/es" TargetMode="External"/><Relationship Id="rId116" Type="http://schemas.openxmlformats.org/officeDocument/2006/relationships/hyperlink" Target="https://www.itu.int/md/S25-CL-C-0043/es" TargetMode="External"/><Relationship Id="rId20" Type="http://schemas.openxmlformats.org/officeDocument/2006/relationships/hyperlink" Target="https://www.itu.int/md/S25-CL-250617-DL-0006/es" TargetMode="External"/><Relationship Id="rId41" Type="http://schemas.openxmlformats.org/officeDocument/2006/relationships/hyperlink" Target="http://www.itu.int/md/S25-CL-C-0038/es" TargetMode="External"/><Relationship Id="rId62" Type="http://schemas.openxmlformats.org/officeDocument/2006/relationships/hyperlink" Target="https://www.itu.int/md/S25-CL-C-0034/es" TargetMode="External"/><Relationship Id="rId83" Type="http://schemas.openxmlformats.org/officeDocument/2006/relationships/hyperlink" Target="https://www.itu.int/md/S25-CL-C-0057/es" TargetMode="External"/><Relationship Id="rId88" Type="http://schemas.openxmlformats.org/officeDocument/2006/relationships/hyperlink" Target="https://www.itu.int/md/S25-CL-C-0069/es" TargetMode="External"/><Relationship Id="rId111" Type="http://schemas.openxmlformats.org/officeDocument/2006/relationships/hyperlink" Target="https://www.itu.int/md/S25-CL-C-0010/es" TargetMode="External"/><Relationship Id="rId15" Type="http://schemas.openxmlformats.org/officeDocument/2006/relationships/hyperlink" Target="https://www.itu.int/md/S25-CL-C-0077/es" TargetMode="External"/><Relationship Id="rId36" Type="http://schemas.openxmlformats.org/officeDocument/2006/relationships/hyperlink" Target="https://www.itu.int/md/S25-CL-C-0022/es" TargetMode="External"/><Relationship Id="rId57" Type="http://schemas.openxmlformats.org/officeDocument/2006/relationships/hyperlink" Target="https://www.itu.int/md/S25-CL-C-0054/es" TargetMode="External"/><Relationship Id="rId106" Type="http://schemas.openxmlformats.org/officeDocument/2006/relationships/hyperlink" Target="https://www.itu.int/md/S25-CL-C-0010/es" TargetMode="External"/><Relationship Id="rId127" Type="http://schemas.openxmlformats.org/officeDocument/2006/relationships/header" Target="header1.xml"/><Relationship Id="rId10" Type="http://schemas.openxmlformats.org/officeDocument/2006/relationships/hyperlink" Target="https://www.itu.int/md/S25-CL-C-0003/es" TargetMode="External"/><Relationship Id="rId31" Type="http://schemas.openxmlformats.org/officeDocument/2006/relationships/hyperlink" Target="http://www.itu.int/md/S25-CL-C-0041/es" TargetMode="External"/><Relationship Id="rId52" Type="http://schemas.openxmlformats.org/officeDocument/2006/relationships/hyperlink" Target="https://www.itu.int/md/S25-CL-C-0065/es" TargetMode="External"/><Relationship Id="rId73" Type="http://schemas.openxmlformats.org/officeDocument/2006/relationships/hyperlink" Target="https://www.itu.int/md/S25-CL-C-0044/es" TargetMode="External"/><Relationship Id="rId78" Type="http://schemas.openxmlformats.org/officeDocument/2006/relationships/hyperlink" Target="https://www.unjiu.org/sites/www.unjiu.org/files/jiu_rep_2018_4_english_0.pdf" TargetMode="External"/><Relationship Id="rId94" Type="http://schemas.openxmlformats.org/officeDocument/2006/relationships/hyperlink" Target="https://www.itu.int/md/S25-CL-C-0062/es" TargetMode="External"/><Relationship Id="rId99" Type="http://schemas.openxmlformats.org/officeDocument/2006/relationships/hyperlink" Target="https://www.itu.int/md/S25-CL-C-0013/es" TargetMode="External"/><Relationship Id="rId101" Type="http://schemas.openxmlformats.org/officeDocument/2006/relationships/hyperlink" Target="https://www.itu.int/md/S25-CL-C-0049/es" TargetMode="External"/><Relationship Id="rId122" Type="http://schemas.openxmlformats.org/officeDocument/2006/relationships/hyperlink" Target="https://www.itu.int/md/S25-CL-C-0075/es" TargetMode="External"/><Relationship Id="rId4" Type="http://schemas.openxmlformats.org/officeDocument/2006/relationships/webSettings" Target="webSettings.xml"/><Relationship Id="rId9" Type="http://schemas.openxmlformats.org/officeDocument/2006/relationships/hyperlink" Target="https://www.itu.int/md/S25-CL-C-0077/es" TargetMode="External"/><Relationship Id="rId26" Type="http://schemas.openxmlformats.org/officeDocument/2006/relationships/hyperlink" Target="https://www.itu.int/md/S25-CL-C-0095/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4064</Words>
  <Characters>28618</Characters>
  <Application>Microsoft Office Word</Application>
  <DocSecurity>0</DocSecurity>
  <Lines>238</Lines>
  <Paragraphs>65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32617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 los debates de la octava y última Sesión Plenaria</dc:title>
  <dc:subject>Consejo 2025 de la UIT</dc:subject>
  <cp:keywords>C2025, C25, Council-25</cp:keywords>
  <dc:description/>
  <cp:lastPrinted>2006-03-24T09:51:00Z</cp:lastPrinted>
  <dcterms:created xsi:type="dcterms:W3CDTF">2025-08-15T14:04:00Z</dcterms:created>
  <dcterms:modified xsi:type="dcterms:W3CDTF">2025-08-15T14:04:00Z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