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EE22B8" w14:paraId="21D7C8E7" w14:textId="77777777" w:rsidTr="00D72F49">
        <w:trPr>
          <w:cantSplit/>
          <w:trHeight w:val="23"/>
        </w:trPr>
        <w:tc>
          <w:tcPr>
            <w:tcW w:w="3969" w:type="dxa"/>
            <w:vMerge w:val="restart"/>
            <w:tcMar>
              <w:left w:w="0" w:type="dxa"/>
            </w:tcMar>
          </w:tcPr>
          <w:p w14:paraId="2D4D8C87" w14:textId="1E2B6278" w:rsidR="00D72F49" w:rsidRPr="00EE22B8" w:rsidRDefault="00D72F49" w:rsidP="00D72F49">
            <w:pPr>
              <w:tabs>
                <w:tab w:val="left" w:pos="851"/>
              </w:tabs>
              <w:spacing w:before="0" w:line="240" w:lineRule="atLeast"/>
              <w:rPr>
                <w:b/>
              </w:rPr>
            </w:pPr>
          </w:p>
        </w:tc>
        <w:tc>
          <w:tcPr>
            <w:tcW w:w="5245" w:type="dxa"/>
          </w:tcPr>
          <w:p w14:paraId="1314D90F" w14:textId="4901EFB6" w:rsidR="00D72F49" w:rsidRPr="00EE22B8" w:rsidRDefault="00D72F49" w:rsidP="00D72F49">
            <w:pPr>
              <w:tabs>
                <w:tab w:val="left" w:pos="851"/>
              </w:tabs>
              <w:spacing w:before="0" w:line="240" w:lineRule="atLeast"/>
              <w:jc w:val="right"/>
              <w:rPr>
                <w:b/>
              </w:rPr>
            </w:pPr>
            <w:r w:rsidRPr="00EE22B8">
              <w:rPr>
                <w:b/>
              </w:rPr>
              <w:t>Document C2</w:t>
            </w:r>
            <w:r w:rsidR="00FC6D7D" w:rsidRPr="00EE22B8">
              <w:rPr>
                <w:b/>
              </w:rPr>
              <w:t>5</w:t>
            </w:r>
            <w:r w:rsidRPr="00EE22B8">
              <w:rPr>
                <w:b/>
              </w:rPr>
              <w:t>/</w:t>
            </w:r>
            <w:r w:rsidR="000C7BDE" w:rsidRPr="00EE22B8">
              <w:rPr>
                <w:b/>
              </w:rPr>
              <w:t>114</w:t>
            </w:r>
            <w:r w:rsidRPr="00EE22B8">
              <w:rPr>
                <w:b/>
              </w:rPr>
              <w:t>-F</w:t>
            </w:r>
          </w:p>
        </w:tc>
      </w:tr>
      <w:tr w:rsidR="00D72F49" w:rsidRPr="00EE22B8" w14:paraId="22CC5E04" w14:textId="77777777" w:rsidTr="00D72F49">
        <w:trPr>
          <w:cantSplit/>
        </w:trPr>
        <w:tc>
          <w:tcPr>
            <w:tcW w:w="3969" w:type="dxa"/>
            <w:vMerge/>
          </w:tcPr>
          <w:p w14:paraId="6E42FF16" w14:textId="77777777" w:rsidR="00D72F49" w:rsidRPr="00EE22B8" w:rsidRDefault="00D72F49" w:rsidP="00D72F49">
            <w:pPr>
              <w:tabs>
                <w:tab w:val="left" w:pos="851"/>
              </w:tabs>
              <w:spacing w:line="240" w:lineRule="atLeast"/>
              <w:rPr>
                <w:b/>
              </w:rPr>
            </w:pPr>
          </w:p>
        </w:tc>
        <w:tc>
          <w:tcPr>
            <w:tcW w:w="5245" w:type="dxa"/>
          </w:tcPr>
          <w:p w14:paraId="1B40DF89" w14:textId="05639F6B" w:rsidR="00D72F49" w:rsidRPr="00EE22B8" w:rsidRDefault="00221EF3" w:rsidP="00D72F49">
            <w:pPr>
              <w:tabs>
                <w:tab w:val="left" w:pos="851"/>
              </w:tabs>
              <w:spacing w:before="0"/>
              <w:jc w:val="right"/>
              <w:rPr>
                <w:b/>
              </w:rPr>
            </w:pPr>
            <w:r>
              <w:rPr>
                <w:b/>
              </w:rPr>
              <w:t>15</w:t>
            </w:r>
            <w:r w:rsidR="008045BA">
              <w:rPr>
                <w:b/>
              </w:rPr>
              <w:t xml:space="preserve"> août</w:t>
            </w:r>
            <w:r w:rsidR="000C7BDE" w:rsidRPr="00EE22B8">
              <w:rPr>
                <w:b/>
              </w:rPr>
              <w:t xml:space="preserve"> 2025</w:t>
            </w:r>
          </w:p>
        </w:tc>
      </w:tr>
      <w:tr w:rsidR="00D72F49" w:rsidRPr="00EE22B8" w14:paraId="4D1D80CE" w14:textId="77777777" w:rsidTr="00D72F49">
        <w:trPr>
          <w:cantSplit/>
          <w:trHeight w:val="23"/>
        </w:trPr>
        <w:tc>
          <w:tcPr>
            <w:tcW w:w="3969" w:type="dxa"/>
            <w:vMerge/>
          </w:tcPr>
          <w:p w14:paraId="153F91BA" w14:textId="77777777" w:rsidR="00D72F49" w:rsidRPr="00EE22B8" w:rsidRDefault="00D72F49" w:rsidP="00D72F49">
            <w:pPr>
              <w:tabs>
                <w:tab w:val="left" w:pos="851"/>
              </w:tabs>
              <w:spacing w:line="240" w:lineRule="atLeast"/>
              <w:rPr>
                <w:b/>
              </w:rPr>
            </w:pPr>
          </w:p>
        </w:tc>
        <w:tc>
          <w:tcPr>
            <w:tcW w:w="5245" w:type="dxa"/>
          </w:tcPr>
          <w:p w14:paraId="42C650FB" w14:textId="77777777" w:rsidR="00D72F49" w:rsidRPr="00EE22B8" w:rsidRDefault="00D72F49" w:rsidP="00D72F49">
            <w:pPr>
              <w:tabs>
                <w:tab w:val="left" w:pos="851"/>
              </w:tabs>
              <w:spacing w:before="0" w:line="240" w:lineRule="atLeast"/>
              <w:jc w:val="right"/>
              <w:rPr>
                <w:b/>
              </w:rPr>
            </w:pPr>
            <w:r w:rsidRPr="00EE22B8">
              <w:rPr>
                <w:b/>
              </w:rPr>
              <w:t>Original: anglais</w:t>
            </w:r>
          </w:p>
        </w:tc>
      </w:tr>
      <w:tr w:rsidR="00D72F49" w:rsidRPr="00EE22B8" w14:paraId="69718E09" w14:textId="77777777" w:rsidTr="00D72F49">
        <w:trPr>
          <w:cantSplit/>
          <w:trHeight w:val="23"/>
        </w:trPr>
        <w:tc>
          <w:tcPr>
            <w:tcW w:w="3969" w:type="dxa"/>
          </w:tcPr>
          <w:p w14:paraId="7FE32D95" w14:textId="77777777" w:rsidR="00D72F49" w:rsidRPr="00EE22B8" w:rsidRDefault="00D72F49" w:rsidP="00D72F49">
            <w:pPr>
              <w:tabs>
                <w:tab w:val="left" w:pos="851"/>
              </w:tabs>
              <w:spacing w:line="240" w:lineRule="atLeast"/>
              <w:rPr>
                <w:b/>
              </w:rPr>
            </w:pPr>
          </w:p>
        </w:tc>
        <w:tc>
          <w:tcPr>
            <w:tcW w:w="5245" w:type="dxa"/>
          </w:tcPr>
          <w:p w14:paraId="4958A9A9" w14:textId="77777777" w:rsidR="00D72F49" w:rsidRPr="00EE22B8" w:rsidRDefault="00D72F49" w:rsidP="00D72F49">
            <w:pPr>
              <w:tabs>
                <w:tab w:val="left" w:pos="851"/>
              </w:tabs>
              <w:spacing w:before="0" w:line="240" w:lineRule="atLeast"/>
              <w:jc w:val="right"/>
              <w:rPr>
                <w:b/>
              </w:rPr>
            </w:pPr>
          </w:p>
        </w:tc>
      </w:tr>
      <w:tr w:rsidR="00D72F49" w:rsidRPr="00EE22B8" w14:paraId="2053801C" w14:textId="77777777" w:rsidTr="00D72F49">
        <w:trPr>
          <w:cantSplit/>
        </w:trPr>
        <w:tc>
          <w:tcPr>
            <w:tcW w:w="9214" w:type="dxa"/>
            <w:gridSpan w:val="2"/>
            <w:tcMar>
              <w:left w:w="0" w:type="dxa"/>
            </w:tcMar>
          </w:tcPr>
          <w:p w14:paraId="0632B48A" w14:textId="77777777" w:rsidR="000C7BDE" w:rsidRPr="00EE22B8" w:rsidRDefault="000C7BDE" w:rsidP="000C7BDE">
            <w:pPr>
              <w:pStyle w:val="Source"/>
              <w:spacing w:before="120"/>
              <w:rPr>
                <w:rFonts w:cstheme="minorHAnsi"/>
                <w:color w:val="000000"/>
                <w:sz w:val="34"/>
                <w:szCs w:val="34"/>
              </w:rPr>
            </w:pPr>
            <w:r w:rsidRPr="00EE22B8">
              <w:rPr>
                <w:rFonts w:cstheme="minorHAnsi"/>
                <w:color w:val="000000"/>
                <w:sz w:val="34"/>
                <w:szCs w:val="34"/>
              </w:rPr>
              <w:t>COMPTE RENDU</w:t>
            </w:r>
          </w:p>
          <w:p w14:paraId="6244C1B6" w14:textId="77777777" w:rsidR="000C7BDE" w:rsidRPr="00EE22B8" w:rsidRDefault="000C7BDE" w:rsidP="000C7BDE">
            <w:pPr>
              <w:pStyle w:val="Source"/>
              <w:spacing w:before="120"/>
              <w:rPr>
                <w:rFonts w:cstheme="minorHAnsi"/>
                <w:color w:val="000000"/>
                <w:sz w:val="34"/>
                <w:szCs w:val="34"/>
              </w:rPr>
            </w:pPr>
            <w:r w:rsidRPr="00EE22B8">
              <w:rPr>
                <w:rFonts w:cstheme="minorHAnsi"/>
                <w:color w:val="000000"/>
                <w:sz w:val="34"/>
                <w:szCs w:val="34"/>
              </w:rPr>
              <w:t>DE LA</w:t>
            </w:r>
          </w:p>
          <w:p w14:paraId="4462E0B6" w14:textId="02C84A13" w:rsidR="00D72F49" w:rsidRPr="00EE22B8" w:rsidRDefault="000C7BDE" w:rsidP="000C7BDE">
            <w:pPr>
              <w:pStyle w:val="Source"/>
              <w:spacing w:before="120" w:after="240"/>
              <w:rPr>
                <w:sz w:val="34"/>
                <w:szCs w:val="34"/>
              </w:rPr>
            </w:pPr>
            <w:r w:rsidRPr="00EE22B8">
              <w:rPr>
                <w:rFonts w:cstheme="minorHAnsi"/>
                <w:color w:val="000000"/>
                <w:sz w:val="34"/>
                <w:szCs w:val="34"/>
              </w:rPr>
              <w:t>HUITIÈME ET DERNIÈRE SÉANCE PLÉNIÈRE</w:t>
            </w:r>
          </w:p>
        </w:tc>
      </w:tr>
      <w:tr w:rsidR="00D72F49" w:rsidRPr="00EE22B8" w14:paraId="7A33B904" w14:textId="77777777" w:rsidTr="00D72F49">
        <w:trPr>
          <w:cantSplit/>
        </w:trPr>
        <w:tc>
          <w:tcPr>
            <w:tcW w:w="9214" w:type="dxa"/>
            <w:gridSpan w:val="2"/>
            <w:tcMar>
              <w:left w:w="0" w:type="dxa"/>
            </w:tcMar>
          </w:tcPr>
          <w:p w14:paraId="1DC3EF98" w14:textId="77777777" w:rsidR="000C7BDE" w:rsidRPr="00EE22B8" w:rsidRDefault="000C7BDE" w:rsidP="000C7BDE">
            <w:pPr>
              <w:pStyle w:val="Subtitle"/>
              <w:framePr w:hSpace="0" w:wrap="auto" w:hAnchor="text" w:xAlign="left" w:yAlign="inline"/>
              <w:jc w:val="center"/>
              <w:rPr>
                <w:rFonts w:cstheme="minorHAnsi"/>
                <w:sz w:val="24"/>
                <w:szCs w:val="24"/>
                <w:lang w:val="fr-FR"/>
              </w:rPr>
            </w:pPr>
            <w:r w:rsidRPr="00EE22B8">
              <w:rPr>
                <w:rFonts w:cstheme="minorHAnsi"/>
                <w:sz w:val="24"/>
                <w:szCs w:val="24"/>
                <w:lang w:val="fr-FR"/>
              </w:rPr>
              <w:t>Vendredi 27 juin 2025, de 15 h 00 à 16 h 25</w:t>
            </w:r>
          </w:p>
          <w:p w14:paraId="542A5433" w14:textId="77777777" w:rsidR="000C7BDE" w:rsidRPr="00EE22B8" w:rsidRDefault="000C7BDE" w:rsidP="000C7BDE">
            <w:pPr>
              <w:pStyle w:val="Subtitle"/>
              <w:framePr w:hSpace="0" w:wrap="auto" w:hAnchor="text" w:xAlign="left" w:yAlign="inline"/>
              <w:jc w:val="center"/>
              <w:rPr>
                <w:sz w:val="32"/>
                <w:szCs w:val="32"/>
                <w:lang w:val="fr-FR"/>
              </w:rPr>
            </w:pPr>
            <w:r w:rsidRPr="00EE22B8">
              <w:rPr>
                <w:rFonts w:cstheme="minorHAnsi"/>
                <w:b/>
                <w:bCs/>
                <w:sz w:val="24"/>
                <w:szCs w:val="24"/>
                <w:lang w:val="fr-FR"/>
              </w:rPr>
              <w:t>Présidente</w:t>
            </w:r>
            <w:r w:rsidRPr="00EE22B8">
              <w:rPr>
                <w:rFonts w:cstheme="minorHAnsi"/>
                <w:sz w:val="24"/>
                <w:szCs w:val="24"/>
                <w:lang w:val="fr-FR"/>
              </w:rPr>
              <w:t>: Mme C. FLUTUR (Roumanie)</w:t>
            </w:r>
          </w:p>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0C7BDE" w:rsidRPr="00EE22B8" w14:paraId="6CCE8B3B" w14:textId="77777777" w:rsidTr="006D5D58">
              <w:tc>
                <w:tcPr>
                  <w:tcW w:w="242" w:type="pct"/>
                </w:tcPr>
                <w:p w14:paraId="76ED03C9" w14:textId="77777777" w:rsidR="000C7BDE" w:rsidRPr="00EE22B8" w:rsidRDefault="000C7BDE" w:rsidP="000C7BDE">
                  <w:pPr>
                    <w:spacing w:before="480"/>
                    <w:rPr>
                      <w:b/>
                      <w:bCs/>
                      <w:szCs w:val="24"/>
                    </w:rPr>
                  </w:pPr>
                  <w:bookmarkStart w:id="0" w:name="_Hlk141438382"/>
                  <w:r w:rsidRPr="00EE22B8">
                    <w:rPr>
                      <w:b/>
                      <w:bCs/>
                      <w:color w:val="000000"/>
                      <w:szCs w:val="24"/>
                    </w:rPr>
                    <w:br w:type="page"/>
                  </w:r>
                  <w:r w:rsidRPr="00EE22B8">
                    <w:rPr>
                      <w:b/>
                      <w:bCs/>
                      <w:color w:val="000000"/>
                      <w:szCs w:val="24"/>
                    </w:rPr>
                    <w:br w:type="page"/>
                  </w:r>
                </w:p>
              </w:tc>
              <w:tc>
                <w:tcPr>
                  <w:tcW w:w="3580" w:type="pct"/>
                  <w:hideMark/>
                </w:tcPr>
                <w:p w14:paraId="7DB73F5C" w14:textId="77777777" w:rsidR="000C7BDE" w:rsidRPr="00EE22B8" w:rsidRDefault="000C7BDE" w:rsidP="000C7BDE">
                  <w:pPr>
                    <w:spacing w:before="480" w:after="120"/>
                    <w:rPr>
                      <w:b/>
                      <w:bCs/>
                      <w:szCs w:val="24"/>
                    </w:rPr>
                  </w:pPr>
                  <w:r w:rsidRPr="00EE22B8">
                    <w:rPr>
                      <w:b/>
                      <w:bCs/>
                      <w:color w:val="000000"/>
                    </w:rPr>
                    <w:t>Sujets traités</w:t>
                  </w:r>
                </w:p>
              </w:tc>
              <w:tc>
                <w:tcPr>
                  <w:tcW w:w="1178" w:type="pct"/>
                  <w:hideMark/>
                </w:tcPr>
                <w:p w14:paraId="7A06AAAC" w14:textId="77777777" w:rsidR="000C7BDE" w:rsidRPr="00EE22B8" w:rsidRDefault="000C7BDE" w:rsidP="000C7BDE">
                  <w:pPr>
                    <w:spacing w:before="480"/>
                    <w:jc w:val="center"/>
                    <w:rPr>
                      <w:b/>
                      <w:bCs/>
                      <w:szCs w:val="24"/>
                    </w:rPr>
                  </w:pPr>
                  <w:r w:rsidRPr="00EE22B8">
                    <w:rPr>
                      <w:b/>
                      <w:bCs/>
                      <w:color w:val="000000"/>
                    </w:rPr>
                    <w:t>Documents</w:t>
                  </w:r>
                </w:p>
              </w:tc>
            </w:tr>
            <w:tr w:rsidR="000C7BDE" w:rsidRPr="00EE22B8" w14:paraId="4EE00B06" w14:textId="77777777" w:rsidTr="006D5D58">
              <w:trPr>
                <w:trHeight w:val="20"/>
              </w:trPr>
              <w:tc>
                <w:tcPr>
                  <w:tcW w:w="242" w:type="pct"/>
                </w:tcPr>
                <w:p w14:paraId="4AC05549" w14:textId="77777777" w:rsidR="000C7BDE" w:rsidRPr="00EE22B8" w:rsidRDefault="000C7BDE" w:rsidP="000C7BDE">
                  <w:pPr>
                    <w:spacing w:before="80" w:after="80"/>
                    <w:rPr>
                      <w:szCs w:val="24"/>
                    </w:rPr>
                  </w:pPr>
                  <w:r w:rsidRPr="00EE22B8">
                    <w:rPr>
                      <w:color w:val="000000"/>
                    </w:rPr>
                    <w:t>1</w:t>
                  </w:r>
                </w:p>
              </w:tc>
              <w:tc>
                <w:tcPr>
                  <w:tcW w:w="3580" w:type="pct"/>
                </w:tcPr>
                <w:p w14:paraId="4F94BF4A" w14:textId="345560E9" w:rsidR="000C7BDE" w:rsidRPr="00EE22B8" w:rsidRDefault="000C7BDE" w:rsidP="000C7BDE">
                  <w:pPr>
                    <w:spacing w:before="80" w:after="80"/>
                    <w:rPr>
                      <w:rFonts w:asciiTheme="minorHAnsi" w:hAnsiTheme="minorHAnsi" w:cstheme="minorHAnsi"/>
                      <w:color w:val="2F2F2F"/>
                      <w:szCs w:val="24"/>
                      <w:shd w:val="clear" w:color="auto" w:fill="FFFFFF"/>
                    </w:rPr>
                  </w:pPr>
                  <w:r w:rsidRPr="00EE22B8">
                    <w:rPr>
                      <w:color w:val="000000"/>
                    </w:rPr>
                    <w:t>Dates et durée proposées pour les sessions de 2026, 2027 et</w:t>
                  </w:r>
                  <w:r w:rsidR="00230F38" w:rsidRPr="00EE22B8">
                    <w:rPr>
                      <w:color w:val="000000"/>
                    </w:rPr>
                    <w:t xml:space="preserve"> </w:t>
                  </w:r>
                  <w:r w:rsidRPr="00EE22B8">
                    <w:rPr>
                      <w:color w:val="000000"/>
                    </w:rPr>
                    <w:t xml:space="preserve">2028 du Conseil et dates proposées pour les séries de réunions des </w:t>
                  </w:r>
                  <w:r w:rsidR="009F06D4">
                    <w:rPr>
                      <w:color w:val="000000"/>
                    </w:rPr>
                    <w:t>g</w:t>
                  </w:r>
                  <w:r w:rsidRPr="00EE22B8">
                    <w:rPr>
                      <w:color w:val="000000"/>
                    </w:rPr>
                    <w:t xml:space="preserve">roupes de travail du Conseil et des </w:t>
                  </w:r>
                  <w:r w:rsidR="009F06D4">
                    <w:rPr>
                      <w:color w:val="000000"/>
                    </w:rPr>
                    <w:t>g</w:t>
                  </w:r>
                  <w:r w:rsidRPr="00EE22B8">
                    <w:rPr>
                      <w:color w:val="000000"/>
                    </w:rPr>
                    <w:t>roupes d'experts pour la même période (</w:t>
                  </w:r>
                  <w:r w:rsidRPr="00EE22B8">
                    <w:rPr>
                      <w:i/>
                      <w:iCs/>
                      <w:color w:val="000000"/>
                    </w:rPr>
                    <w:t>suite</w:t>
                  </w:r>
                  <w:r w:rsidRPr="00EE22B8">
                    <w:rPr>
                      <w:color w:val="000000"/>
                    </w:rPr>
                    <w:t>)</w:t>
                  </w:r>
                </w:p>
              </w:tc>
              <w:tc>
                <w:tcPr>
                  <w:tcW w:w="1178" w:type="pct"/>
                </w:tcPr>
                <w:p w14:paraId="187B57B2" w14:textId="32E2119C" w:rsidR="000C7BDE" w:rsidRPr="00EE22B8" w:rsidRDefault="000C7BDE" w:rsidP="000C7BDE">
                  <w:pPr>
                    <w:spacing w:before="80" w:after="80"/>
                    <w:jc w:val="center"/>
                    <w:rPr>
                      <w:sz w:val="22"/>
                      <w:szCs w:val="22"/>
                    </w:rPr>
                  </w:pPr>
                  <w:hyperlink r:id="rId6" w:history="1">
                    <w:r w:rsidRPr="00EE22B8">
                      <w:rPr>
                        <w:rStyle w:val="Hyperlink"/>
                      </w:rPr>
                      <w:t>C25/2</w:t>
                    </w:r>
                  </w:hyperlink>
                </w:p>
              </w:tc>
            </w:tr>
            <w:tr w:rsidR="000C7BDE" w:rsidRPr="00EE22B8" w14:paraId="76EE2D50" w14:textId="77777777" w:rsidTr="006D5D58">
              <w:trPr>
                <w:trHeight w:val="20"/>
              </w:trPr>
              <w:tc>
                <w:tcPr>
                  <w:tcW w:w="242" w:type="pct"/>
                </w:tcPr>
                <w:p w14:paraId="0413CA56" w14:textId="77777777" w:rsidR="000C7BDE" w:rsidRPr="00EE22B8" w:rsidRDefault="000C7BDE" w:rsidP="000C7BDE">
                  <w:pPr>
                    <w:spacing w:before="80" w:after="80"/>
                    <w:rPr>
                      <w:szCs w:val="24"/>
                    </w:rPr>
                  </w:pPr>
                  <w:r w:rsidRPr="00EE22B8">
                    <w:rPr>
                      <w:color w:val="000000"/>
                    </w:rPr>
                    <w:t>2</w:t>
                  </w:r>
                </w:p>
              </w:tc>
              <w:tc>
                <w:tcPr>
                  <w:tcW w:w="3580" w:type="pct"/>
                </w:tcPr>
                <w:p w14:paraId="064600F7" w14:textId="10627E09" w:rsidR="000C7BDE" w:rsidRPr="00EE22B8" w:rsidRDefault="000C7BDE" w:rsidP="000C7BDE">
                  <w:pPr>
                    <w:spacing w:before="80" w:after="80"/>
                    <w:rPr>
                      <w:szCs w:val="24"/>
                    </w:rPr>
                  </w:pPr>
                  <w:r w:rsidRPr="00EE22B8">
                    <w:rPr>
                      <w:color w:val="000000"/>
                    </w:rPr>
                    <w:t xml:space="preserve">Liste des </w:t>
                  </w:r>
                  <w:r w:rsidR="009F06D4">
                    <w:rPr>
                      <w:color w:val="000000"/>
                    </w:rPr>
                    <w:t>p</w:t>
                  </w:r>
                  <w:r w:rsidRPr="00EE22B8">
                    <w:rPr>
                      <w:color w:val="000000"/>
                    </w:rPr>
                    <w:t xml:space="preserve">résidents et </w:t>
                  </w:r>
                  <w:r w:rsidR="009F06D4">
                    <w:rPr>
                      <w:color w:val="000000"/>
                    </w:rPr>
                    <w:t>v</w:t>
                  </w:r>
                  <w:r w:rsidRPr="00EE22B8">
                    <w:rPr>
                      <w:color w:val="000000"/>
                    </w:rPr>
                    <w:t>ice-</w:t>
                  </w:r>
                  <w:r w:rsidR="009F06D4">
                    <w:rPr>
                      <w:color w:val="000000"/>
                    </w:rPr>
                    <w:t>p</w:t>
                  </w:r>
                  <w:r w:rsidRPr="00EE22B8">
                    <w:rPr>
                      <w:color w:val="000000"/>
                    </w:rPr>
                    <w:t xml:space="preserve">résidents des </w:t>
                  </w:r>
                  <w:r w:rsidR="009F06D4">
                    <w:rPr>
                      <w:color w:val="000000"/>
                    </w:rPr>
                    <w:t>g</w:t>
                  </w:r>
                  <w:r w:rsidRPr="00EE22B8">
                    <w:rPr>
                      <w:color w:val="000000"/>
                    </w:rPr>
                    <w:t xml:space="preserve">roupes de travail du Conseil et des </w:t>
                  </w:r>
                  <w:r w:rsidR="009F06D4">
                    <w:rPr>
                      <w:color w:val="000000"/>
                    </w:rPr>
                    <w:t>g</w:t>
                  </w:r>
                  <w:r w:rsidRPr="00EE22B8">
                    <w:rPr>
                      <w:color w:val="000000"/>
                    </w:rPr>
                    <w:t>roupes d'experts</w:t>
                  </w:r>
                </w:p>
              </w:tc>
              <w:tc>
                <w:tcPr>
                  <w:tcW w:w="1178" w:type="pct"/>
                </w:tcPr>
                <w:p w14:paraId="469FAE4A" w14:textId="36B91815" w:rsidR="000C7BDE" w:rsidRPr="00EE22B8" w:rsidRDefault="000C7BDE" w:rsidP="000C7BDE">
                  <w:pPr>
                    <w:spacing w:before="80" w:after="80"/>
                    <w:jc w:val="center"/>
                    <w:rPr>
                      <w:sz w:val="22"/>
                      <w:szCs w:val="22"/>
                    </w:rPr>
                  </w:pPr>
                  <w:hyperlink r:id="rId7" w:history="1">
                    <w:r w:rsidRPr="00EE22B8">
                      <w:rPr>
                        <w:rStyle w:val="Hyperlink"/>
                      </w:rPr>
                      <w:t>C25/21(Rév.1)</w:t>
                    </w:r>
                  </w:hyperlink>
                </w:p>
              </w:tc>
            </w:tr>
            <w:tr w:rsidR="000C7BDE" w:rsidRPr="00EE22B8" w14:paraId="39CD3723" w14:textId="77777777" w:rsidTr="006D5D58">
              <w:trPr>
                <w:trHeight w:val="20"/>
              </w:trPr>
              <w:tc>
                <w:tcPr>
                  <w:tcW w:w="242" w:type="pct"/>
                </w:tcPr>
                <w:p w14:paraId="2A4D4D80" w14:textId="77777777" w:rsidR="000C7BDE" w:rsidRPr="00EE22B8" w:rsidRDefault="000C7BDE" w:rsidP="000C7BDE">
                  <w:pPr>
                    <w:spacing w:before="80" w:after="80"/>
                    <w:rPr>
                      <w:szCs w:val="24"/>
                    </w:rPr>
                  </w:pPr>
                  <w:r w:rsidRPr="00EE22B8">
                    <w:rPr>
                      <w:color w:val="000000"/>
                    </w:rPr>
                    <w:t>3</w:t>
                  </w:r>
                </w:p>
              </w:tc>
              <w:tc>
                <w:tcPr>
                  <w:tcW w:w="3580" w:type="pct"/>
                </w:tcPr>
                <w:p w14:paraId="72A2EFA7" w14:textId="5FB99D2D" w:rsidR="000C7BDE" w:rsidRPr="00EE22B8" w:rsidRDefault="000C7BDE" w:rsidP="000C7BDE">
                  <w:pPr>
                    <w:spacing w:before="80" w:after="80"/>
                    <w:rPr>
                      <w:szCs w:val="24"/>
                    </w:rPr>
                  </w:pPr>
                  <w:r w:rsidRPr="00EE22B8">
                    <w:rPr>
                      <w:color w:val="000000"/>
                    </w:rPr>
                    <w:t>Projet de révision de la Résolution 1333 (C11, dernière mod.</w:t>
                  </w:r>
                  <w:r w:rsidR="00230F38" w:rsidRPr="00EE22B8">
                    <w:rPr>
                      <w:color w:val="000000"/>
                    </w:rPr>
                    <w:t> </w:t>
                  </w:r>
                  <w:r w:rsidRPr="00EE22B8">
                    <w:rPr>
                      <w:color w:val="000000"/>
                    </w:rPr>
                    <w:t>C16)</w:t>
                  </w:r>
                  <w:r w:rsidR="00230F38" w:rsidRPr="00EE22B8">
                    <w:rPr>
                      <w:color w:val="000000"/>
                    </w:rPr>
                    <w:t> </w:t>
                  </w:r>
                  <w:r w:rsidRPr="00EE22B8">
                    <w:rPr>
                      <w:color w:val="000000"/>
                    </w:rPr>
                    <w:t xml:space="preserve">– Principes directeurs régissant la création, la gestion et la cessation des activités des </w:t>
                  </w:r>
                  <w:r w:rsidR="00597EF5">
                    <w:rPr>
                      <w:color w:val="000000"/>
                    </w:rPr>
                    <w:t>g</w:t>
                  </w:r>
                  <w:r w:rsidRPr="00EE22B8">
                    <w:rPr>
                      <w:color w:val="000000"/>
                    </w:rPr>
                    <w:t>roupes de travail du Conseil</w:t>
                  </w:r>
                </w:p>
              </w:tc>
              <w:tc>
                <w:tcPr>
                  <w:tcW w:w="1178" w:type="pct"/>
                </w:tcPr>
                <w:p w14:paraId="6FD0D6CC" w14:textId="7DAB5FA3" w:rsidR="000C7BDE" w:rsidRPr="00EE22B8" w:rsidRDefault="000C7BDE" w:rsidP="000C7BDE">
                  <w:pPr>
                    <w:spacing w:before="80" w:after="80"/>
                    <w:jc w:val="center"/>
                  </w:pPr>
                  <w:hyperlink r:id="rId8" w:history="1">
                    <w:r w:rsidRPr="00EE22B8">
                      <w:rPr>
                        <w:rStyle w:val="Hyperlink"/>
                      </w:rPr>
                      <w:t>C25/77</w:t>
                    </w:r>
                  </w:hyperlink>
                </w:p>
              </w:tc>
            </w:tr>
            <w:tr w:rsidR="000C7BDE" w:rsidRPr="00EE22B8" w14:paraId="6E74B43A" w14:textId="77777777" w:rsidTr="006D5D58">
              <w:trPr>
                <w:trHeight w:val="20"/>
              </w:trPr>
              <w:tc>
                <w:tcPr>
                  <w:tcW w:w="242" w:type="pct"/>
                </w:tcPr>
                <w:p w14:paraId="10C90A44" w14:textId="77777777" w:rsidR="000C7BDE" w:rsidRPr="00EE22B8" w:rsidRDefault="000C7BDE" w:rsidP="000C7BDE">
                  <w:pPr>
                    <w:spacing w:before="80" w:after="80"/>
                    <w:rPr>
                      <w:szCs w:val="24"/>
                    </w:rPr>
                  </w:pPr>
                  <w:r w:rsidRPr="00EE22B8">
                    <w:rPr>
                      <w:color w:val="000000"/>
                    </w:rPr>
                    <w:t>4</w:t>
                  </w:r>
                </w:p>
              </w:tc>
              <w:tc>
                <w:tcPr>
                  <w:tcW w:w="3580" w:type="pct"/>
                </w:tcPr>
                <w:p w14:paraId="0B9B904C" w14:textId="77777777" w:rsidR="000C7BDE" w:rsidRPr="00EE22B8" w:rsidRDefault="000C7BDE" w:rsidP="000C7BDE">
                  <w:pPr>
                    <w:spacing w:before="80" w:after="80"/>
                    <w:rPr>
                      <w:szCs w:val="24"/>
                    </w:rPr>
                  </w:pPr>
                  <w:r w:rsidRPr="00EE22B8">
                    <w:rPr>
                      <w:color w:val="000000"/>
                    </w:rPr>
                    <w:t>Résolutions et Décisions du Conseil devenues caduques</w:t>
                  </w:r>
                </w:p>
              </w:tc>
              <w:tc>
                <w:tcPr>
                  <w:tcW w:w="1178" w:type="pct"/>
                </w:tcPr>
                <w:p w14:paraId="69FB72EC" w14:textId="385E19EA" w:rsidR="000C7BDE" w:rsidRPr="00EE22B8" w:rsidDel="005939BE" w:rsidRDefault="000C7BDE" w:rsidP="000C7BDE">
                  <w:pPr>
                    <w:spacing w:before="80" w:after="80"/>
                    <w:jc w:val="center"/>
                  </w:pPr>
                  <w:hyperlink r:id="rId9" w:history="1">
                    <w:r w:rsidRPr="00EE22B8">
                      <w:rPr>
                        <w:rStyle w:val="Hyperlink"/>
                        <w:rFonts w:eastAsia="Calibri"/>
                      </w:rPr>
                      <w:t>C25/</w:t>
                    </w:r>
                    <w:r w:rsidRPr="00EE22B8">
                      <w:rPr>
                        <w:rStyle w:val="Hyperlink"/>
                        <w:rFonts w:eastAsia="Calibri"/>
                        <w:bCs/>
                        <w:kern w:val="2"/>
                        <w:szCs w:val="28"/>
                        <w14:ligatures w14:val="standardContextual"/>
                      </w:rPr>
                      <w:t>3</w:t>
                    </w:r>
                  </w:hyperlink>
                </w:p>
              </w:tc>
            </w:tr>
            <w:tr w:rsidR="000C7BDE" w:rsidRPr="00EE22B8" w14:paraId="5F26417B" w14:textId="77777777" w:rsidTr="006D5D58">
              <w:trPr>
                <w:trHeight w:val="20"/>
              </w:trPr>
              <w:tc>
                <w:tcPr>
                  <w:tcW w:w="242" w:type="pct"/>
                </w:tcPr>
                <w:p w14:paraId="0E3315E0" w14:textId="77777777" w:rsidR="000C7BDE" w:rsidRPr="00EE22B8" w:rsidRDefault="000C7BDE" w:rsidP="000C7BDE">
                  <w:pPr>
                    <w:spacing w:before="80" w:after="80"/>
                    <w:rPr>
                      <w:szCs w:val="24"/>
                    </w:rPr>
                  </w:pPr>
                  <w:r w:rsidRPr="00EE22B8">
                    <w:rPr>
                      <w:color w:val="000000"/>
                    </w:rPr>
                    <w:t>5</w:t>
                  </w:r>
                </w:p>
              </w:tc>
              <w:tc>
                <w:tcPr>
                  <w:tcW w:w="3580" w:type="pct"/>
                </w:tcPr>
                <w:p w14:paraId="58DAEF24" w14:textId="77777777" w:rsidR="000C7BDE" w:rsidRPr="00EE22B8" w:rsidRDefault="000C7BDE" w:rsidP="000C7BDE">
                  <w:pPr>
                    <w:spacing w:before="80" w:after="80"/>
                    <w:rPr>
                      <w:szCs w:val="24"/>
                    </w:rPr>
                  </w:pPr>
                  <w:r w:rsidRPr="00EE22B8">
                    <w:rPr>
                      <w:color w:val="000000"/>
                    </w:rPr>
                    <w:t>Rapport de la Présidente de la Commission permanente de l'administration et de la gestion</w:t>
                  </w:r>
                </w:p>
              </w:tc>
              <w:tc>
                <w:tcPr>
                  <w:tcW w:w="1178" w:type="pct"/>
                </w:tcPr>
                <w:p w14:paraId="62151DD4" w14:textId="7EEEE9C2" w:rsidR="000C7BDE" w:rsidRPr="00EE22B8" w:rsidRDefault="000C7BDE" w:rsidP="000C7BDE">
                  <w:pPr>
                    <w:spacing w:before="80" w:after="80"/>
                    <w:jc w:val="center"/>
                  </w:pPr>
                  <w:hyperlink r:id="rId10" w:history="1">
                    <w:r w:rsidRPr="00EE22B8">
                      <w:rPr>
                        <w:rStyle w:val="Hyperlink"/>
                      </w:rPr>
                      <w:t>C25/105</w:t>
                    </w:r>
                  </w:hyperlink>
                </w:p>
              </w:tc>
            </w:tr>
            <w:tr w:rsidR="000C7BDE" w:rsidRPr="00EE22B8" w14:paraId="7443ADAF" w14:textId="77777777" w:rsidTr="006D5D58">
              <w:trPr>
                <w:trHeight w:val="20"/>
              </w:trPr>
              <w:tc>
                <w:tcPr>
                  <w:tcW w:w="242" w:type="pct"/>
                </w:tcPr>
                <w:p w14:paraId="59AAE200" w14:textId="77777777" w:rsidR="000C7BDE" w:rsidRPr="00EE22B8" w:rsidRDefault="000C7BDE" w:rsidP="000C7BDE">
                  <w:pPr>
                    <w:spacing w:before="80" w:after="80"/>
                    <w:rPr>
                      <w:szCs w:val="24"/>
                    </w:rPr>
                  </w:pPr>
                  <w:r w:rsidRPr="00EE22B8">
                    <w:rPr>
                      <w:color w:val="000000"/>
                    </w:rPr>
                    <w:t>6</w:t>
                  </w:r>
                </w:p>
              </w:tc>
              <w:tc>
                <w:tcPr>
                  <w:tcW w:w="3580" w:type="pct"/>
                </w:tcPr>
                <w:p w14:paraId="0BACFD6F" w14:textId="77777777" w:rsidR="000C7BDE" w:rsidRPr="00EE22B8" w:rsidRDefault="000C7BDE" w:rsidP="000C7BDE">
                  <w:pPr>
                    <w:spacing w:before="80" w:after="80"/>
                    <w:rPr>
                      <w:szCs w:val="24"/>
                    </w:rPr>
                  </w:pPr>
                  <w:r w:rsidRPr="00EE22B8">
                    <w:rPr>
                      <w:color w:val="000000"/>
                    </w:rPr>
                    <w:t>Clôture de la session du Conseil</w:t>
                  </w:r>
                </w:p>
              </w:tc>
              <w:tc>
                <w:tcPr>
                  <w:tcW w:w="1178" w:type="pct"/>
                </w:tcPr>
                <w:p w14:paraId="0683403A" w14:textId="1770E585" w:rsidR="000C7BDE" w:rsidRPr="00EE22B8" w:rsidRDefault="000C7BDE" w:rsidP="000C7BDE">
                  <w:pPr>
                    <w:spacing w:before="80" w:after="80"/>
                    <w:jc w:val="center"/>
                    <w:rPr>
                      <w:sz w:val="22"/>
                      <w:szCs w:val="22"/>
                    </w:rPr>
                  </w:pPr>
                  <w:r w:rsidRPr="00EE22B8">
                    <w:rPr>
                      <w:sz w:val="22"/>
                      <w:szCs w:val="22"/>
                    </w:rPr>
                    <w:t>–</w:t>
                  </w:r>
                </w:p>
              </w:tc>
            </w:tr>
            <w:bookmarkEnd w:id="0"/>
          </w:tbl>
          <w:p w14:paraId="3E666B6B" w14:textId="0FABFD8A" w:rsidR="00D72F49" w:rsidRPr="00EE22B8" w:rsidRDefault="00D72F49" w:rsidP="000C7BDE">
            <w:pPr>
              <w:pStyle w:val="Subtitle"/>
              <w:framePr w:hSpace="0" w:wrap="auto" w:hAnchor="text" w:xAlign="left" w:yAlign="inline"/>
              <w:jc w:val="center"/>
              <w:rPr>
                <w:sz w:val="32"/>
                <w:szCs w:val="32"/>
                <w:lang w:val="fr-FR"/>
              </w:rPr>
            </w:pPr>
          </w:p>
        </w:tc>
      </w:tr>
    </w:tbl>
    <w:p w14:paraId="72D2451A" w14:textId="77777777" w:rsidR="00A51849" w:rsidRPr="00EE22B8" w:rsidRDefault="00A51849">
      <w:pPr>
        <w:tabs>
          <w:tab w:val="clear" w:pos="567"/>
          <w:tab w:val="clear" w:pos="1134"/>
          <w:tab w:val="clear" w:pos="1701"/>
          <w:tab w:val="clear" w:pos="2268"/>
          <w:tab w:val="clear" w:pos="2835"/>
        </w:tabs>
        <w:overflowPunct/>
        <w:autoSpaceDE/>
        <w:autoSpaceDN/>
        <w:adjustRightInd/>
        <w:spacing w:before="0"/>
        <w:textAlignment w:val="auto"/>
      </w:pPr>
      <w:r w:rsidRPr="00EE22B8">
        <w:br w:type="page"/>
      </w:r>
    </w:p>
    <w:p w14:paraId="11DFBF28" w14:textId="31DADAB8" w:rsidR="000C7BDE" w:rsidRPr="00EE22B8" w:rsidRDefault="000C7BDE" w:rsidP="000C7BDE">
      <w:pPr>
        <w:pStyle w:val="Heading1"/>
      </w:pPr>
      <w:r w:rsidRPr="00EE22B8">
        <w:lastRenderedPageBreak/>
        <w:t>1</w:t>
      </w:r>
      <w:r w:rsidRPr="00EE22B8">
        <w:tab/>
        <w:t xml:space="preserve">Dates et durée proposées pour les sessions de 2026, 2027 et 2028 du Conseil et dates proposées pour les séries de réunions des </w:t>
      </w:r>
      <w:r w:rsidR="00384F55">
        <w:t>g</w:t>
      </w:r>
      <w:r w:rsidRPr="00EE22B8">
        <w:t xml:space="preserve">roupes de travail du Conseil et des </w:t>
      </w:r>
      <w:r w:rsidR="00384F55">
        <w:t>g</w:t>
      </w:r>
      <w:r w:rsidRPr="00EE22B8">
        <w:t>roupes d'experts pour la même période (</w:t>
      </w:r>
      <w:r w:rsidRPr="00EE22B8">
        <w:rPr>
          <w:i/>
          <w:iCs/>
        </w:rPr>
        <w:t>suite</w:t>
      </w:r>
      <w:r w:rsidRPr="00EE22B8">
        <w:t>) (</w:t>
      </w:r>
      <w:r w:rsidR="00221EF3" w:rsidRPr="00221EF3">
        <w:t xml:space="preserve">Document </w:t>
      </w:r>
      <w:hyperlink r:id="rId11" w:history="1">
        <w:proofErr w:type="spellStart"/>
        <w:r w:rsidRPr="00EE22B8">
          <w:rPr>
            <w:rStyle w:val="Hyperlink"/>
            <w:rFonts w:eastAsia="Times New Roman" w:cs="Times New Roman"/>
            <w:szCs w:val="20"/>
          </w:rPr>
          <w:t>C25</w:t>
        </w:r>
        <w:proofErr w:type="spellEnd"/>
        <w:r w:rsidRPr="00EE22B8">
          <w:rPr>
            <w:rStyle w:val="Hyperlink"/>
            <w:rFonts w:eastAsia="Times New Roman" w:cs="Times New Roman"/>
            <w:szCs w:val="20"/>
          </w:rPr>
          <w:t>/2</w:t>
        </w:r>
      </w:hyperlink>
      <w:r w:rsidRPr="00EE22B8">
        <w:t>)</w:t>
      </w:r>
    </w:p>
    <w:p w14:paraId="4FB50F3D" w14:textId="0BB96B3E" w:rsidR="000C7BDE" w:rsidRPr="00EE22B8" w:rsidRDefault="000C7BDE" w:rsidP="00221EF3">
      <w:pPr>
        <w:jc w:val="both"/>
      </w:pPr>
      <w:r w:rsidRPr="00EE22B8">
        <w:t>1.1</w:t>
      </w:r>
      <w:r w:rsidRPr="00EE22B8">
        <w:tab/>
        <w:t>La Secrétaire de la plénière déclare qu'après avoir examiné les dates proposées pour la session de 2026 du Conseil en tenant compte de la demande formulée à la septième séance plénière, il est préférable de maintenir les dates proposées initialement, afin d</w:t>
      </w:r>
      <w:r w:rsidR="00230F38" w:rsidRPr="00EE22B8">
        <w:t>'</w:t>
      </w:r>
      <w:r w:rsidRPr="00EE22B8">
        <w:t>éviter des conflits avec les dates des réunions des groupes de travail des Secteurs en avril 2026.</w:t>
      </w:r>
    </w:p>
    <w:p w14:paraId="7016695B" w14:textId="2F30E85F" w:rsidR="000C7BDE" w:rsidRPr="00EE22B8" w:rsidRDefault="000C7BDE" w:rsidP="00221EF3">
      <w:pPr>
        <w:jc w:val="both"/>
      </w:pPr>
      <w:r w:rsidRPr="00EE22B8">
        <w:t>1.2</w:t>
      </w:r>
      <w:r w:rsidRPr="00EE22B8">
        <w:tab/>
        <w:t xml:space="preserve">La Présidente propose que le Conseil confirme les dates de ses sessions de 2026, 2027 et 2028 ainsi que les dates des séries de réunions des </w:t>
      </w:r>
      <w:r w:rsidR="009F06D4">
        <w:t>g</w:t>
      </w:r>
      <w:r w:rsidRPr="00EE22B8">
        <w:t xml:space="preserve">roupes de travail du Conseil (GTC) et des </w:t>
      </w:r>
      <w:r w:rsidR="009F06D4">
        <w:t>g</w:t>
      </w:r>
      <w:r w:rsidRPr="00EE22B8">
        <w:t>roupes d'experts pour la même période, adopte la décision figurant dans l</w:t>
      </w:r>
      <w:r w:rsidR="00230F38" w:rsidRPr="00EE22B8">
        <w:t>'</w:t>
      </w:r>
      <w:r w:rsidR="009F06D4">
        <w:t>a</w:t>
      </w:r>
      <w:r w:rsidRPr="00EE22B8">
        <w:t>nnexe du Document</w:t>
      </w:r>
      <w:r w:rsidR="009F06D4">
        <w:t> </w:t>
      </w:r>
      <w:r w:rsidRPr="00EE22B8">
        <w:t>C25/2 et demande au Secrétariat de tenir compte de la demande visant à éviter que les réunions des GTC se tiennent en janvier.</w:t>
      </w:r>
    </w:p>
    <w:p w14:paraId="26D4ABDD" w14:textId="77777777" w:rsidR="000C7BDE" w:rsidRPr="00EE22B8" w:rsidRDefault="000C7BDE" w:rsidP="00221EF3">
      <w:pPr>
        <w:jc w:val="both"/>
      </w:pPr>
      <w:r w:rsidRPr="00EE22B8">
        <w:t>1.3</w:t>
      </w:r>
      <w:r w:rsidRPr="00EE22B8">
        <w:tab/>
        <w:t xml:space="preserve">Il en est ainsi </w:t>
      </w:r>
      <w:r w:rsidRPr="00EE22B8">
        <w:rPr>
          <w:b/>
          <w:bCs/>
        </w:rPr>
        <w:t>décidé</w:t>
      </w:r>
      <w:r w:rsidRPr="00EE22B8">
        <w:t>.</w:t>
      </w:r>
    </w:p>
    <w:p w14:paraId="47D21507" w14:textId="6E4E3162" w:rsidR="000C7BDE" w:rsidRPr="00EE22B8" w:rsidRDefault="000C7BDE" w:rsidP="00935C66">
      <w:pPr>
        <w:pStyle w:val="Heading1"/>
        <w:spacing w:before="360"/>
      </w:pPr>
      <w:r w:rsidRPr="00EE22B8">
        <w:t>2</w:t>
      </w:r>
      <w:r w:rsidRPr="00EE22B8">
        <w:tab/>
        <w:t>Liste des présidents et vice-présidents des groupes de travail du Conseil et des groupes d'experts (</w:t>
      </w:r>
      <w:r w:rsidR="00221EF3" w:rsidRPr="00221EF3">
        <w:t xml:space="preserve">Document </w:t>
      </w:r>
      <w:hyperlink r:id="rId12" w:history="1">
        <w:proofErr w:type="spellStart"/>
        <w:r w:rsidRPr="00EE22B8">
          <w:rPr>
            <w:rStyle w:val="Hyperlink"/>
            <w:rFonts w:eastAsia="Times New Roman" w:cs="Times New Roman"/>
            <w:szCs w:val="20"/>
          </w:rPr>
          <w:t>C25</w:t>
        </w:r>
        <w:proofErr w:type="spellEnd"/>
        <w:r w:rsidRPr="00EE22B8">
          <w:rPr>
            <w:rStyle w:val="Hyperlink"/>
            <w:rFonts w:eastAsia="Times New Roman" w:cs="Times New Roman"/>
            <w:szCs w:val="20"/>
          </w:rPr>
          <w:t>/21(</w:t>
        </w:r>
        <w:proofErr w:type="spellStart"/>
        <w:r w:rsidRPr="00EE22B8">
          <w:rPr>
            <w:rStyle w:val="Hyperlink"/>
            <w:rFonts w:eastAsia="Times New Roman" w:cs="Times New Roman"/>
            <w:szCs w:val="20"/>
          </w:rPr>
          <w:t>Rév.1</w:t>
        </w:r>
        <w:proofErr w:type="spellEnd"/>
        <w:r w:rsidRPr="00EE22B8">
          <w:rPr>
            <w:rStyle w:val="Hyperlink"/>
            <w:rFonts w:eastAsia="Times New Roman" w:cs="Times New Roman"/>
            <w:szCs w:val="20"/>
          </w:rPr>
          <w:t>)</w:t>
        </w:r>
      </w:hyperlink>
      <w:r w:rsidRPr="00EE22B8">
        <w:t>)</w:t>
      </w:r>
    </w:p>
    <w:p w14:paraId="617D7BEB" w14:textId="7C32448B" w:rsidR="000C7BDE" w:rsidRPr="00EE22B8" w:rsidRDefault="000C7BDE" w:rsidP="00221EF3">
      <w:pPr>
        <w:jc w:val="both"/>
      </w:pPr>
      <w:r w:rsidRPr="00EE22B8">
        <w:t>2.1</w:t>
      </w:r>
      <w:r w:rsidRPr="00EE22B8">
        <w:tab/>
        <w:t>La Secrétaire de la plénière présente le Document C25/21(Rév.1), qui contient la liste des présidents et vice-présidents des groupes de travail du Conseil et des groupes d</w:t>
      </w:r>
      <w:r w:rsidR="00230F38" w:rsidRPr="00EE22B8">
        <w:t>'</w:t>
      </w:r>
      <w:r w:rsidRPr="00EE22B8">
        <w:t>experts, ainsi que les postes vacants et les nouvelles candidatures.</w:t>
      </w:r>
    </w:p>
    <w:p w14:paraId="2607C010" w14:textId="1F77917B" w:rsidR="000C7BDE" w:rsidRPr="00EE22B8" w:rsidRDefault="000C7BDE" w:rsidP="00221EF3">
      <w:pPr>
        <w:jc w:val="both"/>
      </w:pPr>
      <w:r w:rsidRPr="00EE22B8">
        <w:t>2.2</w:t>
      </w:r>
      <w:r w:rsidRPr="00EE22B8">
        <w:tab/>
        <w:t>Une conseillère, qui souligne combien il importe que tous les États Membres puissent participer aux activités de l</w:t>
      </w:r>
      <w:r w:rsidR="00230F38" w:rsidRPr="00EE22B8">
        <w:t>'</w:t>
      </w:r>
      <w:r w:rsidRPr="00EE22B8">
        <w:t>Union sur un pied d</w:t>
      </w:r>
      <w:r w:rsidR="00230F38" w:rsidRPr="00EE22B8">
        <w:t>'</w:t>
      </w:r>
      <w:r w:rsidRPr="00EE22B8">
        <w:t>égalité, appuie la candidature proposée pour le poste de vice-président du Groupe de travail du Conseil sur l</w:t>
      </w:r>
      <w:r w:rsidR="00230F38" w:rsidRPr="00EE22B8">
        <w:t>'</w:t>
      </w:r>
      <w:r w:rsidRPr="00EE22B8">
        <w:t>utilisation des six langues officielles (GTC-LANG) pour la langue russe. Un autre conseiller insiste sur l'importance de définir une marche à suivre pour assurer une représentation égale de toutes les langues officielles au sein du GTC-LANG.</w:t>
      </w:r>
    </w:p>
    <w:p w14:paraId="125FE98D" w14:textId="391A4D79" w:rsidR="000C7BDE" w:rsidRPr="00EE22B8" w:rsidRDefault="000C7BDE" w:rsidP="00221EF3">
      <w:pPr>
        <w:jc w:val="both"/>
      </w:pPr>
      <w:r w:rsidRPr="00EE22B8">
        <w:t>2.3</w:t>
      </w:r>
      <w:r w:rsidRPr="00EE22B8">
        <w:tab/>
        <w:t>La Présidente invite le Conseil à approuver la nomination des candidats aux fonctions de président et vice-président des groupes de travail du Conseil et des groupes d</w:t>
      </w:r>
      <w:r w:rsidR="00230F38" w:rsidRPr="00EE22B8">
        <w:t>'</w:t>
      </w:r>
      <w:r w:rsidRPr="00EE22B8">
        <w:t>experts, à l</w:t>
      </w:r>
      <w:r w:rsidR="00230F38" w:rsidRPr="00EE22B8">
        <w:t>'</w:t>
      </w:r>
      <w:r w:rsidRPr="00EE22B8">
        <w:t>exception de la nomination du vice-président du GTC-LANG pour la langue russe. Elle propose de demander au GTC-LANG d</w:t>
      </w:r>
      <w:r w:rsidR="00230F38" w:rsidRPr="00EE22B8">
        <w:t>'</w:t>
      </w:r>
      <w:r w:rsidRPr="00EE22B8">
        <w:t>examiner la possibilité d</w:t>
      </w:r>
      <w:r w:rsidR="00230F38" w:rsidRPr="00EE22B8">
        <w:t>'</w:t>
      </w:r>
      <w:r w:rsidRPr="00EE22B8">
        <w:t>élargir la participation aux Membres de Secteur, en particulier aux organisations régionales de télécommunication, et d</w:t>
      </w:r>
      <w:r w:rsidR="00230F38" w:rsidRPr="00EE22B8">
        <w:t>'</w:t>
      </w:r>
      <w:r w:rsidRPr="00EE22B8">
        <w:t>apporter éventuellement des modifications au mandat, lesquelles pourront être présentées au Conseil ultérieurement.</w:t>
      </w:r>
    </w:p>
    <w:p w14:paraId="048F817F" w14:textId="459F927A" w:rsidR="000C7BDE" w:rsidRPr="00EE22B8" w:rsidRDefault="000C7BDE" w:rsidP="00221EF3">
      <w:pPr>
        <w:jc w:val="both"/>
      </w:pPr>
      <w:r w:rsidRPr="00EE22B8">
        <w:t>2.4</w:t>
      </w:r>
      <w:r w:rsidRPr="00EE22B8">
        <w:tab/>
        <w:t xml:space="preserve">Il en est ainsi </w:t>
      </w:r>
      <w:r w:rsidRPr="00EE22B8">
        <w:rPr>
          <w:b/>
          <w:bCs/>
        </w:rPr>
        <w:t>décidé</w:t>
      </w:r>
      <w:r w:rsidRPr="00EE22B8">
        <w:t>.</w:t>
      </w:r>
    </w:p>
    <w:p w14:paraId="10678C41" w14:textId="39DAD4C1" w:rsidR="000C7BDE" w:rsidRPr="00EE22B8" w:rsidRDefault="000C7BDE" w:rsidP="00221EF3">
      <w:pPr>
        <w:jc w:val="both"/>
      </w:pPr>
      <w:r w:rsidRPr="00EE22B8">
        <w:t>2.5</w:t>
      </w:r>
      <w:r w:rsidRPr="00EE22B8">
        <w:tab/>
        <w:t xml:space="preserve">Le Conseil </w:t>
      </w:r>
      <w:r w:rsidRPr="00EE22B8">
        <w:rPr>
          <w:b/>
          <w:bCs/>
        </w:rPr>
        <w:t>prend note</w:t>
      </w:r>
      <w:r w:rsidRPr="00EE22B8">
        <w:t xml:space="preserve"> du Document C25/21(Rév.1) et de son </w:t>
      </w:r>
      <w:r w:rsidR="009F06D4">
        <w:t>a</w:t>
      </w:r>
      <w:r w:rsidRPr="00EE22B8">
        <w:t>nnexe.</w:t>
      </w:r>
    </w:p>
    <w:p w14:paraId="6F7C460B" w14:textId="05BC71CB" w:rsidR="000C7BDE" w:rsidRPr="00EE22B8" w:rsidRDefault="000C7BDE" w:rsidP="00221EF3">
      <w:pPr>
        <w:jc w:val="both"/>
      </w:pPr>
      <w:r w:rsidRPr="00EE22B8">
        <w:t>2.6</w:t>
      </w:r>
      <w:r w:rsidRPr="00EE22B8">
        <w:tab/>
        <w:t xml:space="preserve">L'observateur de la Fédération de Russie prononce la déclaration suivante: </w:t>
      </w:r>
      <w:hyperlink r:id="rId13" w:history="1">
        <w:r w:rsidRPr="00EE22B8">
          <w:rPr>
            <w:rStyle w:val="Hyperlink"/>
            <w:rFonts w:eastAsia="Times New Roman" w:cs="Times New Roman"/>
            <w:szCs w:val="20"/>
          </w:rPr>
          <w:t>council.itu.int/2025/wp-content/uploads/sites/5/2025/07/Statement_Russia_CWG-lang_27062025_e.pdf</w:t>
        </w:r>
      </w:hyperlink>
      <w:r w:rsidRPr="00EE22B8">
        <w:t>.</w:t>
      </w:r>
    </w:p>
    <w:p w14:paraId="0D980930" w14:textId="4233EB42" w:rsidR="000C7BDE" w:rsidRPr="00EE22B8" w:rsidRDefault="000C7BDE" w:rsidP="00935C66">
      <w:pPr>
        <w:pStyle w:val="Heading1"/>
        <w:spacing w:before="360"/>
      </w:pPr>
      <w:r w:rsidRPr="00EE22B8">
        <w:lastRenderedPageBreak/>
        <w:t>3</w:t>
      </w:r>
      <w:r w:rsidRPr="00EE22B8">
        <w:tab/>
        <w:t xml:space="preserve">Projet de révision de la Résolution 1333 (C11, dernière mod. C16) – Principes directeurs régissant la création, la gestion et la cessation des activités des </w:t>
      </w:r>
      <w:r w:rsidR="00625A70">
        <w:t>g</w:t>
      </w:r>
      <w:r w:rsidRPr="00EE22B8">
        <w:t>roupes de travail du Conseil (</w:t>
      </w:r>
      <w:r w:rsidR="00221EF3" w:rsidRPr="00221EF3">
        <w:t xml:space="preserve">Document </w:t>
      </w:r>
      <w:hyperlink r:id="rId14" w:history="1">
        <w:proofErr w:type="spellStart"/>
        <w:r w:rsidRPr="00EE22B8">
          <w:rPr>
            <w:rStyle w:val="Hyperlink"/>
            <w:rFonts w:eastAsia="Times New Roman" w:cs="Times New Roman"/>
            <w:szCs w:val="20"/>
          </w:rPr>
          <w:t>C25</w:t>
        </w:r>
        <w:proofErr w:type="spellEnd"/>
        <w:r w:rsidRPr="00EE22B8">
          <w:rPr>
            <w:rStyle w:val="Hyperlink"/>
            <w:rFonts w:eastAsia="Times New Roman" w:cs="Times New Roman"/>
            <w:szCs w:val="20"/>
          </w:rPr>
          <w:t>/77</w:t>
        </w:r>
      </w:hyperlink>
      <w:r w:rsidRPr="00EE22B8">
        <w:t>)</w:t>
      </w:r>
    </w:p>
    <w:p w14:paraId="1CA52D36" w14:textId="439DF73A" w:rsidR="000C7BDE" w:rsidRPr="00EE22B8" w:rsidRDefault="000C7BDE" w:rsidP="00FF1969">
      <w:pPr>
        <w:spacing w:before="100"/>
        <w:jc w:val="both"/>
      </w:pPr>
      <w:r w:rsidRPr="00EE22B8">
        <w:t>3.1</w:t>
      </w:r>
      <w:r w:rsidRPr="00EE22B8">
        <w:tab/>
        <w:t>L</w:t>
      </w:r>
      <w:r w:rsidR="00230F38" w:rsidRPr="00EE22B8">
        <w:t>'</w:t>
      </w:r>
      <w:r w:rsidRPr="00EE22B8">
        <w:t>observateur de la Fédération de Russie présente le projet de révision de la Résolution</w:t>
      </w:r>
      <w:r w:rsidR="003800D9" w:rsidRPr="00EE22B8">
        <w:t> </w:t>
      </w:r>
      <w:r w:rsidRPr="00EE22B8">
        <w:t>1333 (C11, dernière mod. C16) du Conseil figurant dans le Document C25/77, qui</w:t>
      </w:r>
      <w:r w:rsidR="003800D9" w:rsidRPr="00EE22B8">
        <w:t> </w:t>
      </w:r>
      <w:r w:rsidRPr="00EE22B8">
        <w:t>vise à garantir la conformité avec la Résolution 208 (Rév. Bucarest, 2022) et la Décision</w:t>
      </w:r>
      <w:r w:rsidR="003800D9" w:rsidRPr="00EE22B8">
        <w:t> </w:t>
      </w:r>
      <w:r w:rsidRPr="00EE22B8">
        <w:t>11</w:t>
      </w:r>
      <w:r w:rsidR="003800D9" w:rsidRPr="00EE22B8">
        <w:t> </w:t>
      </w:r>
      <w:r w:rsidRPr="00EE22B8">
        <w:t>(Rév.</w:t>
      </w:r>
      <w:r w:rsidR="003800D9" w:rsidRPr="00EE22B8">
        <w:t> </w:t>
      </w:r>
      <w:r w:rsidRPr="00EE22B8">
        <w:t>Bucarest, 2022) de la Conférence de plénipotentiaires et à fixer des dates limites pour la publication des rapports des réunions des groupes de travail du Conseil.</w:t>
      </w:r>
    </w:p>
    <w:p w14:paraId="07C441FE" w14:textId="33010167" w:rsidR="000C7BDE" w:rsidRPr="00EE22B8" w:rsidRDefault="000C7BDE" w:rsidP="00FF1969">
      <w:pPr>
        <w:spacing w:before="100"/>
        <w:jc w:val="both"/>
      </w:pPr>
      <w:r w:rsidRPr="00EE22B8">
        <w:t>3.2</w:t>
      </w:r>
      <w:r w:rsidRPr="00EE22B8">
        <w:tab/>
        <w:t>En réponse à une question d</w:t>
      </w:r>
      <w:r w:rsidR="00230F38" w:rsidRPr="00EE22B8">
        <w:t>'</w:t>
      </w:r>
      <w:r w:rsidRPr="00EE22B8">
        <w:t>une conseillère, la Secrétaire de la plénière confirme que la Constitution de l</w:t>
      </w:r>
      <w:r w:rsidR="00230F38" w:rsidRPr="00EE22B8">
        <w:t>'</w:t>
      </w:r>
      <w:r w:rsidRPr="00EE22B8">
        <w:t>UIT ne contient aucune disposition limitant la participation des États</w:t>
      </w:r>
      <w:r w:rsidR="003800D9" w:rsidRPr="00EE22B8">
        <w:t> </w:t>
      </w:r>
      <w:r w:rsidRPr="00EE22B8">
        <w:t>Membres aux travaux d</w:t>
      </w:r>
      <w:r w:rsidR="00230F38" w:rsidRPr="00EE22B8">
        <w:t>'</w:t>
      </w:r>
      <w:r w:rsidRPr="00EE22B8">
        <w:t>un groupe de travail ou d</w:t>
      </w:r>
      <w:r w:rsidR="00230F38" w:rsidRPr="00EE22B8">
        <w:t>'</w:t>
      </w:r>
      <w:r w:rsidRPr="00EE22B8">
        <w:t>un organe du Conseil.</w:t>
      </w:r>
    </w:p>
    <w:p w14:paraId="0F246ACB" w14:textId="73071EB4" w:rsidR="000C7BDE" w:rsidRPr="00EE22B8" w:rsidRDefault="000C7BDE" w:rsidP="00FF1969">
      <w:pPr>
        <w:spacing w:before="100"/>
        <w:jc w:val="both"/>
      </w:pPr>
      <w:r w:rsidRPr="00EE22B8">
        <w:t>3.3</w:t>
      </w:r>
      <w:r w:rsidRPr="00EE22B8">
        <w:tab/>
        <w:t>La Présidente propose que le Conseil adopte la révision de la Résolution 1333 (C11,</w:t>
      </w:r>
      <w:r w:rsidR="00625A70">
        <w:t> </w:t>
      </w:r>
      <w:r w:rsidRPr="00EE22B8">
        <w:t>dernière mod. C16) du Conseil, telle qu</w:t>
      </w:r>
      <w:r w:rsidR="00230F38" w:rsidRPr="00EE22B8">
        <w:t>'</w:t>
      </w:r>
      <w:r w:rsidRPr="00EE22B8">
        <w:t>elle figure dans le Document C25/77, et abroge la Décision 584 (C15) du Conseil, qui est devenue caduque.</w:t>
      </w:r>
    </w:p>
    <w:p w14:paraId="0321A619" w14:textId="77777777" w:rsidR="000C7BDE" w:rsidRPr="00EE22B8" w:rsidRDefault="000C7BDE" w:rsidP="00FF1969">
      <w:pPr>
        <w:spacing w:before="100"/>
        <w:jc w:val="both"/>
      </w:pPr>
      <w:r w:rsidRPr="00EE22B8">
        <w:t>3.4</w:t>
      </w:r>
      <w:r w:rsidRPr="00EE22B8">
        <w:tab/>
        <w:t xml:space="preserve">Il en est ainsi </w:t>
      </w:r>
      <w:r w:rsidRPr="00EE22B8">
        <w:rPr>
          <w:b/>
          <w:bCs/>
        </w:rPr>
        <w:t>décidé</w:t>
      </w:r>
      <w:r w:rsidRPr="00EE22B8">
        <w:t>.</w:t>
      </w:r>
    </w:p>
    <w:p w14:paraId="3CEDB0F9" w14:textId="7DFB5A3A" w:rsidR="000C7BDE" w:rsidRPr="008635F4" w:rsidRDefault="000C7BDE" w:rsidP="00FF1969">
      <w:pPr>
        <w:pStyle w:val="Heading1"/>
        <w:spacing w:before="240"/>
        <w:ind w:right="-57"/>
        <w:rPr>
          <w:rFonts w:cs="Times New Roman Bold"/>
          <w:spacing w:val="-2"/>
        </w:rPr>
      </w:pPr>
      <w:r w:rsidRPr="008635F4">
        <w:rPr>
          <w:rFonts w:cs="Times New Roman Bold"/>
          <w:spacing w:val="-2"/>
        </w:rPr>
        <w:t>4</w:t>
      </w:r>
      <w:r w:rsidRPr="008635F4">
        <w:rPr>
          <w:rFonts w:cs="Times New Roman Bold"/>
          <w:spacing w:val="-2"/>
        </w:rPr>
        <w:tab/>
        <w:t>Résolutions et Décisions du Conseil devenues caduques (</w:t>
      </w:r>
      <w:r w:rsidR="00221EF3" w:rsidRPr="008635F4">
        <w:rPr>
          <w:rFonts w:cs="Times New Roman Bold"/>
          <w:spacing w:val="-2"/>
        </w:rPr>
        <w:t>Document </w:t>
      </w:r>
      <w:proofErr w:type="spellStart"/>
      <w:r w:rsidRPr="008635F4">
        <w:rPr>
          <w:rFonts w:cs="Times New Roman Bold"/>
          <w:spacing w:val="-2"/>
        </w:rPr>
        <w:fldChar w:fldCharType="begin"/>
      </w:r>
      <w:r w:rsidRPr="008635F4">
        <w:rPr>
          <w:rFonts w:cs="Times New Roman Bold"/>
          <w:spacing w:val="-2"/>
        </w:rPr>
        <w:instrText>HYPERLINK "https://www.itu.int/md/S25-CL-C-0003/fr"</w:instrText>
      </w:r>
      <w:r w:rsidRPr="008635F4">
        <w:rPr>
          <w:rFonts w:cs="Times New Roman Bold"/>
          <w:spacing w:val="-2"/>
        </w:rPr>
      </w:r>
      <w:r w:rsidRPr="008635F4">
        <w:rPr>
          <w:rFonts w:cs="Times New Roman Bold"/>
          <w:spacing w:val="-2"/>
        </w:rPr>
        <w:fldChar w:fldCharType="separate"/>
      </w:r>
      <w:r w:rsidRPr="008635F4">
        <w:rPr>
          <w:rStyle w:val="Hyperlink"/>
          <w:rFonts w:eastAsia="Times New Roman" w:cs="Times New Roman Bold"/>
          <w:spacing w:val="-2"/>
          <w:szCs w:val="20"/>
        </w:rPr>
        <w:t>C25</w:t>
      </w:r>
      <w:proofErr w:type="spellEnd"/>
      <w:r w:rsidRPr="008635F4">
        <w:rPr>
          <w:rStyle w:val="Hyperlink"/>
          <w:rFonts w:eastAsia="Times New Roman" w:cs="Times New Roman Bold"/>
          <w:spacing w:val="-2"/>
          <w:szCs w:val="20"/>
        </w:rPr>
        <w:t>/3</w:t>
      </w:r>
      <w:r w:rsidRPr="008635F4">
        <w:rPr>
          <w:rFonts w:cs="Times New Roman Bold"/>
          <w:spacing w:val="-2"/>
        </w:rPr>
        <w:fldChar w:fldCharType="end"/>
      </w:r>
      <w:r w:rsidRPr="008635F4">
        <w:rPr>
          <w:rFonts w:cs="Times New Roman Bold"/>
          <w:spacing w:val="-2"/>
        </w:rPr>
        <w:t>)</w:t>
      </w:r>
    </w:p>
    <w:p w14:paraId="05AB1A87" w14:textId="6323337E" w:rsidR="000C7BDE" w:rsidRPr="00EE22B8" w:rsidRDefault="000C7BDE" w:rsidP="00FF1969">
      <w:pPr>
        <w:spacing w:before="100"/>
        <w:jc w:val="both"/>
      </w:pPr>
      <w:r w:rsidRPr="00EE22B8">
        <w:t>4.1</w:t>
      </w:r>
      <w:r w:rsidRPr="00EE22B8">
        <w:tab/>
        <w:t>La Secrétaire de la plénière rappelle qu</w:t>
      </w:r>
      <w:r w:rsidR="00230F38" w:rsidRPr="00EE22B8">
        <w:t>'</w:t>
      </w:r>
      <w:r w:rsidRPr="00EE22B8">
        <w:t>après chaque session ordinaire du Conseil, les Résolutions et Décisions qui ont été mises en œuvre et/ou qui sont devenues caduques sont abrogées et, par conséquent, supprimées du recueil des Résolutions et Décisions du Conseil, et indique que le Document C25/3 contient la liste des Résolutions et Décisions devenues caduques et destinées à être abrogées à la session de 2025 du Conseil.</w:t>
      </w:r>
    </w:p>
    <w:p w14:paraId="10255DE6" w14:textId="77777777" w:rsidR="000C7BDE" w:rsidRPr="00EE22B8" w:rsidRDefault="000C7BDE" w:rsidP="00FF1969">
      <w:pPr>
        <w:spacing w:before="100"/>
        <w:jc w:val="both"/>
      </w:pPr>
      <w:r w:rsidRPr="00EE22B8">
        <w:t>4.2</w:t>
      </w:r>
      <w:r w:rsidRPr="00EE22B8">
        <w:tab/>
        <w:t xml:space="preserve">Le Conseil </w:t>
      </w:r>
      <w:r w:rsidRPr="00EE22B8">
        <w:rPr>
          <w:b/>
          <w:bCs/>
        </w:rPr>
        <w:t>approuve</w:t>
      </w:r>
      <w:r w:rsidRPr="00EE22B8">
        <w:t xml:space="preserve"> la liste des Résolutions et Décisions du Conseil destinées à être abrogées figurant dans le Document C25/3, ainsi que la Décision 584 (C15) du Conseil.</w:t>
      </w:r>
    </w:p>
    <w:p w14:paraId="04900485" w14:textId="594E4DEE" w:rsidR="000C7BDE" w:rsidRPr="00EE22B8" w:rsidRDefault="000C7BDE" w:rsidP="00FF1969">
      <w:pPr>
        <w:pStyle w:val="Heading1"/>
        <w:spacing w:before="240"/>
      </w:pPr>
      <w:r w:rsidRPr="00EE22B8">
        <w:t>5</w:t>
      </w:r>
      <w:r w:rsidRPr="00EE22B8">
        <w:tab/>
        <w:t>Rapport de la Présidente de la Commission permanente de l'administration et de la gestion (</w:t>
      </w:r>
      <w:r w:rsidR="00221EF3" w:rsidRPr="00221EF3">
        <w:t xml:space="preserve">Document </w:t>
      </w:r>
      <w:hyperlink r:id="rId15" w:history="1">
        <w:proofErr w:type="spellStart"/>
        <w:r w:rsidRPr="00EE22B8">
          <w:rPr>
            <w:rStyle w:val="Hyperlink"/>
            <w:rFonts w:eastAsia="Times New Roman" w:cs="Times New Roman"/>
            <w:szCs w:val="20"/>
          </w:rPr>
          <w:t>C25</w:t>
        </w:r>
        <w:proofErr w:type="spellEnd"/>
        <w:r w:rsidRPr="00EE22B8">
          <w:rPr>
            <w:rStyle w:val="Hyperlink"/>
            <w:rFonts w:eastAsia="Times New Roman" w:cs="Times New Roman"/>
            <w:szCs w:val="20"/>
          </w:rPr>
          <w:t>/105</w:t>
        </w:r>
      </w:hyperlink>
      <w:r w:rsidRPr="00EE22B8">
        <w:t>)</w:t>
      </w:r>
    </w:p>
    <w:p w14:paraId="240A0C21" w14:textId="3D8DFA68" w:rsidR="000C7BDE" w:rsidRPr="00EE22B8" w:rsidRDefault="000C7BDE" w:rsidP="00FF1969">
      <w:pPr>
        <w:spacing w:before="100"/>
        <w:jc w:val="both"/>
      </w:pPr>
      <w:r w:rsidRPr="00EE22B8">
        <w:t>5.1</w:t>
      </w:r>
      <w:r w:rsidRPr="00EE22B8">
        <w:tab/>
        <w:t>La Présidente déclare que le rapport de la Présidente de la Commission permanente de l</w:t>
      </w:r>
      <w:r w:rsidR="00230F38" w:rsidRPr="00EE22B8">
        <w:t>'</w:t>
      </w:r>
      <w:r w:rsidRPr="00EE22B8">
        <w:t xml:space="preserve">administration et de la gestion (Commission ADM) a été approuvé par la </w:t>
      </w:r>
      <w:r w:rsidR="00625A70">
        <w:t>c</w:t>
      </w:r>
      <w:r w:rsidRPr="00EE22B8">
        <w:t>ommission.</w:t>
      </w:r>
    </w:p>
    <w:p w14:paraId="30800F1A" w14:textId="7FECF863" w:rsidR="000C7BDE" w:rsidRPr="00EE22B8" w:rsidRDefault="000C7BDE" w:rsidP="00FF1969">
      <w:pPr>
        <w:spacing w:before="100"/>
        <w:jc w:val="both"/>
      </w:pPr>
      <w:r w:rsidRPr="00EE22B8">
        <w:t>5.2</w:t>
      </w:r>
      <w:r w:rsidRPr="00EE22B8">
        <w:tab/>
        <w:t>Dans cette optique, elle propose que la séance plénière procède à l</w:t>
      </w:r>
      <w:r w:rsidR="00230F38" w:rsidRPr="00EE22B8">
        <w:t>'</w:t>
      </w:r>
      <w:r w:rsidRPr="00EE22B8">
        <w:t xml:space="preserve">examen du rapport figurant dans le Document C25/105 </w:t>
      </w:r>
      <w:r w:rsidRPr="00EE22B8">
        <w:rPr>
          <w:i/>
          <w:iCs/>
        </w:rPr>
        <w:t>en bloc</w:t>
      </w:r>
      <w:r w:rsidRPr="00EE22B8">
        <w:t>.</w:t>
      </w:r>
    </w:p>
    <w:p w14:paraId="3BD02C5E" w14:textId="77777777" w:rsidR="000C7BDE" w:rsidRPr="00EE22B8" w:rsidRDefault="000C7BDE" w:rsidP="00FF1969">
      <w:pPr>
        <w:spacing w:before="100"/>
        <w:jc w:val="both"/>
      </w:pPr>
      <w:r w:rsidRPr="00EE22B8">
        <w:t>5.3</w:t>
      </w:r>
      <w:r w:rsidRPr="00EE22B8">
        <w:tab/>
        <w:t xml:space="preserve">Il en est ainsi </w:t>
      </w:r>
      <w:r w:rsidRPr="00EE22B8">
        <w:rPr>
          <w:b/>
          <w:bCs/>
        </w:rPr>
        <w:t>décidé</w:t>
      </w:r>
      <w:r w:rsidRPr="00EE22B8">
        <w:t>.</w:t>
      </w:r>
    </w:p>
    <w:p w14:paraId="723E5EED" w14:textId="3C42D669" w:rsidR="00897553" w:rsidRPr="00EE22B8" w:rsidRDefault="000C7BDE" w:rsidP="00FF1969">
      <w:pPr>
        <w:spacing w:before="100"/>
        <w:jc w:val="both"/>
      </w:pPr>
      <w:r w:rsidRPr="00EE22B8">
        <w:t>5.4</w:t>
      </w:r>
      <w:r w:rsidRPr="00EE22B8">
        <w:tab/>
        <w:t xml:space="preserve">En conséquence, les recommandations suivantes sont </w:t>
      </w:r>
      <w:r w:rsidRPr="00EE22B8">
        <w:rPr>
          <w:b/>
          <w:bCs/>
        </w:rPr>
        <w:t>approuvées</w:t>
      </w:r>
      <w:r w:rsidRPr="00EE22B8">
        <w:t>:</w:t>
      </w:r>
    </w:p>
    <w:p w14:paraId="71039104" w14:textId="58F23E70" w:rsidR="003800D9" w:rsidRPr="00EE22B8" w:rsidRDefault="003800D9" w:rsidP="00FF1969">
      <w:pPr>
        <w:pStyle w:val="Headingb"/>
        <w:tabs>
          <w:tab w:val="clear" w:pos="567"/>
        </w:tabs>
        <w:spacing w:after="120"/>
        <w:ind w:left="0" w:firstLine="0"/>
      </w:pPr>
      <w:r w:rsidRPr="00EE22B8">
        <w:t>Rapport de la Présidente du Groupe de travail du Conseil sur les ressources financières et les ressources humaines (GTC-FHR) (</w:t>
      </w:r>
      <w:r w:rsidR="008045BA" w:rsidRPr="008045BA">
        <w:t xml:space="preserve">Documents </w:t>
      </w:r>
      <w:hyperlink r:id="rId16" w:history="1">
        <w:r w:rsidR="008045BA" w:rsidRPr="008045BA">
          <w:rPr>
            <w:rStyle w:val="Hyperlink"/>
            <w:rFonts w:eastAsia="Times New Roman" w:cs="Times New Roman"/>
            <w:szCs w:val="20"/>
          </w:rPr>
          <w:t>C25/50</w:t>
        </w:r>
      </w:hyperlink>
      <w:r w:rsidR="008045BA" w:rsidRPr="008045BA">
        <w:t xml:space="preserve">, </w:t>
      </w:r>
      <w:hyperlink r:id="rId17" w:history="1">
        <w:r w:rsidR="008045BA" w:rsidRPr="008045BA">
          <w:rPr>
            <w:rStyle w:val="Hyperlink"/>
            <w:rFonts w:eastAsia="Times New Roman" w:cs="Times New Roman"/>
            <w:szCs w:val="20"/>
          </w:rPr>
          <w:t>C25/DL/3</w:t>
        </w:r>
      </w:hyperlink>
      <w:r w:rsidR="008045BA" w:rsidRPr="008045BA">
        <w:t xml:space="preserve">, </w:t>
      </w:r>
      <w:hyperlink r:id="rId18" w:history="1">
        <w:r w:rsidR="008045BA" w:rsidRPr="008045BA">
          <w:rPr>
            <w:rStyle w:val="Hyperlink"/>
            <w:rFonts w:eastAsia="Times New Roman" w:cs="Times New Roman"/>
            <w:szCs w:val="20"/>
          </w:rPr>
          <w:t>C25/DL/6(Rev.1)</w:t>
        </w:r>
      </w:hyperlink>
      <w:r w:rsidRPr="00EE22B8">
        <w:t>)</w:t>
      </w:r>
    </w:p>
    <w:tbl>
      <w:tblPr>
        <w:tblStyle w:val="TableGrid"/>
        <w:tblW w:w="0" w:type="auto"/>
        <w:tblLook w:val="04A0" w:firstRow="1" w:lastRow="0" w:firstColumn="1" w:lastColumn="0" w:noHBand="0" w:noVBand="1"/>
      </w:tblPr>
      <w:tblGrid>
        <w:gridCol w:w="9061"/>
      </w:tblGrid>
      <w:tr w:rsidR="003800D9" w:rsidRPr="00EE22B8" w14:paraId="504E8FE1" w14:textId="77777777">
        <w:tc>
          <w:tcPr>
            <w:tcW w:w="9061" w:type="dxa"/>
          </w:tcPr>
          <w:p w14:paraId="357E49E5" w14:textId="2B442E6B" w:rsidR="003800D9" w:rsidRPr="00EE22B8" w:rsidRDefault="003800D9" w:rsidP="00FF1969">
            <w:r w:rsidRPr="00EE22B8">
              <w:t>La commission recommande au Conseil:</w:t>
            </w:r>
          </w:p>
          <w:p w14:paraId="48E5A7A3" w14:textId="5B445779" w:rsidR="003800D9" w:rsidRPr="00EE22B8" w:rsidRDefault="003800D9" w:rsidP="00935C66">
            <w:pPr>
              <w:pStyle w:val="enumlev1"/>
              <w:jc w:val="both"/>
            </w:pPr>
            <w:r w:rsidRPr="00EE22B8">
              <w:t>•</w:t>
            </w:r>
            <w:r w:rsidRPr="00EE22B8">
              <w:tab/>
              <w:t xml:space="preserve">de prendre note des travaux du GTC-FHR; d'examiner les mesures indiquées dans le rapport figurant dans le </w:t>
            </w:r>
            <w:r w:rsidR="00221EF3" w:rsidRPr="00221EF3">
              <w:t xml:space="preserve">Document </w:t>
            </w:r>
            <w:hyperlink r:id="rId19" w:history="1">
              <w:proofErr w:type="spellStart"/>
              <w:r w:rsidRPr="00EE22B8">
                <w:rPr>
                  <w:rStyle w:val="Hyperlink"/>
                </w:rPr>
                <w:t>C25</w:t>
              </w:r>
              <w:proofErr w:type="spellEnd"/>
              <w:r w:rsidRPr="00EE22B8">
                <w:rPr>
                  <w:rStyle w:val="Hyperlink"/>
                </w:rPr>
                <w:t>/50</w:t>
              </w:r>
            </w:hyperlink>
            <w:r w:rsidRPr="00EE22B8">
              <w:t xml:space="preserve"> et, le cas échéant, de faire part de ses observations sur ces mesures;</w:t>
            </w:r>
          </w:p>
          <w:p w14:paraId="2D5D0310" w14:textId="71B583E1" w:rsidR="003800D9" w:rsidRPr="00EE22B8" w:rsidRDefault="003800D9" w:rsidP="00935C66">
            <w:pPr>
              <w:pStyle w:val="enumlev1"/>
              <w:jc w:val="both"/>
            </w:pPr>
            <w:r w:rsidRPr="00EE22B8">
              <w:t>•</w:t>
            </w:r>
            <w:r w:rsidRPr="00EE22B8">
              <w:tab/>
              <w:t>d'approuver l'Annexe A du présent document; et</w:t>
            </w:r>
          </w:p>
          <w:p w14:paraId="41A0C912" w14:textId="644B5766" w:rsidR="003800D9" w:rsidRPr="00EE22B8" w:rsidRDefault="003800D9" w:rsidP="00935C66">
            <w:pPr>
              <w:pStyle w:val="enumlev1"/>
              <w:spacing w:after="120"/>
              <w:jc w:val="both"/>
            </w:pPr>
            <w:r w:rsidRPr="00EE22B8">
              <w:t>•</w:t>
            </w:r>
            <w:r w:rsidRPr="00EE22B8">
              <w:tab/>
              <w:t>d'entériner l'Annexe B du présent document.</w:t>
            </w:r>
          </w:p>
        </w:tc>
      </w:tr>
    </w:tbl>
    <w:p w14:paraId="22538867" w14:textId="1B974795" w:rsidR="003800D9" w:rsidRPr="00EE22B8" w:rsidRDefault="003800D9" w:rsidP="003800D9">
      <w:pPr>
        <w:pStyle w:val="Headingb"/>
        <w:spacing w:after="120"/>
        <w:ind w:left="0" w:firstLine="0"/>
        <w:rPr>
          <w:bCs/>
        </w:rPr>
      </w:pPr>
      <w:r w:rsidRPr="00EE22B8">
        <w:rPr>
          <w:bCs/>
        </w:rPr>
        <w:lastRenderedPageBreak/>
        <w:t>Clarifier le rôle des organes directeurs de l'UIT dans les structures de l'organisation pour la gouvernance des technologies de l'information et la gouvernance des données/informations (</w:t>
      </w:r>
      <w:r w:rsidR="00221EF3" w:rsidRPr="00221EF3">
        <w:rPr>
          <w:bCs/>
        </w:rPr>
        <w:t xml:space="preserve">Document </w:t>
      </w:r>
      <w:hyperlink r:id="rId20"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/84</w:t>
        </w:r>
      </w:hyperlink>
      <w:r w:rsidRPr="00EE22B8">
        <w:rPr>
          <w:bCs/>
        </w:rPr>
        <w:t>)</w:t>
      </w:r>
    </w:p>
    <w:tbl>
      <w:tblPr>
        <w:tblStyle w:val="TableGrid"/>
        <w:tblW w:w="0" w:type="auto"/>
        <w:tblLook w:val="04A0" w:firstRow="1" w:lastRow="0" w:firstColumn="1" w:lastColumn="0" w:noHBand="0" w:noVBand="1"/>
      </w:tblPr>
      <w:tblGrid>
        <w:gridCol w:w="9061"/>
      </w:tblGrid>
      <w:tr w:rsidR="003800D9" w:rsidRPr="00EE22B8" w14:paraId="479E7CFD" w14:textId="77777777">
        <w:tc>
          <w:tcPr>
            <w:tcW w:w="9061" w:type="dxa"/>
          </w:tcPr>
          <w:p w14:paraId="64170907" w14:textId="0EECD047" w:rsidR="003800D9" w:rsidRPr="00EE22B8" w:rsidRDefault="003800D9" w:rsidP="003800D9">
            <w:r w:rsidRPr="00EE22B8">
              <w:t>La commission recommande au Conseil:</w:t>
            </w:r>
          </w:p>
          <w:p w14:paraId="62C22FBA" w14:textId="2C32EB97" w:rsidR="003800D9" w:rsidRPr="00EE22B8" w:rsidRDefault="003800D9" w:rsidP="00221EF3">
            <w:pPr>
              <w:pStyle w:val="enumlev1"/>
              <w:jc w:val="both"/>
            </w:pPr>
            <w:r w:rsidRPr="00EE22B8">
              <w:t>•</w:t>
            </w:r>
            <w:r w:rsidRPr="00EE22B8">
              <w:tab/>
              <w:t xml:space="preserve">de charger le GTC-FHR d'élaborer des orientations conformément au </w:t>
            </w:r>
            <w:r w:rsidR="00221EF3" w:rsidRPr="00221EF3">
              <w:t>Document</w:t>
            </w:r>
            <w:r w:rsidR="00221EF3">
              <w:t> </w:t>
            </w:r>
            <w:proofErr w:type="spellStart"/>
            <w:r>
              <w:fldChar w:fldCharType="begin"/>
            </w:r>
            <w:r>
              <w:instrText>HYPERLINK "https://www.itu.int/md/S25-CL-C-0084/fr"</w:instrText>
            </w:r>
            <w:r>
              <w:fldChar w:fldCharType="separate"/>
            </w:r>
            <w:r w:rsidRPr="00EE22B8">
              <w:rPr>
                <w:rStyle w:val="Hyperlink"/>
              </w:rPr>
              <w:t>C25</w:t>
            </w:r>
            <w:proofErr w:type="spellEnd"/>
            <w:r w:rsidRPr="00EE22B8">
              <w:rPr>
                <w:rStyle w:val="Hyperlink"/>
              </w:rPr>
              <w:t>/84</w:t>
            </w:r>
            <w:r>
              <w:fldChar w:fldCharType="end"/>
            </w:r>
            <w:r w:rsidRPr="00EE22B8">
              <w:t>; et</w:t>
            </w:r>
          </w:p>
          <w:p w14:paraId="0F36E291" w14:textId="5C6BD9C9" w:rsidR="003800D9" w:rsidRPr="00EE22B8" w:rsidRDefault="003800D9" w:rsidP="00221EF3">
            <w:pPr>
              <w:pStyle w:val="enumlev1"/>
              <w:spacing w:after="120"/>
              <w:jc w:val="both"/>
            </w:pPr>
            <w:r w:rsidRPr="00EE22B8">
              <w:t>•</w:t>
            </w:r>
            <w:r w:rsidRPr="00EE22B8">
              <w:tab/>
              <w:t xml:space="preserve">de demander au secrétariat de fournir des informations et d'élaborer un rapport conformément au </w:t>
            </w:r>
            <w:r w:rsidR="00221EF3" w:rsidRPr="00221EF3">
              <w:t xml:space="preserve">Document </w:t>
            </w:r>
            <w:hyperlink r:id="rId21" w:history="1">
              <w:proofErr w:type="spellStart"/>
              <w:r w:rsidRPr="00EE22B8">
                <w:rPr>
                  <w:rStyle w:val="Hyperlink"/>
                </w:rPr>
                <w:t>C25</w:t>
              </w:r>
              <w:proofErr w:type="spellEnd"/>
              <w:r w:rsidRPr="00EE22B8">
                <w:rPr>
                  <w:rStyle w:val="Hyperlink"/>
                </w:rPr>
                <w:t>/84</w:t>
              </w:r>
            </w:hyperlink>
            <w:r w:rsidRPr="00EE22B8">
              <w:t>.</w:t>
            </w:r>
          </w:p>
        </w:tc>
      </w:tr>
    </w:tbl>
    <w:p w14:paraId="3E77D704" w14:textId="7D724675" w:rsidR="003800D9" w:rsidRPr="00EE22B8" w:rsidRDefault="003800D9" w:rsidP="003800D9">
      <w:pPr>
        <w:pStyle w:val="Headingb"/>
        <w:spacing w:after="120"/>
        <w:ind w:left="0" w:firstLine="0"/>
        <w:rPr>
          <w:bCs/>
        </w:rPr>
      </w:pPr>
      <w:r w:rsidRPr="00EE22B8">
        <w:rPr>
          <w:bCs/>
        </w:rPr>
        <w:t>Alléger la charge financière reposant sur les pays hôtes des conférences, réunions et activités de l'UIT (</w:t>
      </w:r>
      <w:r w:rsidR="00221EF3" w:rsidRPr="00221EF3">
        <w:rPr>
          <w:bCs/>
        </w:rPr>
        <w:t xml:space="preserve">Document </w:t>
      </w:r>
      <w:hyperlink r:id="rId22"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/95</w:t>
        </w:r>
      </w:hyperlink>
      <w:r w:rsidRPr="00EE22B8">
        <w:rPr>
          <w:bCs/>
        </w:rPr>
        <w:t>)</w:t>
      </w:r>
    </w:p>
    <w:tbl>
      <w:tblPr>
        <w:tblStyle w:val="TableGrid"/>
        <w:tblW w:w="0" w:type="auto"/>
        <w:tblLook w:val="04A0" w:firstRow="1" w:lastRow="0" w:firstColumn="1" w:lastColumn="0" w:noHBand="0" w:noVBand="1"/>
      </w:tblPr>
      <w:tblGrid>
        <w:gridCol w:w="9061"/>
      </w:tblGrid>
      <w:tr w:rsidR="006E15C3" w:rsidRPr="00EE22B8" w14:paraId="4A2A00BE" w14:textId="77777777">
        <w:tc>
          <w:tcPr>
            <w:tcW w:w="9061" w:type="dxa"/>
          </w:tcPr>
          <w:p w14:paraId="2D4BA5F2" w14:textId="750E5977" w:rsidR="006E15C3" w:rsidRPr="00EE22B8" w:rsidRDefault="006E15C3" w:rsidP="00CB7A71">
            <w:pPr>
              <w:spacing w:after="120"/>
              <w:jc w:val="both"/>
            </w:pPr>
            <w:r w:rsidRPr="00EE22B8">
              <w:t xml:space="preserve">La commission recommande au Conseil de prendre note des propositions figurant dans le </w:t>
            </w:r>
            <w:r w:rsidR="00221EF3" w:rsidRPr="00221EF3">
              <w:t xml:space="preserve">Document </w:t>
            </w:r>
            <w:hyperlink r:id="rId23" w:history="1">
              <w:proofErr w:type="spellStart"/>
              <w:r w:rsidRPr="00EE22B8">
                <w:rPr>
                  <w:rStyle w:val="Hyperlink"/>
                </w:rPr>
                <w:t>C25</w:t>
              </w:r>
              <w:proofErr w:type="spellEnd"/>
              <w:r w:rsidRPr="00EE22B8">
                <w:rPr>
                  <w:rStyle w:val="Hyperlink"/>
                </w:rPr>
                <w:t>/95</w:t>
              </w:r>
            </w:hyperlink>
            <w:r w:rsidRPr="00EE22B8">
              <w:t xml:space="preserve"> et de demander au Secrétariat général d'évaluer leur faisabilité et de présenter ses conclusions au GTC-FHR pour examen.</w:t>
            </w:r>
          </w:p>
        </w:tc>
      </w:tr>
    </w:tbl>
    <w:p w14:paraId="59395513" w14:textId="6EEAC173" w:rsidR="006E15C3" w:rsidRPr="00EE22B8" w:rsidRDefault="00F31B2F" w:rsidP="00F31B2F">
      <w:pPr>
        <w:pStyle w:val="Headingb"/>
        <w:spacing w:after="120"/>
        <w:ind w:left="0" w:firstLine="0"/>
        <w:rPr>
          <w:bCs/>
        </w:rPr>
      </w:pPr>
      <w:r w:rsidRPr="00EE22B8">
        <w:rPr>
          <w:bCs/>
        </w:rPr>
        <w:t>Proposition d'exonération du paiement des droits liés au recouvrement des coûts pour sept fiches de notification au titre de la Résolution 170 (</w:t>
      </w:r>
      <w:proofErr w:type="spellStart"/>
      <w:r w:rsidRPr="00EE22B8">
        <w:rPr>
          <w:bCs/>
        </w:rPr>
        <w:t>Rév.CMR</w:t>
      </w:r>
      <w:proofErr w:type="spellEnd"/>
      <w:r w:rsidRPr="00EE22B8">
        <w:rPr>
          <w:bCs/>
        </w:rPr>
        <w:t>-23) (</w:t>
      </w:r>
      <w:r w:rsidR="00221EF3" w:rsidRPr="00221EF3">
        <w:rPr>
          <w:bCs/>
        </w:rPr>
        <w:t xml:space="preserve">Document </w:t>
      </w:r>
      <w:hyperlink r:id="rId24"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/82</w:t>
        </w:r>
      </w:hyperlink>
      <w:r w:rsidRPr="00EE22B8">
        <w:rPr>
          <w:bCs/>
        </w:rPr>
        <w:t>)</w:t>
      </w:r>
    </w:p>
    <w:tbl>
      <w:tblPr>
        <w:tblStyle w:val="TableGrid"/>
        <w:tblW w:w="0" w:type="auto"/>
        <w:tblLook w:val="04A0" w:firstRow="1" w:lastRow="0" w:firstColumn="1" w:lastColumn="0" w:noHBand="0" w:noVBand="1"/>
      </w:tblPr>
      <w:tblGrid>
        <w:gridCol w:w="9061"/>
      </w:tblGrid>
      <w:tr w:rsidR="00F31B2F" w:rsidRPr="00EE22B8" w14:paraId="20FE104A" w14:textId="77777777">
        <w:tc>
          <w:tcPr>
            <w:tcW w:w="9061" w:type="dxa"/>
          </w:tcPr>
          <w:p w14:paraId="0EEFCFA8" w14:textId="55939FF7" w:rsidR="00F31B2F" w:rsidRPr="00EE22B8" w:rsidRDefault="00F31B2F" w:rsidP="00CB7A71">
            <w:pPr>
              <w:spacing w:after="120"/>
              <w:jc w:val="both"/>
            </w:pPr>
            <w:r w:rsidRPr="00EE22B8">
              <w:t>La commission recommande au Conseil d</w:t>
            </w:r>
            <w:r w:rsidR="00230F38" w:rsidRPr="00EE22B8">
              <w:t>'</w:t>
            </w:r>
            <w:r w:rsidRPr="00EE22B8">
              <w:t xml:space="preserve">examiner et d'approuver les propositions figurant dans le </w:t>
            </w:r>
            <w:r w:rsidR="00221EF3" w:rsidRPr="00221EF3">
              <w:t xml:space="preserve">Document </w:t>
            </w:r>
            <w:hyperlink r:id="rId25" w:history="1">
              <w:proofErr w:type="spellStart"/>
              <w:r w:rsidRPr="00EE22B8">
                <w:rPr>
                  <w:rStyle w:val="Hyperlink"/>
                </w:rPr>
                <w:t>C25</w:t>
              </w:r>
              <w:proofErr w:type="spellEnd"/>
              <w:r w:rsidRPr="00EE22B8">
                <w:rPr>
                  <w:rStyle w:val="Hyperlink"/>
                </w:rPr>
                <w:t>/82</w:t>
              </w:r>
            </w:hyperlink>
            <w:r w:rsidRPr="00EE22B8">
              <w:t>.</w:t>
            </w:r>
          </w:p>
        </w:tc>
      </w:tr>
    </w:tbl>
    <w:p w14:paraId="4435E7C9" w14:textId="107E7C35" w:rsidR="00F31B2F" w:rsidRPr="00EE22B8" w:rsidRDefault="00F31B2F" w:rsidP="00F31B2F">
      <w:pPr>
        <w:pStyle w:val="Headingb"/>
        <w:spacing w:after="120"/>
        <w:ind w:left="0" w:firstLine="0"/>
        <w:rPr>
          <w:bCs/>
        </w:rPr>
      </w:pPr>
      <w:r w:rsidRPr="00EE22B8">
        <w:rPr>
          <w:bCs/>
        </w:rPr>
        <w:t>Rapport de gestion financière pour l'exercice financier 2024 (</w:t>
      </w:r>
      <w:r w:rsidR="00CB7A71" w:rsidRPr="00CB7A71">
        <w:rPr>
          <w:bCs/>
        </w:rPr>
        <w:t xml:space="preserve">Document </w:t>
      </w:r>
      <w:hyperlink r:id="rId26"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/40</w:t>
        </w:r>
      </w:hyperlink>
      <w:r w:rsidRPr="00EE22B8">
        <w:rPr>
          <w:bCs/>
        </w:rPr>
        <w:t>)</w:t>
      </w:r>
    </w:p>
    <w:tbl>
      <w:tblPr>
        <w:tblStyle w:val="TableGrid"/>
        <w:tblW w:w="0" w:type="auto"/>
        <w:tblLook w:val="04A0" w:firstRow="1" w:lastRow="0" w:firstColumn="1" w:lastColumn="0" w:noHBand="0" w:noVBand="1"/>
      </w:tblPr>
      <w:tblGrid>
        <w:gridCol w:w="9061"/>
      </w:tblGrid>
      <w:tr w:rsidR="00F31B2F" w:rsidRPr="00EE22B8" w14:paraId="2E54A2A5" w14:textId="77777777">
        <w:tc>
          <w:tcPr>
            <w:tcW w:w="9061" w:type="dxa"/>
          </w:tcPr>
          <w:p w14:paraId="17C7C946" w14:textId="77777777" w:rsidR="00F31B2F" w:rsidRPr="00EE22B8" w:rsidRDefault="00F31B2F" w:rsidP="00F31B2F">
            <w:r w:rsidRPr="00EE22B8">
              <w:t>La commission recommande au Conseil:</w:t>
            </w:r>
          </w:p>
          <w:p w14:paraId="66813035" w14:textId="7986B412" w:rsidR="00F31B2F" w:rsidRPr="00EE22B8" w:rsidRDefault="00F31B2F" w:rsidP="00F31B2F">
            <w:pPr>
              <w:pStyle w:val="enumlev1"/>
            </w:pPr>
            <w:r w:rsidRPr="00EE22B8">
              <w:t>•</w:t>
            </w:r>
            <w:r w:rsidRPr="00EE22B8">
              <w:tab/>
              <w:t>de prendre note du</w:t>
            </w:r>
            <w:r w:rsidR="00CB7A71" w:rsidRPr="008B7CA7">
              <w:t xml:space="preserve"> </w:t>
            </w:r>
            <w:r w:rsidR="00CB7A71" w:rsidRPr="00CB7A71">
              <w:t xml:space="preserve">Document </w:t>
            </w:r>
            <w:hyperlink r:id="rId27" w:history="1">
              <w:proofErr w:type="spellStart"/>
              <w:r w:rsidRPr="00EE22B8">
                <w:rPr>
                  <w:rStyle w:val="Hyperlink"/>
                </w:rPr>
                <w:t>C25</w:t>
              </w:r>
              <w:proofErr w:type="spellEnd"/>
              <w:r w:rsidRPr="00EE22B8">
                <w:rPr>
                  <w:rStyle w:val="Hyperlink"/>
                </w:rPr>
                <w:t>/40</w:t>
              </w:r>
            </w:hyperlink>
            <w:r w:rsidRPr="00EE22B8">
              <w:t>;</w:t>
            </w:r>
          </w:p>
          <w:p w14:paraId="7C3C3F48" w14:textId="052360C9" w:rsidR="00F31B2F" w:rsidRPr="00EE22B8" w:rsidRDefault="00F31B2F" w:rsidP="00F31B2F">
            <w:pPr>
              <w:pStyle w:val="enumlev1"/>
              <w:spacing w:after="120"/>
            </w:pPr>
            <w:r w:rsidRPr="00EE22B8">
              <w:t>•</w:t>
            </w:r>
            <w:r w:rsidRPr="00EE22B8">
              <w:tab/>
              <w:t>d'adopter le projet de résolution figurant à l'Annexe C du présent rapport.</w:t>
            </w:r>
          </w:p>
        </w:tc>
      </w:tr>
    </w:tbl>
    <w:p w14:paraId="56929FF9" w14:textId="0F24DCDB" w:rsidR="00F31B2F" w:rsidRPr="00EE22B8" w:rsidRDefault="00F31B2F" w:rsidP="00F31B2F">
      <w:pPr>
        <w:pStyle w:val="Headingb"/>
        <w:spacing w:after="120"/>
        <w:ind w:left="0" w:firstLine="0"/>
        <w:rPr>
          <w:bCs/>
        </w:rPr>
      </w:pPr>
      <w:r w:rsidRPr="00EE22B8">
        <w:rPr>
          <w:bCs/>
        </w:rPr>
        <w:t xml:space="preserve">Rapport du Vérificateur extérieur des comptes sur les </w:t>
      </w:r>
      <w:r w:rsidR="00C9477F">
        <w:rPr>
          <w:bCs/>
        </w:rPr>
        <w:t>É</w:t>
      </w:r>
      <w:r w:rsidRPr="00EE22B8">
        <w:rPr>
          <w:bCs/>
        </w:rPr>
        <w:t>tats financiers vérifiés de l'UIT pour</w:t>
      </w:r>
      <w:r w:rsidR="00625A70">
        <w:rPr>
          <w:bCs/>
        </w:rPr>
        <w:t> </w:t>
      </w:r>
      <w:r w:rsidRPr="00EE22B8">
        <w:rPr>
          <w:bCs/>
        </w:rPr>
        <w:t>2024 (</w:t>
      </w:r>
      <w:r w:rsidR="00CB7A71" w:rsidRPr="00CB7A71">
        <w:rPr>
          <w:bCs/>
        </w:rPr>
        <w:t xml:space="preserve">Document </w:t>
      </w:r>
      <w:hyperlink r:id="rId28"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/41</w:t>
        </w:r>
      </w:hyperlink>
      <w:r w:rsidRPr="00EE22B8">
        <w:rPr>
          <w:bCs/>
        </w:rPr>
        <w:t>)</w:t>
      </w:r>
    </w:p>
    <w:tbl>
      <w:tblPr>
        <w:tblStyle w:val="TableGrid"/>
        <w:tblW w:w="0" w:type="auto"/>
        <w:tblLook w:val="04A0" w:firstRow="1" w:lastRow="0" w:firstColumn="1" w:lastColumn="0" w:noHBand="0" w:noVBand="1"/>
      </w:tblPr>
      <w:tblGrid>
        <w:gridCol w:w="9061"/>
      </w:tblGrid>
      <w:tr w:rsidR="00F31B2F" w:rsidRPr="00EE22B8" w14:paraId="2FDA3ADA" w14:textId="77777777">
        <w:tc>
          <w:tcPr>
            <w:tcW w:w="9061" w:type="dxa"/>
          </w:tcPr>
          <w:p w14:paraId="6488D8C7" w14:textId="77777777" w:rsidR="00F31B2F" w:rsidRPr="00EE22B8" w:rsidRDefault="00F31B2F" w:rsidP="00F31B2F">
            <w:r w:rsidRPr="00EE22B8">
              <w:t>La commission recommande au Conseil:</w:t>
            </w:r>
          </w:p>
          <w:p w14:paraId="70F13AE8" w14:textId="77777777" w:rsidR="00F31B2F" w:rsidRPr="00EE22B8" w:rsidRDefault="00F31B2F" w:rsidP="00CB7A71">
            <w:pPr>
              <w:pStyle w:val="enumlev1"/>
              <w:jc w:val="both"/>
            </w:pPr>
            <w:r w:rsidRPr="00EE22B8">
              <w:t>•</w:t>
            </w:r>
            <w:r w:rsidRPr="00EE22B8">
              <w:tab/>
              <w:t>de charger la Secrétaire générale de fournir aux conseillers un tableau de bord actualisé indiquant l'état d'avancement de la mise en œuvre de toutes les recommandations formulées par le CCIG, le Vérificateur extérieur des comptes, l'Unité du contrôle interne et le CCI; et de travailler en collaboration avec le Vérificateur extérieur des comptes pour définir les priorités et un calendrier de mise en œuvre pour ces recommandations; et</w:t>
            </w:r>
          </w:p>
          <w:p w14:paraId="24BE33E9" w14:textId="7CA13DC5" w:rsidR="00F31B2F" w:rsidRPr="00EE22B8" w:rsidRDefault="00F31B2F" w:rsidP="00F31B2F">
            <w:pPr>
              <w:pStyle w:val="enumlev1"/>
              <w:spacing w:after="120"/>
            </w:pPr>
            <w:r w:rsidRPr="00EE22B8">
              <w:t>•</w:t>
            </w:r>
            <w:r w:rsidRPr="00EE22B8">
              <w:tab/>
              <w:t xml:space="preserve">de prendre note du </w:t>
            </w:r>
            <w:r w:rsidR="00CB7A71" w:rsidRPr="00CB7A71">
              <w:t xml:space="preserve">Document </w:t>
            </w:r>
            <w:hyperlink r:id="rId29" w:history="1">
              <w:proofErr w:type="spellStart"/>
              <w:r w:rsidRPr="00EE22B8">
                <w:rPr>
                  <w:rStyle w:val="Hyperlink"/>
                </w:rPr>
                <w:t>C25</w:t>
              </w:r>
              <w:proofErr w:type="spellEnd"/>
              <w:r w:rsidRPr="00EE22B8">
                <w:rPr>
                  <w:rStyle w:val="Hyperlink"/>
                </w:rPr>
                <w:t>/41</w:t>
              </w:r>
            </w:hyperlink>
            <w:r w:rsidRPr="00EE22B8">
              <w:t>.</w:t>
            </w:r>
          </w:p>
        </w:tc>
      </w:tr>
    </w:tbl>
    <w:p w14:paraId="28FD8346" w14:textId="6A8C8683" w:rsidR="00F31B2F" w:rsidRPr="00EE22B8" w:rsidRDefault="00F31B2F" w:rsidP="00F31B2F">
      <w:pPr>
        <w:pStyle w:val="Headingb"/>
        <w:spacing w:after="120"/>
        <w:ind w:left="0" w:firstLine="0"/>
        <w:rPr>
          <w:bCs/>
        </w:rPr>
      </w:pPr>
      <w:r w:rsidRPr="00EE22B8">
        <w:rPr>
          <w:bCs/>
        </w:rPr>
        <w:lastRenderedPageBreak/>
        <w:t xml:space="preserve">Renouvellement du mandat du Vérificateur extérieur des comptes (Documents </w:t>
      </w:r>
      <w:hyperlink r:id="rId30" w:history="1">
        <w:r w:rsidRPr="00EE22B8">
          <w:rPr>
            <w:rStyle w:val="Hyperlink"/>
            <w:rFonts w:eastAsia="Times New Roman" w:cs="Times New Roman"/>
            <w:bCs/>
            <w:szCs w:val="20"/>
          </w:rPr>
          <w:t>C25/42</w:t>
        </w:r>
      </w:hyperlink>
      <w:r w:rsidRPr="00EE22B8">
        <w:rPr>
          <w:bCs/>
        </w:rPr>
        <w:t xml:space="preserve"> et</w:t>
      </w:r>
      <w:r w:rsidR="00625A70">
        <w:rPr>
          <w:bCs/>
        </w:rPr>
        <w:t> </w:t>
      </w:r>
      <w:hyperlink r:id="rId31" w:history="1">
        <w:r w:rsidRPr="00EE22B8">
          <w:rPr>
            <w:rStyle w:val="Hyperlink"/>
            <w:rFonts w:eastAsia="Times New Roman" w:cs="Times New Roman"/>
            <w:bCs/>
            <w:szCs w:val="20"/>
          </w:rPr>
          <w:t>C25/22(Add.3)</w:t>
        </w:r>
      </w:hyperlink>
      <w:r w:rsidRPr="00EE22B8">
        <w:rPr>
          <w:bCs/>
        </w:rPr>
        <w:t>)</w:t>
      </w:r>
    </w:p>
    <w:tbl>
      <w:tblPr>
        <w:tblStyle w:val="TableGrid"/>
        <w:tblW w:w="0" w:type="auto"/>
        <w:tblLook w:val="04A0" w:firstRow="1" w:lastRow="0" w:firstColumn="1" w:lastColumn="0" w:noHBand="0" w:noVBand="1"/>
      </w:tblPr>
      <w:tblGrid>
        <w:gridCol w:w="9061"/>
      </w:tblGrid>
      <w:tr w:rsidR="00F31B2F" w:rsidRPr="00EE22B8" w14:paraId="26430A15" w14:textId="77777777">
        <w:tc>
          <w:tcPr>
            <w:tcW w:w="9061" w:type="dxa"/>
          </w:tcPr>
          <w:p w14:paraId="01C73CD4" w14:textId="77777777" w:rsidR="00F31B2F" w:rsidRPr="00EE22B8" w:rsidRDefault="00F31B2F" w:rsidP="00265FB8">
            <w:pPr>
              <w:keepNext/>
              <w:keepLines/>
            </w:pPr>
            <w:r w:rsidRPr="00EE22B8">
              <w:t>La commission recommande au Conseil:</w:t>
            </w:r>
          </w:p>
          <w:p w14:paraId="5375422B" w14:textId="02DCE49C" w:rsidR="00F31B2F" w:rsidRPr="00EE22B8" w:rsidRDefault="00F31B2F" w:rsidP="00265FB8">
            <w:pPr>
              <w:pStyle w:val="enumlev1"/>
              <w:keepNext/>
              <w:keepLines/>
            </w:pPr>
            <w:r w:rsidRPr="00EE22B8">
              <w:t>•</w:t>
            </w:r>
            <w:r w:rsidRPr="00EE22B8">
              <w:tab/>
              <w:t xml:space="preserve">de prendre note des Documents </w:t>
            </w:r>
            <w:hyperlink r:id="rId32" w:history="1">
              <w:r w:rsidRPr="00EE22B8">
                <w:rPr>
                  <w:rStyle w:val="Hyperlink"/>
                </w:rPr>
                <w:t>C25/42</w:t>
              </w:r>
            </w:hyperlink>
            <w:r w:rsidRPr="00EE22B8">
              <w:t xml:space="preserve"> et </w:t>
            </w:r>
            <w:hyperlink r:id="rId33" w:history="1">
              <w:r w:rsidRPr="00EE22B8">
                <w:rPr>
                  <w:rStyle w:val="Hyperlink"/>
                </w:rPr>
                <w:t>C25/22(Add.3)</w:t>
              </w:r>
            </w:hyperlink>
            <w:r w:rsidRPr="00EE22B8">
              <w:t>; et</w:t>
            </w:r>
          </w:p>
          <w:p w14:paraId="1711F079" w14:textId="54784B75" w:rsidR="00F31B2F" w:rsidRPr="00EE22B8" w:rsidRDefault="00F31B2F" w:rsidP="00F31B2F">
            <w:pPr>
              <w:pStyle w:val="enumlev1"/>
              <w:spacing w:after="120"/>
            </w:pPr>
            <w:r w:rsidRPr="00EE22B8">
              <w:t>•</w:t>
            </w:r>
            <w:r w:rsidRPr="00EE22B8">
              <w:tab/>
              <w:t>d'adopter le projet de décision figurant à l'Annexe D du présent rapport.</w:t>
            </w:r>
          </w:p>
        </w:tc>
      </w:tr>
    </w:tbl>
    <w:p w14:paraId="423E6D00" w14:textId="409B32E2" w:rsidR="00F31B2F" w:rsidRPr="00EE22B8" w:rsidRDefault="00F31B2F" w:rsidP="00F31B2F">
      <w:pPr>
        <w:pStyle w:val="Headingb"/>
        <w:spacing w:after="120"/>
        <w:ind w:left="0" w:firstLine="0"/>
        <w:rPr>
          <w:bCs/>
        </w:rPr>
      </w:pPr>
      <w:r w:rsidRPr="00EE22B8">
        <w:rPr>
          <w:bCs/>
        </w:rPr>
        <w:t>Passifs de l'</w:t>
      </w:r>
      <w:r w:rsidR="00C9477F">
        <w:rPr>
          <w:bCs/>
        </w:rPr>
        <w:t>A</w:t>
      </w:r>
      <w:r w:rsidRPr="00EE22B8">
        <w:rPr>
          <w:bCs/>
        </w:rPr>
        <w:t>ssurance maladie après la cessation de service (ASHI) (</w:t>
      </w:r>
      <w:r w:rsidR="00CB7A71" w:rsidRPr="00CB7A71">
        <w:rPr>
          <w:bCs/>
        </w:rPr>
        <w:t xml:space="preserve">Document </w:t>
      </w:r>
      <w:hyperlink r:id="rId34"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/46</w:t>
        </w:r>
      </w:hyperlink>
      <w:r w:rsidRPr="00EE22B8">
        <w:rPr>
          <w:bCs/>
        </w:rPr>
        <w:t>)</w:t>
      </w:r>
    </w:p>
    <w:tbl>
      <w:tblPr>
        <w:tblStyle w:val="TableGrid"/>
        <w:tblW w:w="0" w:type="auto"/>
        <w:tblLook w:val="04A0" w:firstRow="1" w:lastRow="0" w:firstColumn="1" w:lastColumn="0" w:noHBand="0" w:noVBand="1"/>
      </w:tblPr>
      <w:tblGrid>
        <w:gridCol w:w="9061"/>
      </w:tblGrid>
      <w:tr w:rsidR="00F31B2F" w:rsidRPr="00EE22B8" w14:paraId="00F580F0" w14:textId="77777777">
        <w:tc>
          <w:tcPr>
            <w:tcW w:w="9061" w:type="dxa"/>
          </w:tcPr>
          <w:p w14:paraId="44A1743F" w14:textId="6CBE3705" w:rsidR="00F31B2F" w:rsidRPr="00EE22B8" w:rsidRDefault="00F31B2F" w:rsidP="00F31B2F">
            <w:pPr>
              <w:spacing w:after="120"/>
            </w:pPr>
            <w:r w:rsidRPr="00EE22B8">
              <w:t xml:space="preserve">La commission recommande au Conseil de prendre note du </w:t>
            </w:r>
            <w:r w:rsidR="00CB7A71" w:rsidRPr="00CB7A71">
              <w:t xml:space="preserve">Document </w:t>
            </w:r>
            <w:hyperlink r:id="rId35" w:history="1">
              <w:proofErr w:type="spellStart"/>
              <w:r w:rsidRPr="00EE22B8">
                <w:rPr>
                  <w:rStyle w:val="Hyperlink"/>
                </w:rPr>
                <w:t>C25</w:t>
              </w:r>
              <w:proofErr w:type="spellEnd"/>
              <w:r w:rsidRPr="00EE22B8">
                <w:rPr>
                  <w:rStyle w:val="Hyperlink"/>
                </w:rPr>
                <w:t>/46</w:t>
              </w:r>
            </w:hyperlink>
            <w:r w:rsidRPr="00EE22B8">
              <w:t>.</w:t>
            </w:r>
          </w:p>
        </w:tc>
      </w:tr>
    </w:tbl>
    <w:p w14:paraId="2E9F5E50" w14:textId="66B8A059" w:rsidR="00F31B2F" w:rsidRPr="00EE22B8" w:rsidRDefault="00F31B2F" w:rsidP="00F31B2F">
      <w:pPr>
        <w:pStyle w:val="Headingb"/>
        <w:spacing w:after="120"/>
        <w:ind w:left="0" w:firstLine="0"/>
        <w:rPr>
          <w:bCs/>
        </w:rPr>
      </w:pPr>
      <w:r w:rsidRPr="00EE22B8">
        <w:rPr>
          <w:bCs/>
        </w:rPr>
        <w:t>Modifications des conditions d'emploi dans le cadre du régime commun des Nations Unies (</w:t>
      </w:r>
      <w:r w:rsidR="00CB7A71" w:rsidRPr="00CB7A71">
        <w:rPr>
          <w:bCs/>
        </w:rPr>
        <w:t xml:space="preserve">Document </w:t>
      </w:r>
      <w:hyperlink r:id="rId36"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/23</w:t>
        </w:r>
      </w:hyperlink>
      <w:r w:rsidRPr="00EE22B8">
        <w:rPr>
          <w:bCs/>
        </w:rPr>
        <w:t>)</w:t>
      </w:r>
    </w:p>
    <w:tbl>
      <w:tblPr>
        <w:tblStyle w:val="TableGrid"/>
        <w:tblW w:w="0" w:type="auto"/>
        <w:tblLook w:val="04A0" w:firstRow="1" w:lastRow="0" w:firstColumn="1" w:lastColumn="0" w:noHBand="0" w:noVBand="1"/>
      </w:tblPr>
      <w:tblGrid>
        <w:gridCol w:w="9061"/>
      </w:tblGrid>
      <w:tr w:rsidR="00F31B2F" w:rsidRPr="00EE22B8" w14:paraId="79CA5DEA" w14:textId="77777777">
        <w:tc>
          <w:tcPr>
            <w:tcW w:w="9061" w:type="dxa"/>
          </w:tcPr>
          <w:p w14:paraId="01D2EDED" w14:textId="77777777" w:rsidR="00F31B2F" w:rsidRPr="00EE22B8" w:rsidRDefault="00F31B2F" w:rsidP="00F31B2F">
            <w:r w:rsidRPr="00EE22B8">
              <w:t>La commission recommande au Conseil:</w:t>
            </w:r>
          </w:p>
          <w:p w14:paraId="13FE5C7D" w14:textId="77777777" w:rsidR="00F31B2F" w:rsidRPr="00EE22B8" w:rsidRDefault="00F31B2F" w:rsidP="00CB7A71">
            <w:pPr>
              <w:pStyle w:val="enumlev1"/>
              <w:jc w:val="both"/>
            </w:pPr>
            <w:r w:rsidRPr="00EE22B8">
              <w:t>•</w:t>
            </w:r>
            <w:r w:rsidRPr="00EE22B8">
              <w:tab/>
              <w:t>de prendre note de la mise en œuvre par la Secrétaire générale des décisions prises par l'Assemblée générale des Nations Unies concernant les modifications apportées aux conditions d'emploi des fonctionnaires nommés conformément aux Statut et Règlement du personnel de l'UIT; et</w:t>
            </w:r>
          </w:p>
          <w:p w14:paraId="679C7F3E" w14:textId="4E7FE691" w:rsidR="00F31B2F" w:rsidRPr="00EE22B8" w:rsidRDefault="00F31B2F" w:rsidP="00CB7A71">
            <w:pPr>
              <w:pStyle w:val="enumlev1"/>
              <w:spacing w:after="120"/>
              <w:jc w:val="both"/>
            </w:pPr>
            <w:r w:rsidRPr="00EE22B8">
              <w:t>•</w:t>
            </w:r>
            <w:r w:rsidRPr="00EE22B8">
              <w:tab/>
              <w:t xml:space="preserve">d'approuver le barème des traitements et la rémunération considérée aux fins de la pension applicables aux fonctionnaires élus, tels qu'ils figurent dans le projet de </w:t>
            </w:r>
            <w:r w:rsidR="00D01050">
              <w:t>r</w:t>
            </w:r>
            <w:r w:rsidRPr="00EE22B8">
              <w:t>ésolution reproduit dans l'Annexe E du présent rapport.</w:t>
            </w:r>
          </w:p>
        </w:tc>
      </w:tr>
    </w:tbl>
    <w:p w14:paraId="44F826AF" w14:textId="10A2A5BA" w:rsidR="00F31B2F" w:rsidRPr="00EE22B8" w:rsidRDefault="009017DD" w:rsidP="009017DD">
      <w:pPr>
        <w:pStyle w:val="Headingb"/>
        <w:spacing w:after="120"/>
        <w:ind w:left="0" w:firstLine="0"/>
        <w:rPr>
          <w:bCs/>
        </w:rPr>
      </w:pPr>
      <w:r w:rsidRPr="00EE22B8">
        <w:rPr>
          <w:bCs/>
        </w:rPr>
        <w:t>Rapport d'activité sur la mise en œuvre des Décisions 600 (C17) et 601 (C17) du Conseil (</w:t>
      </w:r>
      <w:r w:rsidR="00CB7A71" w:rsidRPr="00CB7A71">
        <w:rPr>
          <w:bCs/>
        </w:rPr>
        <w:t xml:space="preserve">Document </w:t>
      </w:r>
      <w:hyperlink r:id="rId37"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/38</w:t>
        </w:r>
      </w:hyperlink>
      <w:r w:rsidRPr="00EE22B8">
        <w:rPr>
          <w:bCs/>
        </w:rPr>
        <w:t>)</w:t>
      </w:r>
    </w:p>
    <w:tbl>
      <w:tblPr>
        <w:tblStyle w:val="TableGrid"/>
        <w:tblW w:w="0" w:type="auto"/>
        <w:tblLook w:val="04A0" w:firstRow="1" w:lastRow="0" w:firstColumn="1" w:lastColumn="0" w:noHBand="0" w:noVBand="1"/>
      </w:tblPr>
      <w:tblGrid>
        <w:gridCol w:w="9061"/>
      </w:tblGrid>
      <w:tr w:rsidR="009017DD" w:rsidRPr="00EE22B8" w14:paraId="03824F02" w14:textId="77777777">
        <w:tc>
          <w:tcPr>
            <w:tcW w:w="9061" w:type="dxa"/>
          </w:tcPr>
          <w:p w14:paraId="1C6FAE66" w14:textId="482EDE28" w:rsidR="009017DD" w:rsidRPr="00EE22B8" w:rsidRDefault="009017DD" w:rsidP="00CB7A71">
            <w:pPr>
              <w:spacing w:after="120"/>
              <w:jc w:val="both"/>
            </w:pPr>
            <w:r w:rsidRPr="00EE22B8">
              <w:t xml:space="preserve">La commission recommande au Conseil de prendre note du rapport figurant dans le </w:t>
            </w:r>
            <w:hyperlink r:id="rId38" w:history="1">
              <w:r w:rsidR="00CB7A71" w:rsidRPr="00CB7A71">
                <w:t xml:space="preserve">Document </w:t>
              </w:r>
              <w:proofErr w:type="spellStart"/>
              <w:r w:rsidRPr="00EE22B8">
                <w:rPr>
                  <w:rStyle w:val="Hyperlink"/>
                </w:rPr>
                <w:t>C25</w:t>
              </w:r>
              <w:proofErr w:type="spellEnd"/>
              <w:r w:rsidRPr="00EE22B8">
                <w:rPr>
                  <w:rStyle w:val="Hyperlink"/>
                </w:rPr>
                <w:t>/38</w:t>
              </w:r>
            </w:hyperlink>
            <w:r w:rsidRPr="00EE22B8">
              <w:t>.</w:t>
            </w:r>
          </w:p>
        </w:tc>
      </w:tr>
    </w:tbl>
    <w:p w14:paraId="565C02D4" w14:textId="22C00FC4" w:rsidR="009017DD" w:rsidRPr="00EE22B8" w:rsidRDefault="009017DD" w:rsidP="009017DD">
      <w:pPr>
        <w:pStyle w:val="Headingb"/>
        <w:spacing w:after="120"/>
        <w:ind w:left="0" w:firstLine="0"/>
        <w:rPr>
          <w:bCs/>
        </w:rPr>
      </w:pPr>
      <w:r w:rsidRPr="00EE22B8">
        <w:rPr>
          <w:bCs/>
        </w:rPr>
        <w:t xml:space="preserve">Projet de locaux du siège de l'Union (Documents </w:t>
      </w:r>
      <w:hyperlink r:id="rId39" w:history="1">
        <w:r w:rsidRPr="00EE22B8">
          <w:rPr>
            <w:rStyle w:val="Hyperlink"/>
            <w:rFonts w:eastAsia="Times New Roman" w:cs="Times New Roman"/>
            <w:bCs/>
            <w:szCs w:val="20"/>
          </w:rPr>
          <w:t>C25/7(Rév.1 + 2)</w:t>
        </w:r>
      </w:hyperlink>
      <w:r w:rsidRPr="00EE22B8">
        <w:rPr>
          <w:bCs/>
        </w:rPr>
        <w:t xml:space="preserve">, </w:t>
      </w:r>
      <w:hyperlink r:id="rId40" w:history="1">
        <w:r w:rsidRPr="00EE22B8">
          <w:rPr>
            <w:rStyle w:val="Hyperlink"/>
            <w:rFonts w:eastAsia="Times New Roman" w:cs="Times New Roman"/>
            <w:bCs/>
            <w:szCs w:val="20"/>
          </w:rPr>
          <w:t>C25/48(Rév.1)</w:t>
        </w:r>
      </w:hyperlink>
      <w:r w:rsidRPr="00EE22B8">
        <w:rPr>
          <w:bCs/>
        </w:rPr>
        <w:t xml:space="preserve">, </w:t>
      </w:r>
      <w:hyperlink r:id="rId41" w:history="1">
        <w:r w:rsidRPr="00EE22B8">
          <w:rPr>
            <w:rStyle w:val="Hyperlink"/>
            <w:rFonts w:eastAsia="Times New Roman" w:cs="Times New Roman"/>
            <w:bCs/>
            <w:szCs w:val="20"/>
          </w:rPr>
          <w:t>C25/83</w:t>
        </w:r>
      </w:hyperlink>
      <w:r w:rsidRPr="00EE22B8">
        <w:rPr>
          <w:bCs/>
        </w:rPr>
        <w:t>)</w:t>
      </w:r>
    </w:p>
    <w:tbl>
      <w:tblPr>
        <w:tblStyle w:val="TableGrid"/>
        <w:tblW w:w="0" w:type="auto"/>
        <w:tblLook w:val="04A0" w:firstRow="1" w:lastRow="0" w:firstColumn="1" w:lastColumn="0" w:noHBand="0" w:noVBand="1"/>
      </w:tblPr>
      <w:tblGrid>
        <w:gridCol w:w="9061"/>
      </w:tblGrid>
      <w:tr w:rsidR="009017DD" w:rsidRPr="00EE22B8" w14:paraId="074FF315" w14:textId="77777777">
        <w:tc>
          <w:tcPr>
            <w:tcW w:w="9061" w:type="dxa"/>
          </w:tcPr>
          <w:p w14:paraId="62308455" w14:textId="77777777" w:rsidR="009017DD" w:rsidRPr="00EE22B8" w:rsidRDefault="009017DD" w:rsidP="009017DD">
            <w:r w:rsidRPr="00EE22B8">
              <w:t>La commission recommande au Conseil:</w:t>
            </w:r>
          </w:p>
          <w:p w14:paraId="7A519C2C" w14:textId="0523CA42" w:rsidR="009017DD" w:rsidRPr="00EE22B8" w:rsidRDefault="009017DD" w:rsidP="00CB7A71">
            <w:pPr>
              <w:pStyle w:val="enumlev1"/>
              <w:jc w:val="both"/>
            </w:pPr>
            <w:r w:rsidRPr="00EE22B8">
              <w:t>•</w:t>
            </w:r>
            <w:r w:rsidRPr="00EE22B8">
              <w:tab/>
              <w:t xml:space="preserve">de prendre note du rapport figurant dans les Documents </w:t>
            </w:r>
            <w:hyperlink r:id="rId42" w:history="1">
              <w:r w:rsidRPr="00EE22B8">
                <w:rPr>
                  <w:rStyle w:val="Hyperlink"/>
                </w:rPr>
                <w:t>C25/7(Rév.1 + 2)</w:t>
              </w:r>
            </w:hyperlink>
            <w:r w:rsidRPr="00EE22B8">
              <w:t xml:space="preserve"> et</w:t>
            </w:r>
            <w:r w:rsidR="004D5A36">
              <w:t> </w:t>
            </w:r>
            <w:hyperlink r:id="rId43" w:history="1">
              <w:r w:rsidRPr="00EE22B8">
                <w:rPr>
                  <w:rStyle w:val="Hyperlink"/>
                </w:rPr>
                <w:t>C25/48(Rév.1)</w:t>
              </w:r>
            </w:hyperlink>
            <w:r w:rsidRPr="00EE22B8">
              <w:t>; et</w:t>
            </w:r>
          </w:p>
          <w:p w14:paraId="098D284E" w14:textId="78744340" w:rsidR="009017DD" w:rsidRPr="00EE22B8" w:rsidRDefault="009017DD" w:rsidP="00CB7A71">
            <w:pPr>
              <w:pStyle w:val="enumlev1"/>
              <w:spacing w:after="120"/>
              <w:jc w:val="both"/>
            </w:pPr>
            <w:r w:rsidRPr="00EE22B8">
              <w:t>•</w:t>
            </w:r>
            <w:r w:rsidRPr="00EE22B8">
              <w:tab/>
              <w:t>de charger le secrétariat de préparer une analyse des Décisions 588 (C16), 619 (C19,</w:t>
            </w:r>
            <w:r w:rsidR="004D5A36">
              <w:t> </w:t>
            </w:r>
            <w:r w:rsidRPr="00EE22B8">
              <w:t>dernière mod. C21) et 640 (C24) du Conseil, en recensant les dispositions qui sont toujours en vigueur et celles qui ont été remplacées ou sont devenues obsolètes, et de rendre compte des résultats à la prochaine réunion du GTC-FHR.</w:t>
            </w:r>
          </w:p>
        </w:tc>
      </w:tr>
    </w:tbl>
    <w:p w14:paraId="33EE5724" w14:textId="689743BB" w:rsidR="009017DD" w:rsidRPr="00EE22B8" w:rsidRDefault="00160FA0" w:rsidP="00160FA0">
      <w:pPr>
        <w:pStyle w:val="Headingb"/>
        <w:spacing w:after="120"/>
        <w:ind w:left="0" w:firstLine="0"/>
        <w:rPr>
          <w:bCs/>
        </w:rPr>
      </w:pPr>
      <w:r w:rsidRPr="00EE22B8">
        <w:rPr>
          <w:bCs/>
        </w:rPr>
        <w:t>Informations actualisées sur le plan stratégique pour le campus de l'UIT (</w:t>
      </w:r>
      <w:r w:rsidR="00CB7A71" w:rsidRPr="00CB7A71">
        <w:rPr>
          <w:bCs/>
        </w:rPr>
        <w:t>Document </w:t>
      </w:r>
      <w:proofErr w:type="spellStart"/>
      <w:r>
        <w:fldChar w:fldCharType="begin"/>
      </w:r>
      <w:r>
        <w:instrText>HYPERLINK "https://www.itu.int/md/S25-CL-C-0063/fr"</w:instrText>
      </w:r>
      <w:r>
        <w:fldChar w:fldCharType="separate"/>
      </w:r>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/63(</w:t>
      </w:r>
      <w:proofErr w:type="spellStart"/>
      <w:r w:rsidRPr="00EE22B8">
        <w:rPr>
          <w:rStyle w:val="Hyperlink"/>
          <w:rFonts w:eastAsia="Times New Roman" w:cs="Times New Roman"/>
          <w:bCs/>
          <w:szCs w:val="20"/>
        </w:rPr>
        <w:t>Rév.1</w:t>
      </w:r>
      <w:proofErr w:type="spellEnd"/>
      <w:r w:rsidRPr="00EE22B8">
        <w:rPr>
          <w:rStyle w:val="Hyperlink"/>
          <w:rFonts w:eastAsia="Times New Roman" w:cs="Times New Roman"/>
          <w:bCs/>
          <w:szCs w:val="20"/>
        </w:rPr>
        <w:t>)</w:t>
      </w:r>
      <w:r>
        <w:fldChar w:fldCharType="end"/>
      </w:r>
      <w:r w:rsidRPr="00EE22B8">
        <w:rPr>
          <w:bCs/>
        </w:rPr>
        <w:t>)</w:t>
      </w:r>
    </w:p>
    <w:tbl>
      <w:tblPr>
        <w:tblStyle w:val="TableGrid"/>
        <w:tblW w:w="0" w:type="auto"/>
        <w:tblLook w:val="04A0" w:firstRow="1" w:lastRow="0" w:firstColumn="1" w:lastColumn="0" w:noHBand="0" w:noVBand="1"/>
      </w:tblPr>
      <w:tblGrid>
        <w:gridCol w:w="9061"/>
      </w:tblGrid>
      <w:tr w:rsidR="00160FA0" w:rsidRPr="00EE22B8" w14:paraId="25B009FB" w14:textId="77777777">
        <w:tc>
          <w:tcPr>
            <w:tcW w:w="9061" w:type="dxa"/>
          </w:tcPr>
          <w:p w14:paraId="49BE542C" w14:textId="559DFD70" w:rsidR="00160FA0" w:rsidRPr="00EE22B8" w:rsidRDefault="00160FA0" w:rsidP="00935C66">
            <w:pPr>
              <w:spacing w:after="120"/>
              <w:jc w:val="both"/>
            </w:pPr>
            <w:r w:rsidRPr="00EE22B8">
              <w:t>La commission recommande au Conseil de prendre note du rapport figurant dans le</w:t>
            </w:r>
            <w:r w:rsidR="00CB7A71" w:rsidRPr="008B7CA7">
              <w:t xml:space="preserve"> </w:t>
            </w:r>
            <w:r w:rsidR="00CB7A71" w:rsidRPr="00CB7A71">
              <w:t xml:space="preserve">Document </w:t>
            </w:r>
            <w:hyperlink r:id="rId44" w:history="1">
              <w:proofErr w:type="spellStart"/>
              <w:r w:rsidRPr="00EE22B8">
                <w:rPr>
                  <w:rStyle w:val="Hyperlink"/>
                </w:rPr>
                <w:t>C25</w:t>
              </w:r>
              <w:proofErr w:type="spellEnd"/>
              <w:r w:rsidRPr="00EE22B8">
                <w:rPr>
                  <w:rStyle w:val="Hyperlink"/>
                </w:rPr>
                <w:t>/63(</w:t>
              </w:r>
              <w:proofErr w:type="spellStart"/>
              <w:r w:rsidRPr="00EE22B8">
                <w:rPr>
                  <w:rStyle w:val="Hyperlink"/>
                </w:rPr>
                <w:t>Rév.1</w:t>
              </w:r>
              <w:proofErr w:type="spellEnd"/>
              <w:r w:rsidRPr="00EE22B8">
                <w:rPr>
                  <w:rStyle w:val="Hyperlink"/>
                </w:rPr>
                <w:t>)</w:t>
              </w:r>
            </w:hyperlink>
            <w:r w:rsidRPr="00EE22B8">
              <w:t>.</w:t>
            </w:r>
          </w:p>
        </w:tc>
      </w:tr>
    </w:tbl>
    <w:p w14:paraId="6AD40CB9" w14:textId="4194324F" w:rsidR="00160FA0" w:rsidRPr="00EE22B8" w:rsidRDefault="00160FA0" w:rsidP="00160FA0">
      <w:pPr>
        <w:pStyle w:val="Headingb"/>
        <w:spacing w:after="120"/>
        <w:ind w:left="0" w:firstLine="0"/>
        <w:rPr>
          <w:bCs/>
        </w:rPr>
      </w:pPr>
      <w:r w:rsidRPr="00EE22B8">
        <w:rPr>
          <w:bCs/>
        </w:rPr>
        <w:lastRenderedPageBreak/>
        <w:t>Examen annuel des produits et des charges dans le cadre de la mise en œuvre du budget 2025 (</w:t>
      </w:r>
      <w:r w:rsidR="00CB7A71" w:rsidRPr="00CB7A71">
        <w:rPr>
          <w:bCs/>
        </w:rPr>
        <w:t xml:space="preserve">Document </w:t>
      </w:r>
      <w:hyperlink r:id="rId45"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/9</w:t>
        </w:r>
      </w:hyperlink>
      <w:r w:rsidRPr="00EE22B8">
        <w:rPr>
          <w:bCs/>
        </w:rPr>
        <w:t>)</w:t>
      </w:r>
    </w:p>
    <w:tbl>
      <w:tblPr>
        <w:tblStyle w:val="TableGrid"/>
        <w:tblW w:w="0" w:type="auto"/>
        <w:tblLook w:val="04A0" w:firstRow="1" w:lastRow="0" w:firstColumn="1" w:lastColumn="0" w:noHBand="0" w:noVBand="1"/>
      </w:tblPr>
      <w:tblGrid>
        <w:gridCol w:w="9061"/>
      </w:tblGrid>
      <w:tr w:rsidR="00160FA0" w:rsidRPr="00EE22B8" w14:paraId="739D64E9" w14:textId="77777777">
        <w:tc>
          <w:tcPr>
            <w:tcW w:w="9061" w:type="dxa"/>
          </w:tcPr>
          <w:p w14:paraId="7BD69EF7" w14:textId="4D695417" w:rsidR="00160FA0" w:rsidRPr="00EE22B8" w:rsidRDefault="00160FA0" w:rsidP="00935C66">
            <w:pPr>
              <w:spacing w:after="120"/>
              <w:jc w:val="both"/>
            </w:pPr>
            <w:r w:rsidRPr="00EE22B8">
              <w:t>La commission recommande au Conseil de prendre note du rapport figurant dans le</w:t>
            </w:r>
            <w:r w:rsidR="00CB7A71" w:rsidRPr="008B7CA7">
              <w:t xml:space="preserve"> </w:t>
            </w:r>
            <w:r w:rsidR="00CB7A71" w:rsidRPr="00CB7A71">
              <w:t xml:space="preserve">Document </w:t>
            </w:r>
            <w:hyperlink r:id="rId46" w:history="1">
              <w:proofErr w:type="spellStart"/>
              <w:r w:rsidRPr="00EE22B8">
                <w:rPr>
                  <w:rStyle w:val="Hyperlink"/>
                </w:rPr>
                <w:t>C25</w:t>
              </w:r>
              <w:proofErr w:type="spellEnd"/>
              <w:r w:rsidRPr="00EE22B8">
                <w:rPr>
                  <w:rStyle w:val="Hyperlink"/>
                </w:rPr>
                <w:t>/9</w:t>
              </w:r>
            </w:hyperlink>
            <w:r w:rsidRPr="00EE22B8">
              <w:t>.</w:t>
            </w:r>
          </w:p>
        </w:tc>
      </w:tr>
    </w:tbl>
    <w:p w14:paraId="5861F4B4" w14:textId="28DAB901" w:rsidR="00160FA0" w:rsidRPr="00EE22B8" w:rsidRDefault="00160FA0" w:rsidP="00160FA0">
      <w:pPr>
        <w:pStyle w:val="Headingb"/>
        <w:spacing w:after="120"/>
        <w:ind w:left="0" w:firstLine="0"/>
        <w:rPr>
          <w:bCs/>
        </w:rPr>
      </w:pPr>
      <w:r w:rsidRPr="00EE22B8">
        <w:rPr>
          <w:bCs/>
        </w:rPr>
        <w:t>Nouvelles demandes d'exonération du paiement de droits pour les organisations ayant un caractère international (</w:t>
      </w:r>
      <w:r w:rsidR="00CB7A71" w:rsidRPr="00CB7A71">
        <w:rPr>
          <w:bCs/>
        </w:rPr>
        <w:t xml:space="preserve">Document </w:t>
      </w:r>
      <w:hyperlink r:id="rId47"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/65</w:t>
        </w:r>
      </w:hyperlink>
      <w:r w:rsidRPr="00EE22B8">
        <w:rPr>
          <w:bCs/>
        </w:rPr>
        <w:t>)</w:t>
      </w:r>
    </w:p>
    <w:tbl>
      <w:tblPr>
        <w:tblStyle w:val="TableGrid"/>
        <w:tblW w:w="0" w:type="auto"/>
        <w:tblLook w:val="04A0" w:firstRow="1" w:lastRow="0" w:firstColumn="1" w:lastColumn="0" w:noHBand="0" w:noVBand="1"/>
      </w:tblPr>
      <w:tblGrid>
        <w:gridCol w:w="9061"/>
      </w:tblGrid>
      <w:tr w:rsidR="00160FA0" w:rsidRPr="00EE22B8" w14:paraId="2A12BABD" w14:textId="77777777">
        <w:tc>
          <w:tcPr>
            <w:tcW w:w="9061" w:type="dxa"/>
          </w:tcPr>
          <w:p w14:paraId="455A08DC" w14:textId="67091CA7" w:rsidR="00160FA0" w:rsidRPr="00EE22B8" w:rsidRDefault="00160FA0" w:rsidP="00935C66">
            <w:pPr>
              <w:spacing w:after="120"/>
              <w:jc w:val="both"/>
            </w:pPr>
            <w:r w:rsidRPr="00EE22B8">
              <w:t>La commission recommande au Conseil d'approuver les recommandations de la Secrétaire</w:t>
            </w:r>
            <w:r w:rsidR="00614968">
              <w:t> </w:t>
            </w:r>
            <w:r w:rsidRPr="00EE22B8">
              <w:t xml:space="preserve">générale concernant les demandes d'exonération du paiement des contributions des Membres des Secteurs, telles qu'elles figurent dans le </w:t>
            </w:r>
            <w:hyperlink r:id="rId48" w:history="1">
              <w:r w:rsidR="00CB7A71" w:rsidRPr="00CB7A71">
                <w:t>Document </w:t>
              </w:r>
              <w:proofErr w:type="spellStart"/>
              <w:r w:rsidRPr="00EE22B8">
                <w:rPr>
                  <w:rStyle w:val="Hyperlink"/>
                </w:rPr>
                <w:t>C25</w:t>
              </w:r>
              <w:proofErr w:type="spellEnd"/>
              <w:r w:rsidRPr="00EE22B8">
                <w:rPr>
                  <w:rStyle w:val="Hyperlink"/>
                </w:rPr>
                <w:t>/65</w:t>
              </w:r>
            </w:hyperlink>
            <w:r w:rsidRPr="00EE22B8">
              <w:t>.</w:t>
            </w:r>
          </w:p>
        </w:tc>
      </w:tr>
    </w:tbl>
    <w:p w14:paraId="34771DE7" w14:textId="378A6752" w:rsidR="00160FA0" w:rsidRPr="00EE22B8" w:rsidRDefault="00160FA0" w:rsidP="00160FA0">
      <w:pPr>
        <w:pStyle w:val="Headingb"/>
        <w:spacing w:after="120"/>
        <w:ind w:left="0" w:firstLine="0"/>
        <w:rPr>
          <w:bCs/>
        </w:rPr>
      </w:pPr>
      <w:r w:rsidRPr="00EE22B8">
        <w:rPr>
          <w:bCs/>
        </w:rPr>
        <w:t>Participation d'autres entités s'occupant de questions de télécommunication aux activités de l'UIT (</w:t>
      </w:r>
      <w:r w:rsidR="00CB7A71" w:rsidRPr="00CB7A71">
        <w:rPr>
          <w:bCs/>
        </w:rPr>
        <w:t xml:space="preserve">Document </w:t>
      </w:r>
      <w:hyperlink r:id="rId49"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/20</w:t>
        </w:r>
      </w:hyperlink>
      <w:r w:rsidRPr="00EE22B8">
        <w:rPr>
          <w:bCs/>
        </w:rPr>
        <w:t>)</w:t>
      </w:r>
    </w:p>
    <w:tbl>
      <w:tblPr>
        <w:tblStyle w:val="TableGrid"/>
        <w:tblW w:w="0" w:type="auto"/>
        <w:tblLook w:val="04A0" w:firstRow="1" w:lastRow="0" w:firstColumn="1" w:lastColumn="0" w:noHBand="0" w:noVBand="1"/>
      </w:tblPr>
      <w:tblGrid>
        <w:gridCol w:w="9061"/>
      </w:tblGrid>
      <w:tr w:rsidR="00160FA0" w:rsidRPr="00EE22B8" w14:paraId="2037386E" w14:textId="77777777">
        <w:tc>
          <w:tcPr>
            <w:tcW w:w="9061" w:type="dxa"/>
          </w:tcPr>
          <w:p w14:paraId="3C4AE4C5" w14:textId="091F8B0F" w:rsidR="00160FA0" w:rsidRPr="00EE22B8" w:rsidRDefault="00160FA0" w:rsidP="00935C66">
            <w:pPr>
              <w:spacing w:after="120"/>
              <w:jc w:val="both"/>
            </w:pPr>
            <w:r w:rsidRPr="00EE22B8">
              <w:t>La commission recommande au Conseil de confirmer les mesures prises par la Secrétaire</w:t>
            </w:r>
            <w:r w:rsidR="00614968">
              <w:t> </w:t>
            </w:r>
            <w:r w:rsidRPr="00EE22B8">
              <w:t>générale concernant l'admission d'autres entités s'occupant de questions de</w:t>
            </w:r>
            <w:r w:rsidR="00614968">
              <w:t> </w:t>
            </w:r>
            <w:r w:rsidRPr="00EE22B8">
              <w:t>télécommunication énumérées dans l'annexe du</w:t>
            </w:r>
            <w:r w:rsidR="00CB7A71">
              <w:t xml:space="preserve"> </w:t>
            </w:r>
            <w:r w:rsidR="00CB7A71" w:rsidRPr="00CB7A71">
              <w:t xml:space="preserve">Document </w:t>
            </w:r>
            <w:hyperlink r:id="rId50" w:history="1">
              <w:proofErr w:type="spellStart"/>
              <w:r w:rsidRPr="00EE22B8">
                <w:rPr>
                  <w:rStyle w:val="Hyperlink"/>
                </w:rPr>
                <w:t>C25</w:t>
              </w:r>
              <w:proofErr w:type="spellEnd"/>
              <w:r w:rsidRPr="00EE22B8">
                <w:rPr>
                  <w:rStyle w:val="Hyperlink"/>
                </w:rPr>
                <w:t>/20</w:t>
              </w:r>
            </w:hyperlink>
            <w:r w:rsidRPr="00EE22B8">
              <w:t>.</w:t>
            </w:r>
          </w:p>
        </w:tc>
      </w:tr>
    </w:tbl>
    <w:p w14:paraId="1755A166" w14:textId="60BF425E" w:rsidR="00160FA0" w:rsidRPr="00EE22B8" w:rsidRDefault="00675B75" w:rsidP="00675B75">
      <w:pPr>
        <w:pStyle w:val="Headingb"/>
        <w:spacing w:after="120"/>
        <w:ind w:left="0" w:firstLine="0"/>
        <w:rPr>
          <w:bCs/>
        </w:rPr>
      </w:pPr>
      <w:r w:rsidRPr="00EE22B8">
        <w:rPr>
          <w:bCs/>
        </w:rPr>
        <w:t>Rapport du Bureau de l'éthique (</w:t>
      </w:r>
      <w:hyperlink r:id="rId51" w:history="1">
        <w:r w:rsidR="00CB7A71" w:rsidRPr="00CB7A71">
          <w:t xml:space="preserve">Document </w:t>
        </w:r>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/14</w:t>
        </w:r>
      </w:hyperlink>
      <w:r w:rsidRPr="00EE22B8">
        <w:rPr>
          <w:bCs/>
        </w:rPr>
        <w:t>)</w:t>
      </w:r>
    </w:p>
    <w:tbl>
      <w:tblPr>
        <w:tblStyle w:val="TableGrid"/>
        <w:tblW w:w="0" w:type="auto"/>
        <w:tblLook w:val="04A0" w:firstRow="1" w:lastRow="0" w:firstColumn="1" w:lastColumn="0" w:noHBand="0" w:noVBand="1"/>
      </w:tblPr>
      <w:tblGrid>
        <w:gridCol w:w="9061"/>
      </w:tblGrid>
      <w:tr w:rsidR="00675B75" w:rsidRPr="00EE22B8" w14:paraId="7CE067D3" w14:textId="77777777">
        <w:tc>
          <w:tcPr>
            <w:tcW w:w="9061" w:type="dxa"/>
          </w:tcPr>
          <w:p w14:paraId="1A45A53A" w14:textId="0997D1A4" w:rsidR="00675B75" w:rsidRPr="00EE22B8" w:rsidRDefault="00675B75" w:rsidP="00935C66">
            <w:pPr>
              <w:spacing w:after="120"/>
              <w:jc w:val="both"/>
            </w:pPr>
            <w:r w:rsidRPr="00EE22B8">
              <w:t>La commission recommande au Conseil de prendre note du rapport figurant dans le</w:t>
            </w:r>
            <w:r w:rsidR="00CB7A71">
              <w:t xml:space="preserve"> </w:t>
            </w:r>
            <w:r w:rsidR="00CB7A71" w:rsidRPr="00CB7A71">
              <w:t xml:space="preserve">Document </w:t>
            </w:r>
            <w:hyperlink r:id="rId52" w:history="1">
              <w:proofErr w:type="spellStart"/>
              <w:r w:rsidRPr="00EE22B8">
                <w:rPr>
                  <w:rStyle w:val="Hyperlink"/>
                </w:rPr>
                <w:t>C25</w:t>
              </w:r>
              <w:proofErr w:type="spellEnd"/>
              <w:r w:rsidRPr="00EE22B8">
                <w:rPr>
                  <w:rStyle w:val="Hyperlink"/>
                </w:rPr>
                <w:t>/14</w:t>
              </w:r>
            </w:hyperlink>
            <w:r w:rsidRPr="00EE22B8">
              <w:t>, y compris de la Charte du Bureau de l'éthique de l'UIT reproduit en annexe dudit document.</w:t>
            </w:r>
          </w:p>
        </w:tc>
      </w:tr>
    </w:tbl>
    <w:p w14:paraId="7C6C149A" w14:textId="5713614B" w:rsidR="00675B75" w:rsidRPr="00EE22B8" w:rsidRDefault="00675B75" w:rsidP="00675B75">
      <w:pPr>
        <w:pStyle w:val="Headingb"/>
        <w:spacing w:after="120"/>
        <w:ind w:left="0" w:firstLine="0"/>
        <w:rPr>
          <w:bCs/>
        </w:rPr>
      </w:pPr>
      <w:r w:rsidRPr="00EE22B8">
        <w:rPr>
          <w:bCs/>
        </w:rPr>
        <w:t>Montant préliminaire de l'unité contributive (</w:t>
      </w:r>
      <w:r w:rsidR="00CB7A71" w:rsidRPr="00CB7A71">
        <w:rPr>
          <w:bCs/>
        </w:rPr>
        <w:t xml:space="preserve">Document </w:t>
      </w:r>
      <w:hyperlink r:id="rId53"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/54</w:t>
        </w:r>
      </w:hyperlink>
      <w:r w:rsidRPr="00EE22B8">
        <w:rPr>
          <w:bCs/>
        </w:rPr>
        <w:t>)</w:t>
      </w:r>
    </w:p>
    <w:tbl>
      <w:tblPr>
        <w:tblStyle w:val="TableGrid"/>
        <w:tblW w:w="0" w:type="auto"/>
        <w:tblLook w:val="04A0" w:firstRow="1" w:lastRow="0" w:firstColumn="1" w:lastColumn="0" w:noHBand="0" w:noVBand="1"/>
      </w:tblPr>
      <w:tblGrid>
        <w:gridCol w:w="9061"/>
      </w:tblGrid>
      <w:tr w:rsidR="00675B75" w:rsidRPr="00EE22B8" w14:paraId="0A60601A" w14:textId="77777777">
        <w:tc>
          <w:tcPr>
            <w:tcW w:w="9061" w:type="dxa"/>
          </w:tcPr>
          <w:p w14:paraId="6A9826BF" w14:textId="23547243" w:rsidR="00675B75" w:rsidRPr="00EE22B8" w:rsidRDefault="00675B75" w:rsidP="00675B75">
            <w:r w:rsidRPr="00EE22B8">
              <w:t>La commission recommande au Conseil:</w:t>
            </w:r>
          </w:p>
          <w:p w14:paraId="6A1365B8" w14:textId="2247BF4C" w:rsidR="00675B75" w:rsidRPr="00EE22B8" w:rsidRDefault="00675B75" w:rsidP="00935C66">
            <w:pPr>
              <w:pStyle w:val="enumlev1"/>
              <w:jc w:val="both"/>
            </w:pPr>
            <w:r w:rsidRPr="00EE22B8">
              <w:t>•</w:t>
            </w:r>
            <w:r w:rsidRPr="00EE22B8">
              <w:tab/>
              <w:t>d'approuver la proposition visant à maintenir le montant de l'unité contributive à</w:t>
            </w:r>
            <w:r w:rsidR="00230F38" w:rsidRPr="00EE22B8">
              <w:t> </w:t>
            </w:r>
            <w:r w:rsidRPr="00EE22B8">
              <w:t>318 000 CHF et de lancer les travaux en vue d'élaborer une méthode à appliquer aux fins de l'examen futur des modifications à apporter au montant de l'unité contributive, qui sera examinée par le Conseil à sa session de 2026; et</w:t>
            </w:r>
          </w:p>
          <w:p w14:paraId="118A86C1" w14:textId="0532391C" w:rsidR="00675B75" w:rsidRPr="00EE22B8" w:rsidRDefault="00675B75" w:rsidP="00935C66">
            <w:pPr>
              <w:pStyle w:val="enumlev1"/>
              <w:spacing w:after="120"/>
              <w:jc w:val="both"/>
            </w:pPr>
            <w:r w:rsidRPr="00EE22B8">
              <w:t>•</w:t>
            </w:r>
            <w:r w:rsidRPr="00EE22B8">
              <w:tab/>
              <w:t>de soumettre un projet de méthode au GTC-FHR et au GTC-SFP lors de leurs réunions qui se tiendront en janvier/février 2026.</w:t>
            </w:r>
          </w:p>
        </w:tc>
      </w:tr>
    </w:tbl>
    <w:p w14:paraId="4ACB6262" w14:textId="312C7F04" w:rsidR="00675B75" w:rsidRPr="00EE22B8" w:rsidRDefault="00675B75" w:rsidP="00675B75">
      <w:pPr>
        <w:pStyle w:val="Headingb"/>
        <w:spacing w:after="120"/>
        <w:ind w:left="0" w:firstLine="0"/>
        <w:rPr>
          <w:bCs/>
        </w:rPr>
      </w:pPr>
      <w:r w:rsidRPr="00EE22B8">
        <w:rPr>
          <w:bCs/>
        </w:rPr>
        <w:t>Arriérés et comptes spéciaux d'arriérés (</w:t>
      </w:r>
      <w:r w:rsidR="00CB7A71" w:rsidRPr="00CB7A71">
        <w:rPr>
          <w:bCs/>
        </w:rPr>
        <w:t xml:space="preserve">Document </w:t>
      </w:r>
      <w:hyperlink r:id="rId54"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/11</w:t>
        </w:r>
      </w:hyperlink>
      <w:r w:rsidRPr="00EE22B8">
        <w:rPr>
          <w:bCs/>
        </w:rPr>
        <w:t>)</w:t>
      </w:r>
    </w:p>
    <w:tbl>
      <w:tblPr>
        <w:tblStyle w:val="TableGrid"/>
        <w:tblW w:w="0" w:type="auto"/>
        <w:tblLook w:val="04A0" w:firstRow="1" w:lastRow="0" w:firstColumn="1" w:lastColumn="0" w:noHBand="0" w:noVBand="1"/>
      </w:tblPr>
      <w:tblGrid>
        <w:gridCol w:w="9061"/>
      </w:tblGrid>
      <w:tr w:rsidR="00675B75" w:rsidRPr="00EE22B8" w14:paraId="32D3AE5E" w14:textId="77777777">
        <w:tc>
          <w:tcPr>
            <w:tcW w:w="9061" w:type="dxa"/>
          </w:tcPr>
          <w:p w14:paraId="3EC3275F" w14:textId="77777777" w:rsidR="00675B75" w:rsidRPr="00EE22B8" w:rsidRDefault="00675B75" w:rsidP="00675B75">
            <w:r w:rsidRPr="00EE22B8">
              <w:t>La commission recommande au Conseil:</w:t>
            </w:r>
          </w:p>
          <w:p w14:paraId="5FCA4745" w14:textId="6BC37530" w:rsidR="00675B75" w:rsidRPr="00EE22B8" w:rsidRDefault="00675B75" w:rsidP="00675B75">
            <w:pPr>
              <w:pStyle w:val="enumlev1"/>
            </w:pPr>
            <w:r w:rsidRPr="00EE22B8">
              <w:t>•</w:t>
            </w:r>
            <w:r w:rsidRPr="00EE22B8">
              <w:tab/>
              <w:t>de prendre note du</w:t>
            </w:r>
            <w:r w:rsidR="00CB7A71">
              <w:t xml:space="preserve"> </w:t>
            </w:r>
            <w:r w:rsidR="00CB7A71" w:rsidRPr="00CB7A71">
              <w:t xml:space="preserve">Document </w:t>
            </w:r>
            <w:hyperlink r:id="rId55" w:history="1">
              <w:proofErr w:type="spellStart"/>
              <w:r w:rsidRPr="00EE22B8">
                <w:rPr>
                  <w:rStyle w:val="Hyperlink"/>
                </w:rPr>
                <w:t>C25</w:t>
              </w:r>
              <w:proofErr w:type="spellEnd"/>
              <w:r w:rsidRPr="00EE22B8">
                <w:rPr>
                  <w:rStyle w:val="Hyperlink"/>
                </w:rPr>
                <w:t>/11</w:t>
              </w:r>
            </w:hyperlink>
            <w:r w:rsidRPr="00EE22B8">
              <w:t>;</w:t>
            </w:r>
          </w:p>
          <w:p w14:paraId="6E1D0126" w14:textId="77777777" w:rsidR="00675B75" w:rsidRPr="00EE22B8" w:rsidRDefault="00675B75" w:rsidP="00935C66">
            <w:pPr>
              <w:pStyle w:val="enumlev1"/>
              <w:jc w:val="both"/>
            </w:pPr>
            <w:r w:rsidRPr="00EE22B8">
              <w:t>•</w:t>
            </w:r>
            <w:r w:rsidRPr="00EE22B8">
              <w:tab/>
              <w:t>d'autoriser la Secrétaire générale à passer par pertes et profits des intérêts moratoires et des créances irrécupérables d'un montant de 950 306,68 CHF par un prélèvement correspondant sur la Provision pour comptes débiteurs; et</w:t>
            </w:r>
          </w:p>
          <w:p w14:paraId="02E1FDD6" w14:textId="69C1FBE6" w:rsidR="00675B75" w:rsidRPr="00EE22B8" w:rsidRDefault="00675B75" w:rsidP="00935C66">
            <w:pPr>
              <w:pStyle w:val="enumlev1"/>
              <w:spacing w:after="120"/>
              <w:jc w:val="both"/>
            </w:pPr>
            <w:r w:rsidRPr="00EE22B8">
              <w:t>•</w:t>
            </w:r>
            <w:r w:rsidRPr="00EE22B8">
              <w:tab/>
              <w:t>d'adopter le projet de décision joint à l'Annexe F du présent document.</w:t>
            </w:r>
          </w:p>
        </w:tc>
      </w:tr>
    </w:tbl>
    <w:p w14:paraId="5301145E" w14:textId="04DF1586" w:rsidR="00675B75" w:rsidRPr="00EE22B8" w:rsidRDefault="00675B75" w:rsidP="00675B75">
      <w:pPr>
        <w:pStyle w:val="Headingb"/>
        <w:spacing w:after="120"/>
        <w:ind w:left="0" w:firstLine="0"/>
        <w:rPr>
          <w:bCs/>
        </w:rPr>
      </w:pPr>
      <w:r w:rsidRPr="00EE22B8">
        <w:rPr>
          <w:bCs/>
        </w:rPr>
        <w:lastRenderedPageBreak/>
        <w:t>Rapport du Groupe consultatif des radiocommunications sur les questions relatives au Conseil (</w:t>
      </w:r>
      <w:r w:rsidR="00935C66" w:rsidRPr="00935C66">
        <w:rPr>
          <w:bCs/>
        </w:rPr>
        <w:t xml:space="preserve">Document </w:t>
      </w:r>
      <w:hyperlink r:id="rId56"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/59</w:t>
        </w:r>
      </w:hyperlink>
      <w:r w:rsidRPr="00EE22B8">
        <w:rPr>
          <w:bCs/>
        </w:rPr>
        <w:t>)</w:t>
      </w:r>
    </w:p>
    <w:tbl>
      <w:tblPr>
        <w:tblStyle w:val="TableGrid"/>
        <w:tblW w:w="0" w:type="auto"/>
        <w:tblLook w:val="04A0" w:firstRow="1" w:lastRow="0" w:firstColumn="1" w:lastColumn="0" w:noHBand="0" w:noVBand="1"/>
      </w:tblPr>
      <w:tblGrid>
        <w:gridCol w:w="9061"/>
      </w:tblGrid>
      <w:tr w:rsidR="00675B75" w:rsidRPr="00EE22B8" w14:paraId="49B046FD" w14:textId="77777777">
        <w:tc>
          <w:tcPr>
            <w:tcW w:w="9061" w:type="dxa"/>
          </w:tcPr>
          <w:p w14:paraId="6B30C988" w14:textId="02C8BC1A" w:rsidR="00675B75" w:rsidRPr="00EE22B8" w:rsidRDefault="00675B75" w:rsidP="00935C66">
            <w:pPr>
              <w:spacing w:after="120"/>
              <w:jc w:val="both"/>
            </w:pPr>
            <w:r w:rsidRPr="00EE22B8">
              <w:t>La commission recommande au Conseil de prendre note du rapport figurant dans le</w:t>
            </w:r>
            <w:r w:rsidR="00935C66">
              <w:t xml:space="preserve"> </w:t>
            </w:r>
            <w:r w:rsidR="00935C66" w:rsidRPr="00935C66">
              <w:t xml:space="preserve">Document </w:t>
            </w:r>
            <w:hyperlink r:id="rId57" w:history="1">
              <w:proofErr w:type="spellStart"/>
              <w:r w:rsidRPr="00EE22B8">
                <w:rPr>
                  <w:rStyle w:val="Hyperlink"/>
                </w:rPr>
                <w:t>C25</w:t>
              </w:r>
              <w:proofErr w:type="spellEnd"/>
              <w:r w:rsidRPr="00EE22B8">
                <w:rPr>
                  <w:rStyle w:val="Hyperlink"/>
                </w:rPr>
                <w:t>/59</w:t>
              </w:r>
            </w:hyperlink>
            <w:r w:rsidRPr="00EE22B8">
              <w:t>.</w:t>
            </w:r>
          </w:p>
        </w:tc>
      </w:tr>
    </w:tbl>
    <w:p w14:paraId="039C9477" w14:textId="3A530FCA" w:rsidR="00675B75" w:rsidRPr="00EE22B8" w:rsidRDefault="00675B75" w:rsidP="00675B75">
      <w:pPr>
        <w:pStyle w:val="Headingb"/>
        <w:spacing w:after="120"/>
        <w:ind w:left="0" w:firstLine="0"/>
        <w:rPr>
          <w:bCs/>
        </w:rPr>
      </w:pPr>
      <w:r w:rsidRPr="00EE22B8">
        <w:rPr>
          <w:bCs/>
        </w:rPr>
        <w:t>Fonds pour le développement des technologies de l'information et de la communication (</w:t>
      </w:r>
      <w:proofErr w:type="spellStart"/>
      <w:r w:rsidRPr="00EE22B8">
        <w:rPr>
          <w:bCs/>
        </w:rPr>
        <w:t>FDTIC</w:t>
      </w:r>
      <w:proofErr w:type="spellEnd"/>
      <w:r w:rsidRPr="00EE22B8">
        <w:rPr>
          <w:bCs/>
        </w:rPr>
        <w:t>) (</w:t>
      </w:r>
      <w:r w:rsidR="00935C66" w:rsidRPr="00935C66">
        <w:rPr>
          <w:bCs/>
        </w:rPr>
        <w:t xml:space="preserve">Document </w:t>
      </w:r>
      <w:hyperlink r:id="rId58"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/34</w:t>
        </w:r>
      </w:hyperlink>
      <w:r w:rsidRPr="00EE22B8">
        <w:rPr>
          <w:bCs/>
        </w:rPr>
        <w:t>)</w:t>
      </w:r>
    </w:p>
    <w:tbl>
      <w:tblPr>
        <w:tblStyle w:val="TableGrid"/>
        <w:tblW w:w="0" w:type="auto"/>
        <w:tblLook w:val="04A0" w:firstRow="1" w:lastRow="0" w:firstColumn="1" w:lastColumn="0" w:noHBand="0" w:noVBand="1"/>
      </w:tblPr>
      <w:tblGrid>
        <w:gridCol w:w="9061"/>
      </w:tblGrid>
      <w:tr w:rsidR="00675B75" w:rsidRPr="00EE22B8" w14:paraId="78C234DF" w14:textId="77777777">
        <w:tc>
          <w:tcPr>
            <w:tcW w:w="9061" w:type="dxa"/>
          </w:tcPr>
          <w:p w14:paraId="35EA4E14" w14:textId="45A58DAA" w:rsidR="00675B75" w:rsidRPr="00EE22B8" w:rsidRDefault="00675B75" w:rsidP="00935C66">
            <w:pPr>
              <w:spacing w:after="120"/>
              <w:jc w:val="both"/>
            </w:pPr>
            <w:r w:rsidRPr="00EE22B8">
              <w:t xml:space="preserve">La commission recommande au Conseil de prendre note du rapport figurant dans le </w:t>
            </w:r>
            <w:r w:rsidR="00935C66" w:rsidRPr="00935C66">
              <w:t xml:space="preserve">Document </w:t>
            </w:r>
            <w:hyperlink r:id="rId59" w:history="1">
              <w:proofErr w:type="spellStart"/>
              <w:r w:rsidRPr="00EE22B8">
                <w:rPr>
                  <w:rStyle w:val="Hyperlink"/>
                </w:rPr>
                <w:t>C25</w:t>
              </w:r>
              <w:proofErr w:type="spellEnd"/>
              <w:r w:rsidRPr="00EE22B8">
                <w:rPr>
                  <w:rStyle w:val="Hyperlink"/>
                </w:rPr>
                <w:t>/34</w:t>
              </w:r>
            </w:hyperlink>
            <w:r w:rsidRPr="00EE22B8">
              <w:t>.</w:t>
            </w:r>
          </w:p>
        </w:tc>
      </w:tr>
    </w:tbl>
    <w:p w14:paraId="6909CCC8" w14:textId="12121CC6" w:rsidR="00675B75" w:rsidRPr="00EE22B8" w:rsidRDefault="006151B9" w:rsidP="006151B9">
      <w:pPr>
        <w:pStyle w:val="Headingb"/>
        <w:spacing w:after="120"/>
        <w:ind w:left="0" w:firstLine="0"/>
        <w:rPr>
          <w:bCs/>
        </w:rPr>
      </w:pPr>
      <w:r w:rsidRPr="00EE22B8">
        <w:rPr>
          <w:bCs/>
        </w:rPr>
        <w:t xml:space="preserve">Quatorzième rapport du Comité consultatif indépendant pour les questions de gestion (Document </w:t>
      </w:r>
      <w:hyperlink r:id="rId60" w:history="1">
        <w:r w:rsidRPr="00B65140">
          <w:rPr>
            <w:rStyle w:val="Hyperlink"/>
            <w:rFonts w:eastAsia="Times New Roman" w:cs="Times New Roman"/>
            <w:bCs/>
            <w:szCs w:val="20"/>
          </w:rPr>
          <w:t xml:space="preserve">C25/22 et Addenda 2 </w:t>
        </w:r>
        <w:r w:rsidR="0007616D" w:rsidRPr="00B65140">
          <w:rPr>
            <w:rStyle w:val="Hyperlink"/>
            <w:rFonts w:eastAsia="Times New Roman" w:cs="Times New Roman"/>
            <w:bCs/>
            <w:szCs w:val="20"/>
          </w:rPr>
          <w:t>et</w:t>
        </w:r>
        <w:r w:rsidRPr="00B65140">
          <w:rPr>
            <w:rStyle w:val="Hyperlink"/>
            <w:rFonts w:eastAsia="Times New Roman" w:cs="Times New Roman"/>
            <w:bCs/>
            <w:szCs w:val="20"/>
          </w:rPr>
          <w:t xml:space="preserve"> 3</w:t>
        </w:r>
      </w:hyperlink>
      <w:r w:rsidRPr="00EE22B8">
        <w:rPr>
          <w:bCs/>
        </w:rPr>
        <w:t>)</w:t>
      </w:r>
    </w:p>
    <w:tbl>
      <w:tblPr>
        <w:tblStyle w:val="TableGrid"/>
        <w:tblW w:w="0" w:type="auto"/>
        <w:tblLook w:val="04A0" w:firstRow="1" w:lastRow="0" w:firstColumn="1" w:lastColumn="0" w:noHBand="0" w:noVBand="1"/>
      </w:tblPr>
      <w:tblGrid>
        <w:gridCol w:w="9061"/>
      </w:tblGrid>
      <w:tr w:rsidR="006151B9" w:rsidRPr="00EE22B8" w14:paraId="4BAE3FD0" w14:textId="77777777">
        <w:tc>
          <w:tcPr>
            <w:tcW w:w="9061" w:type="dxa"/>
          </w:tcPr>
          <w:p w14:paraId="6D3DEC70" w14:textId="77777777" w:rsidR="006151B9" w:rsidRPr="00EE22B8" w:rsidRDefault="006151B9" w:rsidP="006151B9">
            <w:r w:rsidRPr="00EE22B8">
              <w:t>La commission recommande au Conseil:</w:t>
            </w:r>
          </w:p>
          <w:p w14:paraId="7BA472AE" w14:textId="5990B138" w:rsidR="006151B9" w:rsidRPr="00EE22B8" w:rsidRDefault="006151B9" w:rsidP="006151B9">
            <w:pPr>
              <w:pStyle w:val="enumlev1"/>
            </w:pPr>
            <w:r w:rsidRPr="00EE22B8">
              <w:t>•</w:t>
            </w:r>
            <w:r w:rsidRPr="00EE22B8">
              <w:tab/>
              <w:t xml:space="preserve">d'approuver le rapport du </w:t>
            </w:r>
            <w:proofErr w:type="spellStart"/>
            <w:r w:rsidRPr="00EE22B8">
              <w:t>CCIG</w:t>
            </w:r>
            <w:proofErr w:type="spellEnd"/>
            <w:r w:rsidRPr="00EE22B8">
              <w:t xml:space="preserve"> figurant dans le</w:t>
            </w:r>
            <w:r w:rsidR="00935C66">
              <w:t xml:space="preserve"> </w:t>
            </w:r>
            <w:r w:rsidR="00935C66" w:rsidRPr="00935C66">
              <w:t xml:space="preserve">Document </w:t>
            </w:r>
            <w:hyperlink r:id="rId61" w:history="1">
              <w:proofErr w:type="spellStart"/>
              <w:r w:rsidRPr="00EE22B8">
                <w:rPr>
                  <w:rStyle w:val="Hyperlink"/>
                </w:rPr>
                <w:t>C25</w:t>
              </w:r>
              <w:proofErr w:type="spellEnd"/>
              <w:r w:rsidRPr="00EE22B8">
                <w:rPr>
                  <w:rStyle w:val="Hyperlink"/>
                </w:rPr>
                <w:t>/22</w:t>
              </w:r>
            </w:hyperlink>
            <w:r w:rsidRPr="00EE22B8">
              <w:t xml:space="preserve">, ainsi que les recommandations pour </w:t>
            </w:r>
            <w:proofErr w:type="gramStart"/>
            <w:r w:rsidRPr="00EE22B8">
              <w:t>suite à</w:t>
            </w:r>
            <w:proofErr w:type="gramEnd"/>
            <w:r w:rsidRPr="00EE22B8">
              <w:t xml:space="preserve"> donner par </w:t>
            </w:r>
            <w:proofErr w:type="gramStart"/>
            <w:r w:rsidRPr="00EE22B8">
              <w:t>le secrétariat énoncées</w:t>
            </w:r>
            <w:proofErr w:type="gramEnd"/>
            <w:r w:rsidRPr="00EE22B8">
              <w:t xml:space="preserve"> dans l'Annexe 2 dudit rapport; et</w:t>
            </w:r>
          </w:p>
          <w:p w14:paraId="184289D4" w14:textId="6ED06FEC" w:rsidR="006151B9" w:rsidRPr="00EE22B8" w:rsidRDefault="006151B9" w:rsidP="006151B9">
            <w:pPr>
              <w:pStyle w:val="enumlev1"/>
              <w:spacing w:after="120"/>
            </w:pPr>
            <w:r w:rsidRPr="00EE22B8">
              <w:t>•</w:t>
            </w:r>
            <w:r w:rsidRPr="00EE22B8">
              <w:tab/>
              <w:t>de prendre note des Addenda 2 et 3 au rapport.</w:t>
            </w:r>
          </w:p>
        </w:tc>
      </w:tr>
    </w:tbl>
    <w:p w14:paraId="5962173E" w14:textId="5BE69273" w:rsidR="006151B9" w:rsidRPr="00EE22B8" w:rsidRDefault="0007616D" w:rsidP="0007616D">
      <w:pPr>
        <w:pStyle w:val="Headingb"/>
        <w:spacing w:after="120"/>
        <w:ind w:left="0" w:firstLine="0"/>
        <w:rPr>
          <w:bCs/>
        </w:rPr>
      </w:pPr>
      <w:r w:rsidRPr="00EE22B8">
        <w:rPr>
          <w:bCs/>
        </w:rPr>
        <w:t xml:space="preserve">Questions relatives au contrôle interne (Documents </w:t>
      </w:r>
      <w:hyperlink r:id="rId62" w:history="1">
        <w:r w:rsidRPr="00EE22B8">
          <w:rPr>
            <w:rStyle w:val="Hyperlink"/>
            <w:rFonts w:eastAsia="Times New Roman" w:cs="Times New Roman"/>
            <w:bCs/>
            <w:szCs w:val="20"/>
          </w:rPr>
          <w:t>C25/44</w:t>
        </w:r>
      </w:hyperlink>
      <w:r w:rsidRPr="00EE22B8">
        <w:rPr>
          <w:bCs/>
        </w:rPr>
        <w:t xml:space="preserve">, </w:t>
      </w:r>
      <w:hyperlink r:id="rId63" w:history="1">
        <w:r w:rsidRPr="00EE22B8">
          <w:rPr>
            <w:rStyle w:val="Hyperlink"/>
            <w:rFonts w:eastAsia="Times New Roman" w:cs="Times New Roman"/>
            <w:bCs/>
            <w:szCs w:val="20"/>
          </w:rPr>
          <w:t>C25/39(Rév.1)</w:t>
        </w:r>
      </w:hyperlink>
      <w:r w:rsidRPr="00EE22B8">
        <w:rPr>
          <w:bCs/>
        </w:rPr>
        <w:t xml:space="preserve">, </w:t>
      </w:r>
      <w:hyperlink r:id="rId64" w:history="1">
        <w:r w:rsidRPr="00EE22B8">
          <w:rPr>
            <w:rStyle w:val="Hyperlink"/>
            <w:rFonts w:eastAsia="Times New Roman" w:cs="Times New Roman"/>
            <w:bCs/>
            <w:szCs w:val="20"/>
          </w:rPr>
          <w:t>C25/99</w:t>
        </w:r>
      </w:hyperlink>
      <w:r w:rsidRPr="00EE22B8">
        <w:rPr>
          <w:bCs/>
        </w:rPr>
        <w:t xml:space="preserve">, </w:t>
      </w:r>
      <w:hyperlink r:id="rId65" w:history="1">
        <w:r w:rsidRPr="00EE22B8">
          <w:rPr>
            <w:rStyle w:val="Hyperlink"/>
            <w:rFonts w:eastAsia="Times New Roman" w:cs="Times New Roman"/>
            <w:bCs/>
            <w:szCs w:val="20"/>
          </w:rPr>
          <w:t>C25/87(Rév.1)</w:t>
        </w:r>
      </w:hyperlink>
      <w:r w:rsidRPr="00EE22B8">
        <w:rPr>
          <w:bCs/>
        </w:rPr>
        <w:t xml:space="preserve">, </w:t>
      </w:r>
      <w:hyperlink r:id="rId66" w:history="1">
        <w:r w:rsidRPr="00EE22B8">
          <w:rPr>
            <w:rStyle w:val="Hyperlink"/>
            <w:rFonts w:eastAsia="Times New Roman" w:cs="Times New Roman"/>
            <w:bCs/>
            <w:szCs w:val="20"/>
          </w:rPr>
          <w:t>C25/102</w:t>
        </w:r>
      </w:hyperlink>
      <w:r w:rsidRPr="00EE22B8">
        <w:rPr>
          <w:bCs/>
        </w:rPr>
        <w:t xml:space="preserve"> et </w:t>
      </w:r>
      <w:hyperlink r:id="rId67" w:history="1">
        <w:r w:rsidRPr="00EE22B8">
          <w:rPr>
            <w:rStyle w:val="Hyperlink"/>
            <w:rFonts w:eastAsia="Times New Roman" w:cs="Times New Roman"/>
            <w:bCs/>
            <w:szCs w:val="20"/>
          </w:rPr>
          <w:t>C25/22(Add.1)</w:t>
        </w:r>
      </w:hyperlink>
      <w:r w:rsidRPr="00EE22B8">
        <w:rPr>
          <w:bCs/>
        </w:rPr>
        <w:t>)</w:t>
      </w:r>
    </w:p>
    <w:tbl>
      <w:tblPr>
        <w:tblStyle w:val="TableGrid"/>
        <w:tblW w:w="0" w:type="auto"/>
        <w:tblLook w:val="04A0" w:firstRow="1" w:lastRow="0" w:firstColumn="1" w:lastColumn="0" w:noHBand="0" w:noVBand="1"/>
      </w:tblPr>
      <w:tblGrid>
        <w:gridCol w:w="9061"/>
      </w:tblGrid>
      <w:tr w:rsidR="0007616D" w:rsidRPr="00EE22B8" w14:paraId="3B1BC2F3" w14:textId="77777777">
        <w:tc>
          <w:tcPr>
            <w:tcW w:w="9061" w:type="dxa"/>
          </w:tcPr>
          <w:p w14:paraId="31673F77" w14:textId="77777777" w:rsidR="0007616D" w:rsidRPr="00EE22B8" w:rsidRDefault="0007616D" w:rsidP="0007616D">
            <w:r w:rsidRPr="00EE22B8">
              <w:t>La commission recommande au Conseil:</w:t>
            </w:r>
          </w:p>
          <w:p w14:paraId="60FA86AE" w14:textId="7A7FF9BE" w:rsidR="0007616D" w:rsidRPr="00EE22B8" w:rsidRDefault="0007616D" w:rsidP="0007616D">
            <w:pPr>
              <w:pStyle w:val="enumlev1"/>
            </w:pPr>
            <w:r w:rsidRPr="00EE22B8">
              <w:t>•</w:t>
            </w:r>
            <w:r w:rsidRPr="00EE22B8">
              <w:tab/>
              <w:t xml:space="preserve">de prendre note des rapports figurant dans les Documents </w:t>
            </w:r>
            <w:hyperlink r:id="rId68" w:history="1">
              <w:r w:rsidRPr="00EE22B8">
                <w:rPr>
                  <w:rStyle w:val="Hyperlink"/>
                </w:rPr>
                <w:t>C25/44</w:t>
              </w:r>
            </w:hyperlink>
            <w:r w:rsidRPr="00EE22B8">
              <w:t xml:space="preserve">, </w:t>
            </w:r>
            <w:hyperlink r:id="rId69" w:history="1">
              <w:r w:rsidRPr="00EE22B8">
                <w:rPr>
                  <w:rStyle w:val="Hyperlink"/>
                </w:rPr>
                <w:t>C25/102</w:t>
              </w:r>
            </w:hyperlink>
            <w:r w:rsidRPr="00EE22B8">
              <w:t xml:space="preserve">, </w:t>
            </w:r>
            <w:hyperlink r:id="rId70" w:history="1">
              <w:r w:rsidRPr="00EE22B8">
                <w:rPr>
                  <w:rStyle w:val="Hyperlink"/>
                </w:rPr>
                <w:t>C25/39(Rév.1)</w:t>
              </w:r>
            </w:hyperlink>
            <w:r w:rsidRPr="00EE22B8">
              <w:t xml:space="preserve"> et </w:t>
            </w:r>
            <w:hyperlink r:id="rId71" w:history="1">
              <w:r w:rsidRPr="00EE22B8">
                <w:rPr>
                  <w:rStyle w:val="Hyperlink"/>
                </w:rPr>
                <w:t>C25/99</w:t>
              </w:r>
            </w:hyperlink>
            <w:r w:rsidRPr="00EE22B8">
              <w:t>;</w:t>
            </w:r>
          </w:p>
          <w:p w14:paraId="060DA1DF" w14:textId="34AA1EEE" w:rsidR="0007616D" w:rsidRPr="00EE22B8" w:rsidRDefault="0007616D" w:rsidP="0007616D">
            <w:pPr>
              <w:pStyle w:val="enumlev1"/>
            </w:pPr>
            <w:r w:rsidRPr="00EE22B8">
              <w:t>•</w:t>
            </w:r>
            <w:r w:rsidRPr="00EE22B8">
              <w:tab/>
              <w:t>de prendre note des procédures applicables au traitement des allégations formulées à l'encontre du chef ou du personnel de l'Unité du contrôle interne, énoncées au point A de l'Addendum 1 au</w:t>
            </w:r>
            <w:r w:rsidR="00265FB8" w:rsidRPr="008B7CA7">
              <w:t xml:space="preserve"> </w:t>
            </w:r>
            <w:r w:rsidR="00265FB8" w:rsidRPr="00265FB8">
              <w:t xml:space="preserve">Document </w:t>
            </w:r>
            <w:hyperlink r:id="rId72" w:history="1">
              <w:proofErr w:type="spellStart"/>
              <w:r w:rsidRPr="00EE22B8">
                <w:rPr>
                  <w:rStyle w:val="Hyperlink"/>
                </w:rPr>
                <w:t>C25</w:t>
              </w:r>
              <w:proofErr w:type="spellEnd"/>
              <w:r w:rsidRPr="00EE22B8">
                <w:rPr>
                  <w:rStyle w:val="Hyperlink"/>
                </w:rPr>
                <w:t>/22(</w:t>
              </w:r>
              <w:proofErr w:type="spellStart"/>
              <w:r w:rsidRPr="00EE22B8">
                <w:rPr>
                  <w:rStyle w:val="Hyperlink"/>
                </w:rPr>
                <w:t>Add.1</w:t>
              </w:r>
              <w:proofErr w:type="spellEnd"/>
              <w:r w:rsidRPr="00EE22B8">
                <w:rPr>
                  <w:rStyle w:val="Hyperlink"/>
                </w:rPr>
                <w:t>)</w:t>
              </w:r>
            </w:hyperlink>
            <w:r w:rsidRPr="00EE22B8">
              <w:t xml:space="preserve"> et d'approuver ces procédures;</w:t>
            </w:r>
          </w:p>
          <w:p w14:paraId="5407A7A0" w14:textId="7A450649" w:rsidR="0007616D" w:rsidRPr="00EE22B8" w:rsidRDefault="0007616D" w:rsidP="0007616D">
            <w:pPr>
              <w:pStyle w:val="enumlev1"/>
            </w:pPr>
            <w:r w:rsidRPr="00EE22B8">
              <w:t>•</w:t>
            </w:r>
            <w:r w:rsidRPr="00EE22B8">
              <w:tab/>
              <w:t>d'approuver les procédures révisées applicables au traitement des allégations formulées à l'encontre des fonctionnaires élus figurant dans l'Annexe G du présent rapport, de prendre note des observations formulées sur ce document et de les examiner à la session de 2026 du Conseil;</w:t>
            </w:r>
          </w:p>
          <w:p w14:paraId="44B68722" w14:textId="77777777" w:rsidR="0007616D" w:rsidRPr="00EE22B8" w:rsidRDefault="0007616D" w:rsidP="0007616D">
            <w:pPr>
              <w:pStyle w:val="enumlev1"/>
            </w:pPr>
            <w:r w:rsidRPr="00EE22B8">
              <w:t>•</w:t>
            </w:r>
            <w:r w:rsidRPr="00EE22B8">
              <w:tab/>
              <w:t>d'inviter la Secrétaire générale à prendre les mesures voulues à l'encontre d'allégations malveillantes afin de faire en sorte de protéger la réputation de l'Union et les fonctionnaires concernés par ces allégations; et</w:t>
            </w:r>
          </w:p>
          <w:p w14:paraId="32EFF877" w14:textId="7C0A98A2" w:rsidR="0007616D" w:rsidRPr="00EE22B8" w:rsidRDefault="0007616D" w:rsidP="0007616D">
            <w:pPr>
              <w:pStyle w:val="enumlev1"/>
              <w:keepNext/>
              <w:keepLines/>
              <w:spacing w:after="120"/>
            </w:pPr>
            <w:r w:rsidRPr="00EE22B8">
              <w:t>•</w:t>
            </w:r>
            <w:r w:rsidRPr="00EE22B8">
              <w:tab/>
              <w:t>de faire respecter les politiques les plus exigeantes en matière de dénonciation des fautes et de protection contre les représailles (voir notamment le rapport du CCI "Examen des politiques et pratiques relatives à la dénonciation des abus dans les entités du système des Nations Unies" (</w:t>
            </w:r>
            <w:hyperlink r:id="rId73" w:history="1">
              <w:r w:rsidRPr="00EE22B8">
                <w:rPr>
                  <w:rStyle w:val="Hyperlink"/>
                </w:rPr>
                <w:t>JIU/REP/2018/4</w:t>
              </w:r>
            </w:hyperlink>
            <w:r w:rsidRPr="00EE22B8">
              <w:t>)).</w:t>
            </w:r>
          </w:p>
        </w:tc>
      </w:tr>
    </w:tbl>
    <w:p w14:paraId="1C191862" w14:textId="4A649035" w:rsidR="0007616D" w:rsidRPr="00EE22B8" w:rsidRDefault="00520E15" w:rsidP="00520E15">
      <w:pPr>
        <w:pStyle w:val="Headingb"/>
        <w:spacing w:after="120"/>
        <w:ind w:left="0" w:firstLine="0"/>
        <w:rPr>
          <w:bCs/>
        </w:rPr>
      </w:pPr>
      <w:r w:rsidRPr="00EE22B8">
        <w:rPr>
          <w:bCs/>
        </w:rPr>
        <w:lastRenderedPageBreak/>
        <w:t>Mise en œuvre de la stratégie de mobilisation des ressources de l'UIT (Documents</w:t>
      </w:r>
      <w:r w:rsidR="009474FC">
        <w:rPr>
          <w:bCs/>
        </w:rPr>
        <w:t> </w:t>
      </w:r>
      <w:hyperlink r:id="rId74" w:history="1">
        <w:r w:rsidRPr="00EE22B8">
          <w:rPr>
            <w:rStyle w:val="Hyperlink"/>
            <w:rFonts w:eastAsia="Times New Roman" w:cs="Times New Roman"/>
            <w:bCs/>
            <w:szCs w:val="20"/>
          </w:rPr>
          <w:t>C25/67</w:t>
        </w:r>
      </w:hyperlink>
      <w:r w:rsidR="009474FC">
        <w:t> </w:t>
      </w:r>
      <w:r w:rsidRPr="00EE22B8">
        <w:rPr>
          <w:bCs/>
        </w:rPr>
        <w:t xml:space="preserve">et </w:t>
      </w:r>
      <w:hyperlink r:id="rId75" w:history="1">
        <w:r w:rsidRPr="00EE22B8">
          <w:rPr>
            <w:rStyle w:val="Hyperlink"/>
            <w:rFonts w:eastAsia="Times New Roman" w:cs="Times New Roman"/>
            <w:bCs/>
            <w:szCs w:val="20"/>
          </w:rPr>
          <w:t>C25/90</w:t>
        </w:r>
      </w:hyperlink>
      <w:r w:rsidRPr="00EE22B8">
        <w:rPr>
          <w:bCs/>
        </w:rPr>
        <w:t>)</w:t>
      </w:r>
    </w:p>
    <w:tbl>
      <w:tblPr>
        <w:tblStyle w:val="TableGrid"/>
        <w:tblW w:w="0" w:type="auto"/>
        <w:tblLook w:val="04A0" w:firstRow="1" w:lastRow="0" w:firstColumn="1" w:lastColumn="0" w:noHBand="0" w:noVBand="1"/>
      </w:tblPr>
      <w:tblGrid>
        <w:gridCol w:w="9061"/>
      </w:tblGrid>
      <w:tr w:rsidR="00520E15" w:rsidRPr="00EE22B8" w14:paraId="138B9A8B" w14:textId="77777777">
        <w:tc>
          <w:tcPr>
            <w:tcW w:w="9061" w:type="dxa"/>
          </w:tcPr>
          <w:p w14:paraId="732197B2" w14:textId="77777777" w:rsidR="00520E15" w:rsidRPr="00EE22B8" w:rsidRDefault="00520E15" w:rsidP="00520E15">
            <w:r w:rsidRPr="00EE22B8">
              <w:t>La commission recommande au Conseil:</w:t>
            </w:r>
          </w:p>
          <w:p w14:paraId="6AC56E2A" w14:textId="6DF2272D" w:rsidR="00520E15" w:rsidRPr="00EE22B8" w:rsidRDefault="00520E15" w:rsidP="00520E15">
            <w:pPr>
              <w:pStyle w:val="enumlev1"/>
            </w:pPr>
            <w:r w:rsidRPr="00EE22B8">
              <w:t>•</w:t>
            </w:r>
            <w:r w:rsidRPr="00EE22B8">
              <w:tab/>
              <w:t>de prendre note du rapport figurant dans le</w:t>
            </w:r>
            <w:r w:rsidR="00265FB8" w:rsidRPr="008B7CA7">
              <w:t xml:space="preserve"> </w:t>
            </w:r>
            <w:r w:rsidR="00265FB8" w:rsidRPr="00265FB8">
              <w:t xml:space="preserve">Document </w:t>
            </w:r>
            <w:hyperlink r:id="rId76" w:history="1">
              <w:proofErr w:type="spellStart"/>
              <w:r w:rsidRPr="00EE22B8">
                <w:rPr>
                  <w:rStyle w:val="Hyperlink"/>
                </w:rPr>
                <w:t>C25</w:t>
              </w:r>
              <w:proofErr w:type="spellEnd"/>
              <w:r w:rsidRPr="00EE22B8">
                <w:rPr>
                  <w:rStyle w:val="Hyperlink"/>
                </w:rPr>
                <w:t>/67</w:t>
              </w:r>
            </w:hyperlink>
            <w:r w:rsidRPr="00EE22B8">
              <w:t>; et</w:t>
            </w:r>
          </w:p>
          <w:p w14:paraId="4429D2DF" w14:textId="33202DAE" w:rsidR="00520E15" w:rsidRPr="00EE22B8" w:rsidRDefault="00520E15" w:rsidP="00265FB8">
            <w:pPr>
              <w:pStyle w:val="enumlev1"/>
              <w:spacing w:after="120"/>
              <w:jc w:val="both"/>
            </w:pPr>
            <w:r w:rsidRPr="00EE22B8">
              <w:t>•</w:t>
            </w:r>
            <w:r w:rsidRPr="00EE22B8">
              <w:tab/>
              <w:t>de demander au secrétariat d'élaborer une feuille de route échelonnée, assortie d'échéances et d'étapes clairement définies, afin d'orienter la mise en œuvre de la mobilisation des ressources et de présenter un projet de feuille de route au GTC-FHR pour qu'il formule des observations, l'examine et le transmette ensuite au Conseil à sa session de 2026.</w:t>
            </w:r>
          </w:p>
        </w:tc>
      </w:tr>
    </w:tbl>
    <w:p w14:paraId="097EFA0B" w14:textId="46654A18" w:rsidR="00520E15" w:rsidRPr="00EE22B8" w:rsidRDefault="004761E1" w:rsidP="004761E1">
      <w:pPr>
        <w:pStyle w:val="Headingb"/>
        <w:spacing w:after="120"/>
        <w:ind w:left="0" w:firstLine="0"/>
        <w:rPr>
          <w:bCs/>
        </w:rPr>
      </w:pPr>
      <w:r w:rsidRPr="00EE22B8">
        <w:rPr>
          <w:bCs/>
        </w:rPr>
        <w:t>Rapports du CCI sur les questions relatives à l'ensemble du système des Nations Unies pour 2023-2024 et recommandations à l'intention des organes délibérants (</w:t>
      </w:r>
      <w:r w:rsidR="00265FB8" w:rsidRPr="00265FB8">
        <w:rPr>
          <w:bCs/>
        </w:rPr>
        <w:t>Document </w:t>
      </w:r>
      <w:proofErr w:type="spellStart"/>
      <w:r>
        <w:fldChar w:fldCharType="begin"/>
      </w:r>
      <w:r>
        <w:instrText>HYPERLINK "https://www.itu.int/md/S25-CL-C-0057/fr"</w:instrText>
      </w:r>
      <w:r>
        <w:fldChar w:fldCharType="separate"/>
      </w:r>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/57</w:t>
      </w:r>
      <w:r>
        <w:fldChar w:fldCharType="end"/>
      </w:r>
      <w:r w:rsidRPr="00EE22B8">
        <w:rPr>
          <w:bCs/>
        </w:rPr>
        <w:t>)</w:t>
      </w:r>
    </w:p>
    <w:tbl>
      <w:tblPr>
        <w:tblStyle w:val="TableGrid"/>
        <w:tblW w:w="0" w:type="auto"/>
        <w:tblLook w:val="04A0" w:firstRow="1" w:lastRow="0" w:firstColumn="1" w:lastColumn="0" w:noHBand="0" w:noVBand="1"/>
      </w:tblPr>
      <w:tblGrid>
        <w:gridCol w:w="9061"/>
      </w:tblGrid>
      <w:tr w:rsidR="004761E1" w:rsidRPr="00EE22B8" w14:paraId="45337066" w14:textId="77777777">
        <w:tc>
          <w:tcPr>
            <w:tcW w:w="9061" w:type="dxa"/>
          </w:tcPr>
          <w:p w14:paraId="6C77A64B" w14:textId="1275171D" w:rsidR="004761E1" w:rsidRPr="00EE22B8" w:rsidRDefault="004761E1" w:rsidP="00265FB8">
            <w:pPr>
              <w:spacing w:after="120"/>
              <w:jc w:val="both"/>
            </w:pPr>
            <w:r w:rsidRPr="00EE22B8">
              <w:t xml:space="preserve">La commission recommande au Conseil d'examiner et de décider d'accepter les six recommandations du CCI figurant dans le </w:t>
            </w:r>
            <w:r w:rsidR="00265FB8" w:rsidRPr="00265FB8">
              <w:t xml:space="preserve">Document </w:t>
            </w:r>
            <w:hyperlink r:id="rId77" w:history="1">
              <w:proofErr w:type="spellStart"/>
              <w:r w:rsidRPr="00EE22B8">
                <w:rPr>
                  <w:rStyle w:val="Hyperlink"/>
                </w:rPr>
                <w:t>C25</w:t>
              </w:r>
              <w:proofErr w:type="spellEnd"/>
              <w:r w:rsidRPr="00EE22B8">
                <w:rPr>
                  <w:rStyle w:val="Hyperlink"/>
                </w:rPr>
                <w:t>/57</w:t>
              </w:r>
            </w:hyperlink>
            <w:r w:rsidRPr="00EE22B8">
              <w:t>.</w:t>
            </w:r>
          </w:p>
        </w:tc>
      </w:tr>
    </w:tbl>
    <w:p w14:paraId="707889EA" w14:textId="5A408A0D" w:rsidR="004761E1" w:rsidRPr="00EE22B8" w:rsidRDefault="004761E1" w:rsidP="004761E1">
      <w:pPr>
        <w:pStyle w:val="Headingb"/>
        <w:spacing w:after="120"/>
        <w:ind w:left="0" w:firstLine="0"/>
        <w:rPr>
          <w:bCs/>
        </w:rPr>
      </w:pPr>
      <w:r w:rsidRPr="00EE22B8">
        <w:rPr>
          <w:bCs/>
        </w:rPr>
        <w:t xml:space="preserve">Rapport initial sur l'examen de la présence régionale de l'UIT (Documents </w:t>
      </w:r>
      <w:hyperlink r:id="rId78" w:history="1">
        <w:r w:rsidRPr="00FC18B2">
          <w:rPr>
            <w:rStyle w:val="Hyperlink"/>
            <w:rFonts w:eastAsia="Times New Roman" w:cs="Times New Roman"/>
            <w:bCs/>
            <w:szCs w:val="20"/>
          </w:rPr>
          <w:t>C25/69</w:t>
        </w:r>
        <w:r w:rsidR="00FC18B2" w:rsidRPr="00FC18B2">
          <w:rPr>
            <w:rStyle w:val="Hyperlink"/>
            <w:rFonts w:eastAsia="Times New Roman" w:cs="Times New Roman"/>
            <w:bCs/>
            <w:szCs w:val="20"/>
          </w:rPr>
          <w:t>(Rév.1)</w:t>
        </w:r>
      </w:hyperlink>
      <w:r w:rsidRPr="00EE22B8">
        <w:rPr>
          <w:bCs/>
        </w:rPr>
        <w:t xml:space="preserve">, </w:t>
      </w:r>
      <w:hyperlink r:id="rId79" w:history="1">
        <w:r w:rsidRPr="00EE22B8">
          <w:rPr>
            <w:rStyle w:val="Hyperlink"/>
            <w:rFonts w:eastAsia="Times New Roman" w:cs="Times New Roman"/>
            <w:bCs/>
            <w:szCs w:val="20"/>
          </w:rPr>
          <w:t>C25/88</w:t>
        </w:r>
      </w:hyperlink>
      <w:r w:rsidRPr="00EE22B8">
        <w:rPr>
          <w:bCs/>
        </w:rPr>
        <w:t xml:space="preserve">, </w:t>
      </w:r>
      <w:hyperlink r:id="rId80" w:history="1">
        <w:r w:rsidRPr="00EE22B8">
          <w:rPr>
            <w:rStyle w:val="Hyperlink"/>
            <w:rFonts w:eastAsia="Times New Roman" w:cs="Times New Roman"/>
            <w:bCs/>
            <w:szCs w:val="20"/>
          </w:rPr>
          <w:t>C25/93</w:t>
        </w:r>
      </w:hyperlink>
      <w:r w:rsidRPr="00EE22B8">
        <w:rPr>
          <w:bCs/>
        </w:rPr>
        <w:t xml:space="preserve"> et </w:t>
      </w:r>
      <w:hyperlink r:id="rId81" w:history="1">
        <w:r w:rsidRPr="00EE22B8">
          <w:rPr>
            <w:rStyle w:val="Hyperlink"/>
            <w:rFonts w:eastAsia="Times New Roman" w:cs="Times New Roman"/>
            <w:bCs/>
            <w:szCs w:val="20"/>
          </w:rPr>
          <w:t>C25/94</w:t>
        </w:r>
      </w:hyperlink>
      <w:r w:rsidRPr="00EE22B8">
        <w:rPr>
          <w:bCs/>
        </w:rPr>
        <w:t>)</w:t>
      </w:r>
    </w:p>
    <w:tbl>
      <w:tblPr>
        <w:tblStyle w:val="TableGrid"/>
        <w:tblW w:w="0" w:type="auto"/>
        <w:tblLook w:val="04A0" w:firstRow="1" w:lastRow="0" w:firstColumn="1" w:lastColumn="0" w:noHBand="0" w:noVBand="1"/>
      </w:tblPr>
      <w:tblGrid>
        <w:gridCol w:w="9061"/>
      </w:tblGrid>
      <w:tr w:rsidR="004761E1" w:rsidRPr="00EE22B8" w14:paraId="1A72F62D" w14:textId="77777777">
        <w:tc>
          <w:tcPr>
            <w:tcW w:w="9061" w:type="dxa"/>
          </w:tcPr>
          <w:p w14:paraId="0B44449C" w14:textId="77777777" w:rsidR="004761E1" w:rsidRPr="00EE22B8" w:rsidRDefault="004761E1" w:rsidP="004761E1">
            <w:r w:rsidRPr="00EE22B8">
              <w:t>La commission recommande au Conseil:</w:t>
            </w:r>
          </w:p>
          <w:p w14:paraId="5508BE2E" w14:textId="459FB584" w:rsidR="004761E1" w:rsidRPr="00EE22B8" w:rsidRDefault="004761E1" w:rsidP="004761E1">
            <w:pPr>
              <w:pStyle w:val="enumlev1"/>
            </w:pPr>
            <w:r w:rsidRPr="00EE22B8">
              <w:t>•</w:t>
            </w:r>
            <w:r w:rsidRPr="00EE22B8">
              <w:tab/>
              <w:t xml:space="preserve">de prendre note du rapport figurant dans le </w:t>
            </w:r>
            <w:r w:rsidR="00265FB8" w:rsidRPr="00265FB8">
              <w:t xml:space="preserve">Document </w:t>
            </w:r>
            <w:hyperlink r:id="rId82" w:history="1">
              <w:proofErr w:type="spellStart"/>
              <w:r w:rsidRPr="00EE22B8">
                <w:rPr>
                  <w:rStyle w:val="Hyperlink"/>
                </w:rPr>
                <w:t>C25</w:t>
              </w:r>
              <w:proofErr w:type="spellEnd"/>
              <w:r w:rsidRPr="00EE22B8">
                <w:rPr>
                  <w:rStyle w:val="Hyperlink"/>
                </w:rPr>
                <w:t>/69(</w:t>
              </w:r>
              <w:proofErr w:type="spellStart"/>
              <w:r w:rsidRPr="00EE22B8">
                <w:rPr>
                  <w:rStyle w:val="Hyperlink"/>
                </w:rPr>
                <w:t>Rév.1</w:t>
              </w:r>
              <w:proofErr w:type="spellEnd"/>
              <w:r w:rsidRPr="00EE22B8">
                <w:rPr>
                  <w:rStyle w:val="Hyperlink"/>
                </w:rPr>
                <w:t>)</w:t>
              </w:r>
            </w:hyperlink>
            <w:r w:rsidRPr="00EE22B8">
              <w:t>; et</w:t>
            </w:r>
          </w:p>
          <w:p w14:paraId="2FD85CF5" w14:textId="6F424E47" w:rsidR="004761E1" w:rsidRPr="00EE22B8" w:rsidRDefault="004761E1" w:rsidP="00265FB8">
            <w:pPr>
              <w:pStyle w:val="enumlev1"/>
              <w:spacing w:after="120"/>
              <w:jc w:val="both"/>
            </w:pPr>
            <w:r w:rsidRPr="00EE22B8">
              <w:t>•</w:t>
            </w:r>
            <w:r w:rsidRPr="00EE22B8">
              <w:tab/>
              <w:t>d'adopter la recommandation figurant dans le</w:t>
            </w:r>
            <w:r w:rsidR="00265FB8" w:rsidRPr="008B7CA7">
              <w:t xml:space="preserve"> </w:t>
            </w:r>
            <w:r w:rsidR="00265FB8" w:rsidRPr="00265FB8">
              <w:t xml:space="preserve">Document </w:t>
            </w:r>
            <w:hyperlink r:id="rId83" w:history="1">
              <w:proofErr w:type="spellStart"/>
              <w:r w:rsidRPr="00EE22B8">
                <w:rPr>
                  <w:rStyle w:val="Hyperlink"/>
                </w:rPr>
                <w:t>C25</w:t>
              </w:r>
              <w:proofErr w:type="spellEnd"/>
              <w:r w:rsidRPr="00EE22B8">
                <w:rPr>
                  <w:rStyle w:val="Hyperlink"/>
                </w:rPr>
                <w:t>/DL/6(</w:t>
              </w:r>
              <w:proofErr w:type="spellStart"/>
              <w:r w:rsidRPr="00EE22B8">
                <w:rPr>
                  <w:rStyle w:val="Hyperlink"/>
                </w:rPr>
                <w:t>Rév.1</w:t>
              </w:r>
              <w:proofErr w:type="spellEnd"/>
              <w:r w:rsidRPr="00EE22B8">
                <w:rPr>
                  <w:rStyle w:val="Hyperlink"/>
                </w:rPr>
                <w:t>)</w:t>
              </w:r>
            </w:hyperlink>
            <w:r w:rsidRPr="00EE22B8">
              <w:t xml:space="preserve"> et dans son Annexe H.</w:t>
            </w:r>
          </w:p>
        </w:tc>
      </w:tr>
    </w:tbl>
    <w:p w14:paraId="3D8129EE" w14:textId="618721CF" w:rsidR="004761E1" w:rsidRPr="00EE22B8" w:rsidRDefault="004761E1" w:rsidP="004761E1">
      <w:pPr>
        <w:pStyle w:val="Headingb"/>
        <w:spacing w:after="120"/>
        <w:ind w:left="0" w:firstLine="0"/>
        <w:rPr>
          <w:bCs/>
        </w:rPr>
      </w:pPr>
      <w:r w:rsidRPr="00EE22B8">
        <w:rPr>
          <w:bCs/>
        </w:rPr>
        <w:t xml:space="preserve">Gestion des ressources humaines (Documents </w:t>
      </w:r>
      <w:hyperlink r:id="rId84" w:history="1">
        <w:r w:rsidRPr="00EE22B8">
          <w:rPr>
            <w:rStyle w:val="Hyperlink"/>
            <w:rFonts w:eastAsia="Times New Roman" w:cs="Times New Roman"/>
            <w:bCs/>
            <w:szCs w:val="20"/>
          </w:rPr>
          <w:t>C25/66</w:t>
        </w:r>
      </w:hyperlink>
      <w:r w:rsidRPr="00EE22B8">
        <w:rPr>
          <w:bCs/>
        </w:rPr>
        <w:t xml:space="preserve"> et </w:t>
      </w:r>
      <w:hyperlink r:id="rId85" w:history="1">
        <w:r w:rsidRPr="00EE22B8">
          <w:rPr>
            <w:rStyle w:val="Hyperlink"/>
            <w:rFonts w:eastAsia="Times New Roman" w:cs="Times New Roman"/>
            <w:bCs/>
            <w:szCs w:val="20"/>
          </w:rPr>
          <w:t>C25/85(Rév.1)</w:t>
        </w:r>
      </w:hyperlink>
      <w:r w:rsidRPr="00EE22B8">
        <w:rPr>
          <w:bCs/>
        </w:rPr>
        <w:t>)</w:t>
      </w:r>
    </w:p>
    <w:tbl>
      <w:tblPr>
        <w:tblStyle w:val="TableGrid"/>
        <w:tblW w:w="0" w:type="auto"/>
        <w:tblLook w:val="04A0" w:firstRow="1" w:lastRow="0" w:firstColumn="1" w:lastColumn="0" w:noHBand="0" w:noVBand="1"/>
      </w:tblPr>
      <w:tblGrid>
        <w:gridCol w:w="9061"/>
      </w:tblGrid>
      <w:tr w:rsidR="004761E1" w:rsidRPr="00EE22B8" w14:paraId="132D7291" w14:textId="77777777">
        <w:tc>
          <w:tcPr>
            <w:tcW w:w="9061" w:type="dxa"/>
          </w:tcPr>
          <w:p w14:paraId="00AD18CE" w14:textId="77777777" w:rsidR="004761E1" w:rsidRPr="00EE22B8" w:rsidRDefault="004761E1" w:rsidP="004761E1">
            <w:r w:rsidRPr="00EE22B8">
              <w:t>La commission recommande au Conseil:</w:t>
            </w:r>
          </w:p>
          <w:p w14:paraId="0B9D3B2E" w14:textId="1438FC56" w:rsidR="004761E1" w:rsidRPr="00EE22B8" w:rsidRDefault="004761E1" w:rsidP="00265FB8">
            <w:pPr>
              <w:pStyle w:val="enumlev1"/>
              <w:jc w:val="both"/>
            </w:pPr>
            <w:r w:rsidRPr="00EE22B8">
              <w:t>•</w:t>
            </w:r>
            <w:r w:rsidRPr="00EE22B8">
              <w:tab/>
              <w:t>de prendre note du rapport figurant dans le</w:t>
            </w:r>
            <w:r w:rsidR="00265FB8" w:rsidRPr="008B7CA7">
              <w:t xml:space="preserve"> </w:t>
            </w:r>
            <w:r w:rsidR="00265FB8" w:rsidRPr="00265FB8">
              <w:t xml:space="preserve">Document </w:t>
            </w:r>
            <w:hyperlink r:id="rId86" w:history="1">
              <w:proofErr w:type="spellStart"/>
              <w:r w:rsidRPr="00EE22B8">
                <w:rPr>
                  <w:rStyle w:val="Hyperlink"/>
                </w:rPr>
                <w:t>C25</w:t>
              </w:r>
              <w:proofErr w:type="spellEnd"/>
              <w:r w:rsidRPr="00EE22B8">
                <w:rPr>
                  <w:rStyle w:val="Hyperlink"/>
                </w:rPr>
                <w:t>/66</w:t>
              </w:r>
            </w:hyperlink>
            <w:r w:rsidRPr="00EE22B8">
              <w:t>; et</w:t>
            </w:r>
          </w:p>
          <w:p w14:paraId="7938CD6B" w14:textId="7FC08DBA" w:rsidR="004761E1" w:rsidRPr="00EE22B8" w:rsidRDefault="004761E1" w:rsidP="00265FB8">
            <w:pPr>
              <w:pStyle w:val="enumlev1"/>
              <w:spacing w:after="120"/>
              <w:jc w:val="both"/>
            </w:pPr>
            <w:r w:rsidRPr="00EE22B8">
              <w:t>•</w:t>
            </w:r>
            <w:r w:rsidRPr="00EE22B8">
              <w:tab/>
              <w:t xml:space="preserve">de transmettre la contribution figurant dans le </w:t>
            </w:r>
            <w:r w:rsidR="00265FB8" w:rsidRPr="00265FB8">
              <w:t xml:space="preserve">Document </w:t>
            </w:r>
            <w:hyperlink r:id="rId87" w:history="1">
              <w:proofErr w:type="spellStart"/>
              <w:r w:rsidRPr="00EE22B8">
                <w:rPr>
                  <w:rStyle w:val="Hyperlink"/>
                </w:rPr>
                <w:t>C25</w:t>
              </w:r>
              <w:proofErr w:type="spellEnd"/>
              <w:r w:rsidRPr="00EE22B8">
                <w:rPr>
                  <w:rStyle w:val="Hyperlink"/>
                </w:rPr>
                <w:t>/85(</w:t>
              </w:r>
              <w:proofErr w:type="spellStart"/>
              <w:r w:rsidRPr="00EE22B8">
                <w:rPr>
                  <w:rStyle w:val="Hyperlink"/>
                </w:rPr>
                <w:t>Rév.1</w:t>
              </w:r>
              <w:proofErr w:type="spellEnd"/>
              <w:r w:rsidRPr="00EE22B8">
                <w:rPr>
                  <w:rStyle w:val="Hyperlink"/>
                </w:rPr>
                <w:t>)</w:t>
              </w:r>
            </w:hyperlink>
            <w:r w:rsidRPr="00EE22B8">
              <w:t xml:space="preserve"> à la prochaine réunion du GTC-FHR afin qu'elle soit examinée plus avant.</w:t>
            </w:r>
          </w:p>
        </w:tc>
      </w:tr>
    </w:tbl>
    <w:p w14:paraId="03199C16" w14:textId="3DFB8866" w:rsidR="004761E1" w:rsidRPr="002E38D5" w:rsidRDefault="00171B43" w:rsidP="00171B43">
      <w:pPr>
        <w:pStyle w:val="Headingb"/>
        <w:spacing w:after="120"/>
        <w:ind w:left="0" w:firstLine="0"/>
        <w:rPr>
          <w:rFonts w:cs="Times New Roman Bold"/>
          <w:bCs/>
          <w:spacing w:val="-2"/>
        </w:rPr>
      </w:pPr>
      <w:r w:rsidRPr="002E38D5">
        <w:rPr>
          <w:rFonts w:cs="Times New Roman Bold"/>
          <w:bCs/>
          <w:spacing w:val="-2"/>
        </w:rPr>
        <w:t>Mesures d'efficience mises en œuvre en 2023 et en 2024 et plans futurs (</w:t>
      </w:r>
      <w:r w:rsidR="00265FB8" w:rsidRPr="002E38D5">
        <w:rPr>
          <w:rFonts w:cs="Times New Roman Bold"/>
          <w:bCs/>
          <w:spacing w:val="-2"/>
        </w:rPr>
        <w:t>Document </w:t>
      </w:r>
      <w:proofErr w:type="spellStart"/>
      <w:r w:rsidRPr="002E38D5">
        <w:rPr>
          <w:rFonts w:cs="Times New Roman Bold"/>
          <w:spacing w:val="-2"/>
        </w:rPr>
        <w:fldChar w:fldCharType="begin"/>
      </w:r>
      <w:r w:rsidRPr="002E38D5">
        <w:rPr>
          <w:rFonts w:cs="Times New Roman Bold"/>
          <w:spacing w:val="-2"/>
        </w:rPr>
        <w:instrText>HYPERLINK "https://www.itu.int/md/S25-CL-C-0062/fr"</w:instrText>
      </w:r>
      <w:r w:rsidRPr="002E38D5">
        <w:rPr>
          <w:rFonts w:cs="Times New Roman Bold"/>
          <w:spacing w:val="-2"/>
        </w:rPr>
      </w:r>
      <w:r w:rsidRPr="002E38D5">
        <w:rPr>
          <w:rFonts w:cs="Times New Roman Bold"/>
          <w:spacing w:val="-2"/>
        </w:rPr>
        <w:fldChar w:fldCharType="separate"/>
      </w:r>
      <w:r w:rsidRPr="002E38D5">
        <w:rPr>
          <w:rStyle w:val="Hyperlink"/>
          <w:rFonts w:eastAsia="Times New Roman" w:cs="Times New Roman Bold"/>
          <w:bCs/>
          <w:spacing w:val="-2"/>
          <w:szCs w:val="20"/>
        </w:rPr>
        <w:t>C25</w:t>
      </w:r>
      <w:proofErr w:type="spellEnd"/>
      <w:r w:rsidRPr="002E38D5">
        <w:rPr>
          <w:rStyle w:val="Hyperlink"/>
          <w:rFonts w:eastAsia="Times New Roman" w:cs="Times New Roman Bold"/>
          <w:bCs/>
          <w:spacing w:val="-2"/>
          <w:szCs w:val="20"/>
        </w:rPr>
        <w:t>/62</w:t>
      </w:r>
      <w:r w:rsidRPr="002E38D5">
        <w:rPr>
          <w:rFonts w:cs="Times New Roman Bold"/>
          <w:spacing w:val="-2"/>
        </w:rPr>
        <w:fldChar w:fldCharType="end"/>
      </w:r>
      <w:r w:rsidRPr="002E38D5">
        <w:rPr>
          <w:rFonts w:cs="Times New Roman Bold"/>
          <w:bCs/>
          <w:spacing w:val="-2"/>
        </w:rPr>
        <w:t>)</w:t>
      </w:r>
    </w:p>
    <w:tbl>
      <w:tblPr>
        <w:tblStyle w:val="TableGrid"/>
        <w:tblW w:w="0" w:type="auto"/>
        <w:tblLook w:val="04A0" w:firstRow="1" w:lastRow="0" w:firstColumn="1" w:lastColumn="0" w:noHBand="0" w:noVBand="1"/>
      </w:tblPr>
      <w:tblGrid>
        <w:gridCol w:w="9061"/>
      </w:tblGrid>
      <w:tr w:rsidR="00171B43" w:rsidRPr="00EE22B8" w14:paraId="1A533FAC" w14:textId="77777777">
        <w:tc>
          <w:tcPr>
            <w:tcW w:w="9061" w:type="dxa"/>
          </w:tcPr>
          <w:p w14:paraId="25070B8F" w14:textId="60444536" w:rsidR="00171B43" w:rsidRPr="00EE22B8" w:rsidRDefault="00171B43" w:rsidP="00265FB8">
            <w:pPr>
              <w:spacing w:after="120"/>
              <w:jc w:val="both"/>
            </w:pPr>
            <w:r w:rsidRPr="00EE22B8">
              <w:t xml:space="preserve">La commission recommande au Conseil de prendre note du rapport figurant dans le </w:t>
            </w:r>
            <w:hyperlink r:id="rId88" w:history="1">
              <w:r w:rsidR="00265FB8" w:rsidRPr="00265FB8">
                <w:t xml:space="preserve">Document </w:t>
              </w:r>
              <w:proofErr w:type="spellStart"/>
              <w:r w:rsidRPr="00EE22B8">
                <w:rPr>
                  <w:rStyle w:val="Hyperlink"/>
                </w:rPr>
                <w:t>C25</w:t>
              </w:r>
              <w:proofErr w:type="spellEnd"/>
              <w:r w:rsidRPr="00EE22B8">
                <w:rPr>
                  <w:rStyle w:val="Hyperlink"/>
                </w:rPr>
                <w:t>/62</w:t>
              </w:r>
            </w:hyperlink>
            <w:r w:rsidRPr="00EE22B8">
              <w:t>.</w:t>
            </w:r>
          </w:p>
        </w:tc>
      </w:tr>
    </w:tbl>
    <w:p w14:paraId="06F80F6D" w14:textId="4B226CBC" w:rsidR="00171B43" w:rsidRPr="00EE22B8" w:rsidRDefault="00171B43" w:rsidP="00171B43">
      <w:pPr>
        <w:pStyle w:val="Headingb"/>
        <w:spacing w:after="120"/>
        <w:ind w:left="0" w:firstLine="0"/>
        <w:rPr>
          <w:bCs/>
        </w:rPr>
      </w:pPr>
      <w:r w:rsidRPr="00EE22B8">
        <w:rPr>
          <w:bCs/>
        </w:rPr>
        <w:t>Recommandations concernant l'amélioration de l'efficacité de l'exécution du budget de l'Union et la rationalisation des dépenses (</w:t>
      </w:r>
      <w:r w:rsidR="00265FB8" w:rsidRPr="00265FB8">
        <w:rPr>
          <w:bCs/>
        </w:rPr>
        <w:t xml:space="preserve">Document </w:t>
      </w:r>
      <w:hyperlink r:id="rId89"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/86</w:t>
        </w:r>
      </w:hyperlink>
      <w:r w:rsidRPr="00EE22B8">
        <w:rPr>
          <w:bCs/>
        </w:rPr>
        <w:t>)</w:t>
      </w:r>
    </w:p>
    <w:tbl>
      <w:tblPr>
        <w:tblStyle w:val="TableGrid"/>
        <w:tblW w:w="0" w:type="auto"/>
        <w:tblLook w:val="04A0" w:firstRow="1" w:lastRow="0" w:firstColumn="1" w:lastColumn="0" w:noHBand="0" w:noVBand="1"/>
      </w:tblPr>
      <w:tblGrid>
        <w:gridCol w:w="9061"/>
      </w:tblGrid>
      <w:tr w:rsidR="00171B43" w:rsidRPr="00EE22B8" w14:paraId="1035FD8F" w14:textId="77777777">
        <w:tc>
          <w:tcPr>
            <w:tcW w:w="9061" w:type="dxa"/>
          </w:tcPr>
          <w:p w14:paraId="01616395" w14:textId="430794DA" w:rsidR="00171B43" w:rsidRPr="00EE22B8" w:rsidRDefault="00171B43" w:rsidP="00265FB8">
            <w:pPr>
              <w:spacing w:after="120"/>
              <w:jc w:val="both"/>
            </w:pPr>
            <w:r w:rsidRPr="00EE22B8">
              <w:t xml:space="preserve">La commission recommande au Conseil de prendre note de la contribution figurant dans le </w:t>
            </w:r>
            <w:r w:rsidR="00265FB8" w:rsidRPr="00265FB8">
              <w:t xml:space="preserve">Document </w:t>
            </w:r>
            <w:hyperlink r:id="rId90" w:history="1">
              <w:proofErr w:type="spellStart"/>
              <w:r w:rsidRPr="00EE22B8">
                <w:rPr>
                  <w:rStyle w:val="Hyperlink"/>
                </w:rPr>
                <w:t>C25</w:t>
              </w:r>
              <w:proofErr w:type="spellEnd"/>
              <w:r w:rsidRPr="00EE22B8">
                <w:rPr>
                  <w:rStyle w:val="Hyperlink"/>
                </w:rPr>
                <w:t>/86</w:t>
              </w:r>
            </w:hyperlink>
            <w:r w:rsidRPr="00EE22B8">
              <w:t>.</w:t>
            </w:r>
          </w:p>
        </w:tc>
      </w:tr>
    </w:tbl>
    <w:p w14:paraId="730BB22F" w14:textId="2CD730F3" w:rsidR="00171B43" w:rsidRPr="00EE22B8" w:rsidRDefault="00171B43" w:rsidP="00171B43">
      <w:pPr>
        <w:pStyle w:val="Headingb"/>
        <w:spacing w:after="120"/>
        <w:ind w:left="0" w:firstLine="0"/>
        <w:rPr>
          <w:bCs/>
        </w:rPr>
      </w:pPr>
      <w:r w:rsidRPr="00EE22B8">
        <w:rPr>
          <w:bCs/>
        </w:rPr>
        <w:lastRenderedPageBreak/>
        <w:t>Rapport de la Commission de contrôle budgétaire de l'Assemblée mondiale de normalisation des télécommunications (</w:t>
      </w:r>
      <w:proofErr w:type="spellStart"/>
      <w:r w:rsidRPr="00EE22B8">
        <w:rPr>
          <w:bCs/>
        </w:rPr>
        <w:t>AMNT</w:t>
      </w:r>
      <w:proofErr w:type="spellEnd"/>
      <w:r w:rsidRPr="00EE22B8">
        <w:rPr>
          <w:bCs/>
        </w:rPr>
        <w:t>-24) (</w:t>
      </w:r>
      <w:r w:rsidR="00265FB8" w:rsidRPr="00265FB8">
        <w:rPr>
          <w:bCs/>
        </w:rPr>
        <w:t xml:space="preserve">Document </w:t>
      </w:r>
      <w:hyperlink r:id="rId91"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/13</w:t>
        </w:r>
      </w:hyperlink>
      <w:r w:rsidRPr="00EE22B8">
        <w:rPr>
          <w:bCs/>
        </w:rPr>
        <w:t>)</w:t>
      </w:r>
    </w:p>
    <w:tbl>
      <w:tblPr>
        <w:tblStyle w:val="TableGrid"/>
        <w:tblW w:w="0" w:type="auto"/>
        <w:tblLook w:val="04A0" w:firstRow="1" w:lastRow="0" w:firstColumn="1" w:lastColumn="0" w:noHBand="0" w:noVBand="1"/>
      </w:tblPr>
      <w:tblGrid>
        <w:gridCol w:w="9061"/>
      </w:tblGrid>
      <w:tr w:rsidR="00171B43" w:rsidRPr="00EE22B8" w14:paraId="54D4EA37" w14:textId="77777777">
        <w:tc>
          <w:tcPr>
            <w:tcW w:w="9061" w:type="dxa"/>
          </w:tcPr>
          <w:p w14:paraId="78B1B761" w14:textId="676B1AF3" w:rsidR="00171B43" w:rsidRPr="00EE22B8" w:rsidRDefault="00171B43" w:rsidP="002E38D5">
            <w:pPr>
              <w:spacing w:after="120"/>
              <w:jc w:val="both"/>
            </w:pPr>
            <w:r w:rsidRPr="00EE22B8">
              <w:t>La commission recommande au Conseil de prendre note du rapport figurant dans le</w:t>
            </w:r>
            <w:r w:rsidR="00265FB8">
              <w:t xml:space="preserve"> </w:t>
            </w:r>
            <w:r w:rsidR="00265FB8" w:rsidRPr="00265FB8">
              <w:t xml:space="preserve">Document </w:t>
            </w:r>
            <w:hyperlink r:id="rId92" w:history="1">
              <w:proofErr w:type="spellStart"/>
              <w:r w:rsidRPr="00EE22B8">
                <w:rPr>
                  <w:rStyle w:val="Hyperlink"/>
                </w:rPr>
                <w:t>C25</w:t>
              </w:r>
              <w:proofErr w:type="spellEnd"/>
              <w:r w:rsidRPr="00EE22B8">
                <w:rPr>
                  <w:rStyle w:val="Hyperlink"/>
                </w:rPr>
                <w:t>/13</w:t>
              </w:r>
            </w:hyperlink>
            <w:r w:rsidRPr="00EE22B8">
              <w:t>.</w:t>
            </w:r>
          </w:p>
        </w:tc>
      </w:tr>
    </w:tbl>
    <w:p w14:paraId="70BD828A" w14:textId="6BC2E156" w:rsidR="00171B43" w:rsidRPr="00EE22B8" w:rsidRDefault="00171B43" w:rsidP="00171B43">
      <w:pPr>
        <w:pStyle w:val="Headingb"/>
        <w:spacing w:after="120"/>
        <w:ind w:left="0" w:firstLine="0"/>
        <w:rPr>
          <w:bCs/>
        </w:rPr>
      </w:pPr>
      <w:r w:rsidRPr="00EE22B8">
        <w:rPr>
          <w:bCs/>
        </w:rPr>
        <w:t>Modalités de continuité des activités pour les réunions de l'UIT pour 2028-2029 (</w:t>
      </w:r>
      <w:hyperlink r:id="rId93" w:history="1">
        <w:r w:rsidR="00265FB8" w:rsidRPr="00265FB8">
          <w:t>Document </w:t>
        </w:r>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/60</w:t>
        </w:r>
      </w:hyperlink>
      <w:r w:rsidRPr="00EE22B8">
        <w:rPr>
          <w:bCs/>
        </w:rPr>
        <w:t>)</w:t>
      </w:r>
    </w:p>
    <w:tbl>
      <w:tblPr>
        <w:tblStyle w:val="TableGrid"/>
        <w:tblW w:w="0" w:type="auto"/>
        <w:tblLook w:val="04A0" w:firstRow="1" w:lastRow="0" w:firstColumn="1" w:lastColumn="0" w:noHBand="0" w:noVBand="1"/>
      </w:tblPr>
      <w:tblGrid>
        <w:gridCol w:w="9061"/>
      </w:tblGrid>
      <w:tr w:rsidR="00171B43" w:rsidRPr="00EE22B8" w14:paraId="6E1AF35F" w14:textId="77777777">
        <w:tc>
          <w:tcPr>
            <w:tcW w:w="9061" w:type="dxa"/>
          </w:tcPr>
          <w:p w14:paraId="34AD0EBB" w14:textId="68E98104" w:rsidR="00171B43" w:rsidRPr="00EE22B8" w:rsidRDefault="00171B43" w:rsidP="002E38D5">
            <w:pPr>
              <w:spacing w:after="120"/>
              <w:jc w:val="both"/>
            </w:pPr>
            <w:r w:rsidRPr="00EE22B8">
              <w:t>La commission recommande au Conseil de charger le GTC-FHR d'examiner plus avant le plan de continuité des activités compte tenu des informations additionnelles présentées par le secrétariat concernant les différentes options et leurs incidences financières.</w:t>
            </w:r>
          </w:p>
        </w:tc>
      </w:tr>
    </w:tbl>
    <w:p w14:paraId="1BA22291" w14:textId="07E2A82F" w:rsidR="00171B43" w:rsidRPr="002E38D5" w:rsidRDefault="00171B43" w:rsidP="002E38D5">
      <w:pPr>
        <w:pStyle w:val="Headingb"/>
        <w:spacing w:after="120"/>
        <w:ind w:left="0" w:right="-113" w:firstLine="0"/>
        <w:rPr>
          <w:rFonts w:cs="Times New Roman Bold"/>
          <w:bCs/>
          <w:spacing w:val="-2"/>
        </w:rPr>
      </w:pPr>
      <w:r w:rsidRPr="002E38D5">
        <w:rPr>
          <w:rFonts w:cs="Times New Roman Bold"/>
          <w:bCs/>
          <w:spacing w:val="-2"/>
        </w:rPr>
        <w:t>Renforcement de la gestion des risques et du système de contrôle interne (</w:t>
      </w:r>
      <w:r w:rsidR="00265FB8" w:rsidRPr="002E38D5">
        <w:rPr>
          <w:rFonts w:cs="Times New Roman Bold"/>
          <w:bCs/>
          <w:spacing w:val="-2"/>
        </w:rPr>
        <w:t>Document</w:t>
      </w:r>
      <w:hyperlink r:id="rId94" w:history="1">
        <w:r w:rsidRPr="002E38D5">
          <w:rPr>
            <w:rStyle w:val="Hyperlink"/>
            <w:rFonts w:eastAsia="Times New Roman" w:cs="Times New Roman Bold"/>
            <w:bCs/>
            <w:spacing w:val="-2"/>
            <w:szCs w:val="20"/>
          </w:rPr>
          <w:t> </w:t>
        </w:r>
        <w:proofErr w:type="spellStart"/>
        <w:r w:rsidRPr="002E38D5">
          <w:rPr>
            <w:rStyle w:val="Hyperlink"/>
            <w:rFonts w:eastAsia="Times New Roman" w:cs="Times New Roman Bold"/>
            <w:bCs/>
            <w:spacing w:val="-2"/>
            <w:szCs w:val="20"/>
          </w:rPr>
          <w:t>C25</w:t>
        </w:r>
        <w:proofErr w:type="spellEnd"/>
        <w:r w:rsidRPr="002E38D5">
          <w:rPr>
            <w:rStyle w:val="Hyperlink"/>
            <w:rFonts w:eastAsia="Times New Roman" w:cs="Times New Roman Bold"/>
            <w:bCs/>
            <w:spacing w:val="-2"/>
            <w:szCs w:val="20"/>
          </w:rPr>
          <w:t>/49</w:t>
        </w:r>
      </w:hyperlink>
      <w:r w:rsidRPr="002E38D5">
        <w:rPr>
          <w:rFonts w:cs="Times New Roman Bold"/>
          <w:bCs/>
          <w:spacing w:val="-2"/>
        </w:rPr>
        <w:t>)</w:t>
      </w:r>
    </w:p>
    <w:tbl>
      <w:tblPr>
        <w:tblStyle w:val="TableGrid"/>
        <w:tblW w:w="0" w:type="auto"/>
        <w:tblLook w:val="04A0" w:firstRow="1" w:lastRow="0" w:firstColumn="1" w:lastColumn="0" w:noHBand="0" w:noVBand="1"/>
      </w:tblPr>
      <w:tblGrid>
        <w:gridCol w:w="9061"/>
      </w:tblGrid>
      <w:tr w:rsidR="00171B43" w:rsidRPr="00EE22B8" w14:paraId="7859B728" w14:textId="77777777">
        <w:tc>
          <w:tcPr>
            <w:tcW w:w="9061" w:type="dxa"/>
          </w:tcPr>
          <w:p w14:paraId="02C045ED" w14:textId="77777777" w:rsidR="00171B43" w:rsidRPr="00EE22B8" w:rsidRDefault="00171B43" w:rsidP="00171B43">
            <w:r w:rsidRPr="00EE22B8">
              <w:t>La commission recommande au Conseil:</w:t>
            </w:r>
          </w:p>
          <w:p w14:paraId="25474F9E" w14:textId="0117CC0A" w:rsidR="00171B43" w:rsidRPr="00EE22B8" w:rsidRDefault="00171B43" w:rsidP="00171B43">
            <w:pPr>
              <w:pStyle w:val="enumlev1"/>
            </w:pPr>
            <w:r w:rsidRPr="00EE22B8">
              <w:t>•</w:t>
            </w:r>
            <w:r w:rsidRPr="00EE22B8">
              <w:tab/>
              <w:t>de prendre note du rapport figurant dans le</w:t>
            </w:r>
            <w:r w:rsidR="00265FB8" w:rsidRPr="008B7CA7">
              <w:t xml:space="preserve"> </w:t>
            </w:r>
            <w:r w:rsidR="00265FB8" w:rsidRPr="00265FB8">
              <w:t xml:space="preserve">Document </w:t>
            </w:r>
            <w:hyperlink r:id="rId95" w:history="1">
              <w:proofErr w:type="spellStart"/>
              <w:r w:rsidRPr="00EE22B8">
                <w:rPr>
                  <w:rStyle w:val="Hyperlink"/>
                </w:rPr>
                <w:t>C25</w:t>
              </w:r>
              <w:proofErr w:type="spellEnd"/>
              <w:r w:rsidRPr="00EE22B8">
                <w:rPr>
                  <w:rStyle w:val="Hyperlink"/>
                </w:rPr>
                <w:t>/49</w:t>
              </w:r>
            </w:hyperlink>
            <w:r w:rsidRPr="00EE22B8">
              <w:t>;</w:t>
            </w:r>
          </w:p>
          <w:p w14:paraId="3BC634EC" w14:textId="77777777" w:rsidR="00171B43" w:rsidRPr="00EE22B8" w:rsidRDefault="00171B43" w:rsidP="002E38D5">
            <w:pPr>
              <w:pStyle w:val="enumlev1"/>
              <w:jc w:val="both"/>
            </w:pPr>
            <w:r w:rsidRPr="00EE22B8">
              <w:t>•</w:t>
            </w:r>
            <w:r w:rsidRPr="00EE22B8">
              <w:tab/>
              <w:t>de demander au secrétariat de fournir au GTC-FHR et au GTC-SFP, à leurs prochaines réunions, une liste complète des risques modérés et faibles (risques négligeables), comprenant des évaluations, des informations sur le traitement de ces risques et les plans d'intervention connexes; et</w:t>
            </w:r>
          </w:p>
          <w:p w14:paraId="01997CE9" w14:textId="2D383041" w:rsidR="00171B43" w:rsidRPr="00EE22B8" w:rsidRDefault="00171B43" w:rsidP="00265FB8">
            <w:pPr>
              <w:pStyle w:val="enumlev1"/>
              <w:spacing w:after="120"/>
              <w:jc w:val="both"/>
            </w:pPr>
            <w:r w:rsidRPr="00EE22B8">
              <w:t>•</w:t>
            </w:r>
            <w:r w:rsidRPr="00EE22B8">
              <w:tab/>
              <w:t xml:space="preserve">de demander au secrétariat de fournir au GTC-FHR et au GTC-SFP, à leurs prochaines réunions, un rapport sur le traitement des risques détectés en particulier par le Vérificateur extérieur des comptes (par exemple les risques de fraude visés au § 2.17 du </w:t>
            </w:r>
            <w:r w:rsidR="00265FB8" w:rsidRPr="00265FB8">
              <w:t xml:space="preserve">Document </w:t>
            </w:r>
            <w:hyperlink r:id="rId96" w:history="1">
              <w:proofErr w:type="spellStart"/>
              <w:r w:rsidRPr="00EE22B8">
                <w:rPr>
                  <w:rStyle w:val="Hyperlink"/>
                </w:rPr>
                <w:t>C25</w:t>
              </w:r>
              <w:proofErr w:type="spellEnd"/>
              <w:r w:rsidRPr="00EE22B8">
                <w:rPr>
                  <w:rStyle w:val="Hyperlink"/>
                </w:rPr>
                <w:t>/41</w:t>
              </w:r>
            </w:hyperlink>
            <w:r w:rsidRPr="00EE22B8">
              <w:t xml:space="preserve"> et les risques liés à l'ASHI visés au § 1.26 du Document C25/41).</w:t>
            </w:r>
          </w:p>
        </w:tc>
      </w:tr>
    </w:tbl>
    <w:p w14:paraId="7CD1F7E0" w14:textId="481573BB" w:rsidR="00171B43" w:rsidRPr="00EE22B8" w:rsidRDefault="00171B43" w:rsidP="00171B43">
      <w:pPr>
        <w:pStyle w:val="Headingb"/>
        <w:spacing w:after="120"/>
        <w:ind w:left="0" w:firstLine="0"/>
        <w:rPr>
          <w:bCs/>
        </w:rPr>
      </w:pPr>
      <w:r w:rsidRPr="00EE22B8">
        <w:rPr>
          <w:bCs/>
        </w:rPr>
        <w:t xml:space="preserve">Fiches de notification des réseaux à satellite (Documents </w:t>
      </w:r>
      <w:hyperlink r:id="rId97" w:history="1">
        <w:r w:rsidRPr="00EE22B8">
          <w:rPr>
            <w:rStyle w:val="Hyperlink"/>
            <w:rFonts w:eastAsia="Times New Roman" w:cs="Times New Roman"/>
            <w:bCs/>
            <w:szCs w:val="20"/>
          </w:rPr>
          <w:t>C25/64</w:t>
        </w:r>
      </w:hyperlink>
      <w:r w:rsidRPr="00EE22B8">
        <w:rPr>
          <w:bCs/>
        </w:rPr>
        <w:t xml:space="preserve">, </w:t>
      </w:r>
      <w:hyperlink r:id="rId98" w:history="1">
        <w:r w:rsidRPr="00EE22B8">
          <w:rPr>
            <w:rStyle w:val="Hyperlink"/>
            <w:rFonts w:eastAsia="Times New Roman" w:cs="Times New Roman"/>
            <w:bCs/>
            <w:szCs w:val="20"/>
          </w:rPr>
          <w:t>C25/16</w:t>
        </w:r>
      </w:hyperlink>
      <w:r w:rsidRPr="00EE22B8">
        <w:rPr>
          <w:bCs/>
        </w:rPr>
        <w:t xml:space="preserve">, </w:t>
      </w:r>
      <w:hyperlink r:id="rId99" w:history="1">
        <w:r w:rsidRPr="00EE22B8">
          <w:rPr>
            <w:rStyle w:val="Hyperlink"/>
            <w:rFonts w:eastAsia="Times New Roman" w:cs="Times New Roman"/>
            <w:bCs/>
            <w:szCs w:val="20"/>
          </w:rPr>
          <w:t>C25/10</w:t>
        </w:r>
      </w:hyperlink>
      <w:r w:rsidRPr="00EE22B8">
        <w:rPr>
          <w:bCs/>
        </w:rPr>
        <w:t xml:space="preserve">, </w:t>
      </w:r>
      <w:hyperlink r:id="rId100" w:history="1">
        <w:r w:rsidRPr="00EE22B8">
          <w:rPr>
            <w:rStyle w:val="Hyperlink"/>
            <w:rFonts w:eastAsia="Times New Roman" w:cs="Times New Roman"/>
            <w:bCs/>
            <w:szCs w:val="20"/>
          </w:rPr>
          <w:t>C25/98</w:t>
        </w:r>
      </w:hyperlink>
      <w:r w:rsidRPr="00EE22B8">
        <w:rPr>
          <w:bCs/>
        </w:rPr>
        <w:t xml:space="preserve"> et </w:t>
      </w:r>
      <w:hyperlink r:id="rId101" w:history="1">
        <w:r w:rsidRPr="00EE22B8">
          <w:rPr>
            <w:rStyle w:val="Hyperlink"/>
            <w:rFonts w:eastAsia="Times New Roman" w:cs="Times New Roman"/>
            <w:bCs/>
            <w:szCs w:val="20"/>
          </w:rPr>
          <w:t>C25/74</w:t>
        </w:r>
      </w:hyperlink>
      <w:r w:rsidRPr="00EE22B8">
        <w:rPr>
          <w:bCs/>
        </w:rPr>
        <w:t>)</w:t>
      </w:r>
    </w:p>
    <w:tbl>
      <w:tblPr>
        <w:tblStyle w:val="TableGrid"/>
        <w:tblW w:w="0" w:type="auto"/>
        <w:tblLook w:val="04A0" w:firstRow="1" w:lastRow="0" w:firstColumn="1" w:lastColumn="0" w:noHBand="0" w:noVBand="1"/>
      </w:tblPr>
      <w:tblGrid>
        <w:gridCol w:w="9061"/>
      </w:tblGrid>
      <w:tr w:rsidR="00171B43" w:rsidRPr="00EE22B8" w14:paraId="070EF2F9" w14:textId="77777777" w:rsidTr="00171B43">
        <w:tc>
          <w:tcPr>
            <w:tcW w:w="9061" w:type="dxa"/>
          </w:tcPr>
          <w:p w14:paraId="4374A5A5" w14:textId="77777777" w:rsidR="00171B43" w:rsidRPr="00EE22B8" w:rsidRDefault="00171B43" w:rsidP="00171B43">
            <w:r w:rsidRPr="00EE22B8">
              <w:t>La commission recommande au Conseil:</w:t>
            </w:r>
          </w:p>
          <w:p w14:paraId="6D038E12" w14:textId="28ABF204" w:rsidR="00171B43" w:rsidRPr="00EE22B8" w:rsidRDefault="00171B43" w:rsidP="00265FB8">
            <w:pPr>
              <w:pStyle w:val="enumlev1"/>
              <w:jc w:val="both"/>
            </w:pPr>
            <w:r w:rsidRPr="00EE22B8">
              <w:t>•</w:t>
            </w:r>
            <w:r w:rsidRPr="00EE22B8">
              <w:tab/>
              <w:t>de remercier le Groupe EG-Dec482 et sa Présidente pour le travail accompli et de prendre note du</w:t>
            </w:r>
            <w:r w:rsidR="00265FB8">
              <w:t xml:space="preserve"> </w:t>
            </w:r>
            <w:r w:rsidR="00265FB8" w:rsidRPr="00265FB8">
              <w:t xml:space="preserve">Document </w:t>
            </w:r>
            <w:hyperlink r:id="rId102" w:history="1">
              <w:proofErr w:type="spellStart"/>
              <w:r w:rsidRPr="00EE22B8">
                <w:rPr>
                  <w:rStyle w:val="Hyperlink"/>
                </w:rPr>
                <w:t>C25</w:t>
              </w:r>
              <w:proofErr w:type="spellEnd"/>
              <w:r w:rsidRPr="00EE22B8">
                <w:rPr>
                  <w:rStyle w:val="Hyperlink"/>
                </w:rPr>
                <w:t>/10</w:t>
              </w:r>
            </w:hyperlink>
            <w:r w:rsidRPr="00EE22B8">
              <w:t>;</w:t>
            </w:r>
          </w:p>
          <w:p w14:paraId="3C6E2E4B" w14:textId="555ED6BD" w:rsidR="00171B43" w:rsidRPr="00EE22B8" w:rsidRDefault="00171B43" w:rsidP="00265FB8">
            <w:pPr>
              <w:pStyle w:val="enumlev1"/>
              <w:jc w:val="both"/>
            </w:pPr>
            <w:r w:rsidRPr="00EE22B8">
              <w:t>•</w:t>
            </w:r>
            <w:r w:rsidRPr="00EE22B8">
              <w:tab/>
              <w:t xml:space="preserve">de prendre note des Documents </w:t>
            </w:r>
            <w:hyperlink r:id="rId103" w:history="1">
              <w:r w:rsidRPr="00EE22B8">
                <w:rPr>
                  <w:rStyle w:val="Hyperlink"/>
                </w:rPr>
                <w:t>C25/64</w:t>
              </w:r>
            </w:hyperlink>
            <w:r w:rsidRPr="00EE22B8">
              <w:t xml:space="preserve">, </w:t>
            </w:r>
            <w:hyperlink r:id="rId104" w:history="1">
              <w:r w:rsidRPr="00EE22B8">
                <w:rPr>
                  <w:rStyle w:val="Hyperlink"/>
                </w:rPr>
                <w:t>C25/10</w:t>
              </w:r>
            </w:hyperlink>
            <w:r w:rsidRPr="00EE22B8">
              <w:t xml:space="preserve">, </w:t>
            </w:r>
            <w:hyperlink r:id="rId105" w:history="1">
              <w:r w:rsidRPr="00EE22B8">
                <w:rPr>
                  <w:rStyle w:val="Hyperlink"/>
                </w:rPr>
                <w:t>C25/16</w:t>
              </w:r>
            </w:hyperlink>
            <w:r w:rsidRPr="00EE22B8">
              <w:t xml:space="preserve">, </w:t>
            </w:r>
            <w:hyperlink r:id="rId106" w:history="1">
              <w:r w:rsidRPr="00EE22B8">
                <w:rPr>
                  <w:rStyle w:val="Hyperlink"/>
                </w:rPr>
                <w:t>C25/98</w:t>
              </w:r>
            </w:hyperlink>
            <w:r w:rsidRPr="00EE22B8">
              <w:t xml:space="preserve"> et </w:t>
            </w:r>
            <w:hyperlink r:id="rId107" w:history="1">
              <w:r w:rsidRPr="00EE22B8">
                <w:rPr>
                  <w:rStyle w:val="Hyperlink"/>
                </w:rPr>
                <w:t>C25/74</w:t>
              </w:r>
            </w:hyperlink>
            <w:r w:rsidRPr="00EE22B8">
              <w:t>;</w:t>
            </w:r>
          </w:p>
          <w:p w14:paraId="69F2C07F" w14:textId="77777777" w:rsidR="00171B43" w:rsidRPr="00EE22B8" w:rsidRDefault="00171B43" w:rsidP="00265FB8">
            <w:pPr>
              <w:pStyle w:val="enumlev1"/>
              <w:jc w:val="both"/>
            </w:pPr>
            <w:r w:rsidRPr="00EE22B8">
              <w:t>•</w:t>
            </w:r>
            <w:r w:rsidRPr="00EE22B8">
              <w:tab/>
              <w:t>pour les exercices budgétaires 2026 et 2027, de fixer une limite maximale pour les coûts indirects à recouvrer au moyen des droits au titre du traitement des fiches de notification des réseaux à satellite à 19,15% des coûts directs supportés par le BR;</w:t>
            </w:r>
          </w:p>
          <w:p w14:paraId="20CFAC65" w14:textId="0909F758" w:rsidR="00171B43" w:rsidRPr="00EE22B8" w:rsidRDefault="00171B43" w:rsidP="00265FB8">
            <w:pPr>
              <w:pStyle w:val="enumlev1"/>
              <w:jc w:val="both"/>
            </w:pPr>
            <w:r w:rsidRPr="00EE22B8">
              <w:t>•</w:t>
            </w:r>
            <w:r w:rsidRPr="00EE22B8">
              <w:tab/>
              <w:t>d'allouer 500 000 CHF par an provenant des droits perçus au Fonds de roulement pour les TIC pour le développement de logiciels du BR;</w:t>
            </w:r>
          </w:p>
          <w:p w14:paraId="5A155384" w14:textId="77777777" w:rsidR="00171B43" w:rsidRPr="00EE22B8" w:rsidRDefault="00171B43" w:rsidP="00265FB8">
            <w:pPr>
              <w:pStyle w:val="enumlev1"/>
              <w:jc w:val="both"/>
            </w:pPr>
            <w:r w:rsidRPr="00EE22B8">
              <w:t>•</w:t>
            </w:r>
            <w:r w:rsidRPr="00EE22B8">
              <w:tab/>
              <w:t>de charger le Groupe de travail du Conseil sur les ressources financières et les ressources humaines (GTC-FHR) d'établir une définition claire des coûts directs et indirects, en consultant les États Membres et les Membres de Secteur, et de formuler des recommandations pour approbation par le Conseil de l'UIT à sa session de 2026;</w:t>
            </w:r>
          </w:p>
          <w:p w14:paraId="7F31CAF6" w14:textId="3918FCB3" w:rsidR="00171B43" w:rsidRPr="00EE22B8" w:rsidRDefault="00171B43" w:rsidP="00265FB8">
            <w:pPr>
              <w:pStyle w:val="enumlev1"/>
              <w:jc w:val="both"/>
            </w:pPr>
            <w:r w:rsidRPr="00EE22B8">
              <w:t>•</w:t>
            </w:r>
            <w:r w:rsidRPr="00EE22B8">
              <w:tab/>
              <w:t>de charger le GTC-FHR d'examiner le modèle de coûts actuel établi dans la Décision</w:t>
            </w:r>
            <w:r w:rsidR="0067556B" w:rsidRPr="00EE22B8">
              <w:t> </w:t>
            </w:r>
            <w:r w:rsidRPr="00EE22B8">
              <w:t xml:space="preserve">535, en évaluant la possibilité d'appliquer ce modèle au recouvrement des coûts pour le traitement des fiches de notification de réseaux à satellite, et de </w:t>
            </w:r>
            <w:r w:rsidRPr="00EE22B8">
              <w:lastRenderedPageBreak/>
              <w:t>formuler des recommandations concernant un modèle de coûts approprié à l'intention du Conseil de l'UIT à sa session de 2026;</w:t>
            </w:r>
          </w:p>
          <w:p w14:paraId="344441AB" w14:textId="77777777" w:rsidR="00171B43" w:rsidRPr="00EE22B8" w:rsidRDefault="00171B43" w:rsidP="002E38D5">
            <w:pPr>
              <w:pStyle w:val="enumlev1"/>
              <w:keepNext/>
              <w:keepLines/>
              <w:spacing w:before="120"/>
              <w:jc w:val="both"/>
            </w:pPr>
            <w:r w:rsidRPr="00EE22B8">
              <w:t>•</w:t>
            </w:r>
            <w:r w:rsidRPr="00EE22B8">
              <w:tab/>
              <w:t>sur la base de la définition des coûts directs et des coûts indirects approuvée par le Conseil, de charger le GTC-FHR d'examiner plus avant les droits au titre des coûts indirects relatifs au recouvrement des coûts pour le traitement des fiches de notification de réseaux à satellite, à la suite d'une analyse additionnelle des catégories de coûts indirects appropriées applicables aux fiches de notification de réseaux à satellite, compte tenu des coûts indirects déjà pris en considération dans la Décision 482 adoptée par le Conseil à sa session de juin 2025, et de formuler des recommandations à l'intention du Conseil à sa session de 2027. L'analyse devrait porter sur les aspects suivants:</w:t>
            </w:r>
          </w:p>
          <w:p w14:paraId="3998122A" w14:textId="77777777" w:rsidR="00171B43" w:rsidRPr="00EE22B8" w:rsidRDefault="00171B43" w:rsidP="002E38D5">
            <w:pPr>
              <w:pStyle w:val="enumlev2"/>
              <w:spacing w:before="60"/>
              <w:jc w:val="both"/>
            </w:pPr>
            <w:r w:rsidRPr="00EE22B8">
              <w:t>a)</w:t>
            </w:r>
            <w:r w:rsidRPr="00EE22B8">
              <w:tab/>
              <w:t>la nécessité de disposer d'un modèle ouvert et transparent pour encadrer la catégorisation et l'évaluation des coûts indirects ainsi que l'application des droits;</w:t>
            </w:r>
          </w:p>
          <w:p w14:paraId="19FDB552" w14:textId="77777777" w:rsidR="00171B43" w:rsidRPr="00EE22B8" w:rsidRDefault="00171B43" w:rsidP="002E38D5">
            <w:pPr>
              <w:pStyle w:val="enumlev2"/>
              <w:spacing w:before="60"/>
              <w:jc w:val="both"/>
            </w:pPr>
            <w:r w:rsidRPr="00EE22B8">
              <w:t>b)</w:t>
            </w:r>
            <w:r w:rsidRPr="00EE22B8">
              <w:tab/>
              <w:t>la nécessité d'avoir des niveaux raisonnables pour l'attribution des coûts indirects, compte tenu de la Résolution 91 (Rév. Guadalajara, 2010);</w:t>
            </w:r>
          </w:p>
          <w:p w14:paraId="3521B905" w14:textId="77777777" w:rsidR="00171B43" w:rsidRPr="00EE22B8" w:rsidRDefault="00171B43" w:rsidP="002E38D5">
            <w:pPr>
              <w:pStyle w:val="enumlev2"/>
              <w:spacing w:before="60"/>
              <w:jc w:val="both"/>
            </w:pPr>
            <w:r w:rsidRPr="00EE22B8">
              <w:t>c)</w:t>
            </w:r>
            <w:r w:rsidRPr="00EE22B8">
              <w:tab/>
              <w:t>l'évaluation des coûts directs et indirects de la franchise de droits pour des fiches de notification et d'autres exonérations possibles du recouvrement des droits pour le traitement des fiches de notification de réseaux à satellite;</w:t>
            </w:r>
          </w:p>
          <w:p w14:paraId="69C3D16D" w14:textId="69229DAB" w:rsidR="00171B43" w:rsidRPr="00EE22B8" w:rsidRDefault="00171B43" w:rsidP="002E38D5">
            <w:pPr>
              <w:pStyle w:val="enumlev2"/>
              <w:spacing w:before="60"/>
              <w:jc w:val="both"/>
            </w:pPr>
            <w:r w:rsidRPr="00EE22B8">
              <w:t>d)</w:t>
            </w:r>
            <w:r w:rsidRPr="00EE22B8">
              <w:tab/>
              <w:t xml:space="preserve">les besoins de tous les États Membres, en particulier les pays en développement, afin de s'assurer que le recouvrement des coûts n'entraîne pas d'obstacle à l'entrée pour la mise en </w:t>
            </w:r>
            <w:r w:rsidR="00F23ACE" w:rsidRPr="00EE22B8">
              <w:t>œuvre</w:t>
            </w:r>
            <w:r w:rsidRPr="00EE22B8">
              <w:t xml:space="preserve"> de réseaux à satellite; et</w:t>
            </w:r>
          </w:p>
          <w:p w14:paraId="18462FEC" w14:textId="77777777" w:rsidR="00171B43" w:rsidRPr="00EE22B8" w:rsidRDefault="00171B43" w:rsidP="002E38D5">
            <w:pPr>
              <w:pStyle w:val="enumlev2"/>
              <w:spacing w:before="60"/>
              <w:jc w:val="both"/>
            </w:pPr>
            <w:r w:rsidRPr="00EE22B8">
              <w:t>e)</w:t>
            </w:r>
            <w:r w:rsidRPr="00EE22B8">
              <w:tab/>
              <w:t>le renforcement de la stabilité financière, notamment via un examen des incidences possibles d'une augmentation des droits sur le volume des soumissions, sous réserve d'éviter toute incidence négative sur le développement et l'utilisation durables et équitables des ressources satellitaires;</w:t>
            </w:r>
          </w:p>
          <w:p w14:paraId="57A924BC" w14:textId="3D0B0213" w:rsidR="00171B43" w:rsidRPr="00EE22B8" w:rsidRDefault="00171B43" w:rsidP="002E38D5">
            <w:pPr>
              <w:pStyle w:val="enumlev1"/>
              <w:jc w:val="both"/>
            </w:pPr>
            <w:r w:rsidRPr="00EE22B8">
              <w:t>•</w:t>
            </w:r>
            <w:r w:rsidRPr="00EE22B8">
              <w:tab/>
              <w:t xml:space="preserve">de demander au Secrétariat de soumettre au GTC-FHR et au GTC-SFP un rapport détaillé sur l'analyse et les options possibles concernant la comptabilité analytique pour tous les produits et services fournis par l'UIT, afin d'en tenir compte dans l'élaboration des </w:t>
            </w:r>
            <w:r w:rsidR="000F1492">
              <w:t>p</w:t>
            </w:r>
            <w:r w:rsidRPr="00EE22B8">
              <w:t>lans stratégique et financier. L'analyse devrait porter sur les coûts indirects déjà inclus dans la Décision 482. Elle devrait également porter sur d'autres manières dont l'UIT a appliqué ou pourrait appliquer des droits pour les coûts indirects à d'autres biens et services fournis par l'Union, conformément à la Résolution 91 (Rév. Guadalajara, 2010);</w:t>
            </w:r>
          </w:p>
          <w:p w14:paraId="0EF31C63" w14:textId="77777777" w:rsidR="00171B43" w:rsidRPr="00EE22B8" w:rsidRDefault="00171B43" w:rsidP="002E38D5">
            <w:pPr>
              <w:pStyle w:val="enumlev1"/>
              <w:jc w:val="both"/>
            </w:pPr>
            <w:r w:rsidRPr="00EE22B8">
              <w:t>•</w:t>
            </w:r>
            <w:r w:rsidRPr="00EE22B8">
              <w:tab/>
              <w:t>d'inviter le GTC-FHR à tenir des consultations auprès des États Membres et des Membres de Secteur, afin de déterminer les incidences possibles de toute nouvelle méthodologie de recouvrement des coûts, en assurant une collaboration continue avec les Membres de Secteur s'occupant de satellites en particulier;</w:t>
            </w:r>
          </w:p>
          <w:p w14:paraId="1F94BE82" w14:textId="77777777" w:rsidR="00171B43" w:rsidRPr="00EE22B8" w:rsidRDefault="00171B43" w:rsidP="002E38D5">
            <w:pPr>
              <w:pStyle w:val="enumlev1"/>
              <w:jc w:val="both"/>
            </w:pPr>
            <w:r w:rsidRPr="00EE22B8">
              <w:t>•</w:t>
            </w:r>
            <w:r w:rsidRPr="00EE22B8">
              <w:tab/>
              <w:t>de charger le GTC-FHR de faire rapport au Conseil à sa session de 2026, en présentant des lignes directrices visant à évaluer les coûts indirects liés au traitement des fiches de notification de réseaux à satellite.</w:t>
            </w:r>
          </w:p>
          <w:p w14:paraId="3BAD6BD7" w14:textId="182B08F8" w:rsidR="00171B43" w:rsidRPr="00EE22B8" w:rsidRDefault="00171B43" w:rsidP="002E38D5">
            <w:pPr>
              <w:spacing w:after="120"/>
              <w:jc w:val="both"/>
            </w:pPr>
            <w:r w:rsidRPr="00EE22B8">
              <w:t>La commission recommande au Conseil d'adopter la révision de la Décision 482 (C01,</w:t>
            </w:r>
            <w:r w:rsidR="00F07695">
              <w:t> </w:t>
            </w:r>
            <w:r w:rsidRPr="00EE22B8">
              <w:t>dernière mod. C24) tel que reproduite dans le</w:t>
            </w:r>
            <w:r w:rsidR="002E38D5">
              <w:t xml:space="preserve"> </w:t>
            </w:r>
            <w:r w:rsidR="002E38D5" w:rsidRPr="002E38D5">
              <w:t xml:space="preserve">Document </w:t>
            </w:r>
            <w:hyperlink r:id="rId108" w:history="1">
              <w:proofErr w:type="spellStart"/>
              <w:r w:rsidRPr="00EE22B8">
                <w:rPr>
                  <w:rStyle w:val="Hyperlink"/>
                </w:rPr>
                <w:t>C25</w:t>
              </w:r>
              <w:proofErr w:type="spellEnd"/>
              <w:r w:rsidRPr="00EE22B8">
                <w:rPr>
                  <w:rStyle w:val="Hyperlink"/>
                </w:rPr>
                <w:t>/DT/6</w:t>
              </w:r>
            </w:hyperlink>
            <w:r w:rsidRPr="00EE22B8">
              <w:t>.</w:t>
            </w:r>
          </w:p>
        </w:tc>
      </w:tr>
    </w:tbl>
    <w:p w14:paraId="7D29B134" w14:textId="0D33F635" w:rsidR="00171B43" w:rsidRPr="00EE22B8" w:rsidRDefault="00F23ACE" w:rsidP="00F23ACE">
      <w:pPr>
        <w:pStyle w:val="Headingb"/>
        <w:spacing w:after="120"/>
        <w:ind w:left="0" w:firstLine="0"/>
        <w:rPr>
          <w:bCs/>
        </w:rPr>
      </w:pPr>
      <w:r w:rsidRPr="00EE22B8">
        <w:rPr>
          <w:bCs/>
        </w:rPr>
        <w:lastRenderedPageBreak/>
        <w:t xml:space="preserve">Affectation des économies réalisées dans le cadre de l'exécution du budget 2024 et affectation du Fonds de roulement des expositions (Documents </w:t>
      </w:r>
      <w:hyperlink r:id="rId109" w:history="1">
        <w:r w:rsidRPr="00EE22B8">
          <w:rPr>
            <w:rStyle w:val="Hyperlink"/>
            <w:rFonts w:eastAsia="Times New Roman" w:cs="Times New Roman"/>
            <w:bCs/>
            <w:szCs w:val="20"/>
          </w:rPr>
          <w:t>C25/43</w:t>
        </w:r>
      </w:hyperlink>
      <w:r w:rsidRPr="00EE22B8">
        <w:rPr>
          <w:bCs/>
        </w:rPr>
        <w:t xml:space="preserve"> et </w:t>
      </w:r>
      <w:hyperlink r:id="rId110" w:history="1">
        <w:r w:rsidRPr="00EE22B8">
          <w:rPr>
            <w:rStyle w:val="Hyperlink"/>
            <w:rFonts w:eastAsia="Times New Roman" w:cs="Times New Roman"/>
            <w:bCs/>
            <w:szCs w:val="20"/>
          </w:rPr>
          <w:t>C25/DL/8</w:t>
        </w:r>
      </w:hyperlink>
      <w:r w:rsidRPr="00EE22B8">
        <w:rPr>
          <w:bCs/>
        </w:rPr>
        <w:t>)</w:t>
      </w:r>
    </w:p>
    <w:tbl>
      <w:tblPr>
        <w:tblStyle w:val="TableGrid"/>
        <w:tblW w:w="0" w:type="auto"/>
        <w:tblLook w:val="04A0" w:firstRow="1" w:lastRow="0" w:firstColumn="1" w:lastColumn="0" w:noHBand="0" w:noVBand="1"/>
      </w:tblPr>
      <w:tblGrid>
        <w:gridCol w:w="9061"/>
      </w:tblGrid>
      <w:tr w:rsidR="00F23ACE" w:rsidRPr="00EE22B8" w14:paraId="461B04FA" w14:textId="77777777">
        <w:tc>
          <w:tcPr>
            <w:tcW w:w="9061" w:type="dxa"/>
          </w:tcPr>
          <w:p w14:paraId="71EA59F2" w14:textId="77777777" w:rsidR="00F23ACE" w:rsidRPr="00EE22B8" w:rsidRDefault="00F23ACE" w:rsidP="00F23ACE">
            <w:r w:rsidRPr="00EE22B8">
              <w:t>La commission recommande au Conseil:</w:t>
            </w:r>
          </w:p>
          <w:p w14:paraId="468999DE" w14:textId="27D46FC9" w:rsidR="00F23ACE" w:rsidRPr="00EE22B8" w:rsidRDefault="00F23ACE" w:rsidP="00F23ACE">
            <w:pPr>
              <w:pStyle w:val="enumlev1"/>
            </w:pPr>
            <w:r w:rsidRPr="00EE22B8">
              <w:t>•</w:t>
            </w:r>
            <w:r w:rsidRPr="00EE22B8">
              <w:tab/>
              <w:t xml:space="preserve">de prendre note du rapport figurant dans le </w:t>
            </w:r>
            <w:r w:rsidR="002E38D5" w:rsidRPr="002E38D5">
              <w:t xml:space="preserve">Document </w:t>
            </w:r>
            <w:hyperlink r:id="rId111" w:history="1">
              <w:proofErr w:type="spellStart"/>
              <w:r w:rsidRPr="00EE22B8">
                <w:rPr>
                  <w:rStyle w:val="Hyperlink"/>
                </w:rPr>
                <w:t>C25</w:t>
              </w:r>
              <w:proofErr w:type="spellEnd"/>
              <w:r w:rsidRPr="00EE22B8">
                <w:rPr>
                  <w:rStyle w:val="Hyperlink"/>
                </w:rPr>
                <w:t>/43</w:t>
              </w:r>
            </w:hyperlink>
            <w:r w:rsidRPr="00EE22B8">
              <w:t xml:space="preserve">; et </w:t>
            </w:r>
          </w:p>
          <w:p w14:paraId="5133AA59" w14:textId="44588B20" w:rsidR="00F23ACE" w:rsidRPr="00EE22B8" w:rsidRDefault="00F23ACE" w:rsidP="002E38D5">
            <w:pPr>
              <w:pStyle w:val="enumlev1"/>
              <w:spacing w:after="120"/>
              <w:jc w:val="both"/>
            </w:pPr>
            <w:r w:rsidRPr="00EE22B8">
              <w:t>•</w:t>
            </w:r>
            <w:r w:rsidRPr="00EE22B8">
              <w:tab/>
              <w:t xml:space="preserve">d'adopter le projet de résolution figurant dans le </w:t>
            </w:r>
            <w:r w:rsidR="002E38D5" w:rsidRPr="002E38D5">
              <w:t xml:space="preserve">Document </w:t>
            </w:r>
            <w:hyperlink r:id="rId112" w:history="1">
              <w:proofErr w:type="spellStart"/>
              <w:r w:rsidRPr="00EE22B8">
                <w:rPr>
                  <w:rStyle w:val="Hyperlink"/>
                </w:rPr>
                <w:t>C25</w:t>
              </w:r>
              <w:proofErr w:type="spellEnd"/>
              <w:r w:rsidRPr="00EE22B8">
                <w:rPr>
                  <w:rStyle w:val="Hyperlink"/>
                </w:rPr>
                <w:t>/DL/8</w:t>
              </w:r>
            </w:hyperlink>
            <w:r w:rsidRPr="00EE22B8">
              <w:t xml:space="preserve"> et dans l'Annexe J du présent rapport.</w:t>
            </w:r>
          </w:p>
        </w:tc>
      </w:tr>
    </w:tbl>
    <w:p w14:paraId="34F18C61" w14:textId="0AD62EFC" w:rsidR="00F23ACE" w:rsidRPr="00EE22B8" w:rsidRDefault="009C74B3" w:rsidP="009C74B3">
      <w:pPr>
        <w:pStyle w:val="Headingb"/>
        <w:spacing w:after="120"/>
        <w:ind w:left="0" w:firstLine="0"/>
        <w:rPr>
          <w:bCs/>
        </w:rPr>
      </w:pPr>
      <w:r w:rsidRPr="00EE22B8">
        <w:rPr>
          <w:bCs/>
        </w:rPr>
        <w:t>Projet de budget biennal de l'Union internationale des télécommunications pour</w:t>
      </w:r>
      <w:r w:rsidR="00EE22B8" w:rsidRPr="00EE22B8">
        <w:rPr>
          <w:bCs/>
        </w:rPr>
        <w:t> </w:t>
      </w:r>
      <w:r w:rsidRPr="00EE22B8">
        <w:rPr>
          <w:bCs/>
        </w:rPr>
        <w:t>2026</w:t>
      </w:r>
      <w:r w:rsidR="00EE22B8" w:rsidRPr="00EE22B8">
        <w:rPr>
          <w:bCs/>
        </w:rPr>
        <w:noBreakHyphen/>
      </w:r>
      <w:r w:rsidRPr="00EE22B8">
        <w:rPr>
          <w:bCs/>
        </w:rPr>
        <w:t>2027 (</w:t>
      </w:r>
      <w:r w:rsidRPr="008045BA">
        <w:rPr>
          <w:bCs/>
        </w:rPr>
        <w:t>Document</w:t>
      </w:r>
      <w:r w:rsidR="008045BA">
        <w:rPr>
          <w:bCs/>
        </w:rPr>
        <w:t>s</w:t>
      </w:r>
      <w:r w:rsidRPr="008045BA">
        <w:rPr>
          <w:bCs/>
        </w:rPr>
        <w:t xml:space="preserve"> </w:t>
      </w:r>
      <w:hyperlink r:id="rId113" w:history="1">
        <w:r w:rsidRPr="008045BA">
          <w:rPr>
            <w:rStyle w:val="Hyperlink"/>
            <w:rFonts w:eastAsia="Times New Roman" w:cs="Times New Roman"/>
            <w:bCs/>
            <w:szCs w:val="20"/>
          </w:rPr>
          <w:t>C25/47</w:t>
        </w:r>
      </w:hyperlink>
      <w:r w:rsidR="008045BA">
        <w:rPr>
          <w:bCs/>
        </w:rPr>
        <w:t xml:space="preserve"> et </w:t>
      </w:r>
      <w:hyperlink r:id="rId114" w:history="1">
        <w:r w:rsidR="008045BA" w:rsidRPr="008045BA">
          <w:rPr>
            <w:rStyle w:val="Hyperlink"/>
            <w:rFonts w:eastAsia="Times New Roman" w:cs="Times New Roman"/>
            <w:bCs/>
            <w:szCs w:val="20"/>
          </w:rPr>
          <w:t>DT/5(Rév.1)</w:t>
        </w:r>
      </w:hyperlink>
      <w:r w:rsidRPr="00EE22B8">
        <w:rPr>
          <w:bCs/>
        </w:rPr>
        <w:t>)</w:t>
      </w:r>
    </w:p>
    <w:tbl>
      <w:tblPr>
        <w:tblStyle w:val="TableGrid"/>
        <w:tblW w:w="0" w:type="auto"/>
        <w:tblLook w:val="04A0" w:firstRow="1" w:lastRow="0" w:firstColumn="1" w:lastColumn="0" w:noHBand="0" w:noVBand="1"/>
      </w:tblPr>
      <w:tblGrid>
        <w:gridCol w:w="9061"/>
      </w:tblGrid>
      <w:tr w:rsidR="009C74B3" w:rsidRPr="00EE22B8" w14:paraId="1CA0C970" w14:textId="77777777">
        <w:tc>
          <w:tcPr>
            <w:tcW w:w="9061" w:type="dxa"/>
          </w:tcPr>
          <w:p w14:paraId="282A597C" w14:textId="77777777" w:rsidR="009C74B3" w:rsidRPr="00EE22B8" w:rsidRDefault="009C74B3" w:rsidP="009C74B3">
            <w:r w:rsidRPr="00EE22B8">
              <w:t>La commission recommande:</w:t>
            </w:r>
          </w:p>
          <w:p w14:paraId="7BB7B5F2" w14:textId="77777777" w:rsidR="009C74B3" w:rsidRPr="00EE22B8" w:rsidRDefault="009C74B3" w:rsidP="002E38D5">
            <w:pPr>
              <w:pStyle w:val="enumlev1"/>
              <w:jc w:val="both"/>
            </w:pPr>
            <w:r w:rsidRPr="00EE22B8">
              <w:t>•</w:t>
            </w:r>
            <w:r w:rsidRPr="00EE22B8">
              <w:tab/>
              <w:t>que le Conseil approuve le projet de budget biennal de l'Union pour 2026-2027, tel qu'il figure dans la résolution reproduite dans l'Annexe K du présent rapport; et</w:t>
            </w:r>
          </w:p>
          <w:p w14:paraId="434A836D" w14:textId="4DD8242E" w:rsidR="009C74B3" w:rsidRPr="00EE22B8" w:rsidRDefault="009C74B3" w:rsidP="002E38D5">
            <w:pPr>
              <w:pStyle w:val="enumlev1"/>
              <w:spacing w:after="120"/>
              <w:jc w:val="both"/>
            </w:pPr>
            <w:r w:rsidRPr="00EE22B8">
              <w:t>•</w:t>
            </w:r>
            <w:r w:rsidRPr="00EE22B8">
              <w:tab/>
              <w:t xml:space="preserve">que, dans le cadre de la réduction globale effectuée par le secrétariat conformément au Tableau 1 de la </w:t>
            </w:r>
            <w:r w:rsidR="000F1492">
              <w:t>R</w:t>
            </w:r>
            <w:r w:rsidRPr="00EE22B8">
              <w:t>ésolution, priorité soit donnée à la capacité des trois Secteurs de poursuivre efficacement la mise en œuvre de leurs mandats, et qu'il soit rendu compte des mesures prises au GTC-FHR.</w:t>
            </w:r>
          </w:p>
        </w:tc>
      </w:tr>
    </w:tbl>
    <w:p w14:paraId="2FEC2F7F" w14:textId="21AC4E5F" w:rsidR="009C74B3" w:rsidRPr="00EE22B8" w:rsidRDefault="009C74B3" w:rsidP="009C74B3">
      <w:pPr>
        <w:pStyle w:val="Headingb"/>
        <w:spacing w:after="120"/>
        <w:ind w:left="0" w:firstLine="0"/>
        <w:rPr>
          <w:bCs/>
        </w:rPr>
      </w:pPr>
      <w:r w:rsidRPr="00EE22B8">
        <w:rPr>
          <w:bCs/>
        </w:rPr>
        <w:t>Proposition de maintien ou d'augmentation du budget alloué aux bourses à l'UIT pour l'exercice biennal 2026-2027 (</w:t>
      </w:r>
      <w:r w:rsidR="008E047F" w:rsidRPr="008E047F">
        <w:rPr>
          <w:bCs/>
        </w:rPr>
        <w:t xml:space="preserve">Document </w:t>
      </w:r>
      <w:hyperlink r:id="rId115" w:history="1">
        <w:proofErr w:type="spellStart"/>
        <w:r w:rsidRPr="00EE22B8">
          <w:rPr>
            <w:rStyle w:val="Hyperlink"/>
            <w:rFonts w:eastAsia="Times New Roman" w:cs="Times New Roman"/>
            <w:bCs/>
            <w:szCs w:val="20"/>
          </w:rPr>
          <w:t>C25</w:t>
        </w:r>
        <w:proofErr w:type="spellEnd"/>
        <w:r w:rsidRPr="00EE22B8">
          <w:rPr>
            <w:rStyle w:val="Hyperlink"/>
            <w:rFonts w:eastAsia="Times New Roman" w:cs="Times New Roman"/>
            <w:bCs/>
            <w:szCs w:val="20"/>
          </w:rPr>
          <w:t>/75</w:t>
        </w:r>
      </w:hyperlink>
      <w:r w:rsidRPr="00EE22B8">
        <w:rPr>
          <w:bCs/>
        </w:rPr>
        <w:t>)</w:t>
      </w:r>
    </w:p>
    <w:tbl>
      <w:tblPr>
        <w:tblStyle w:val="TableGrid"/>
        <w:tblW w:w="0" w:type="auto"/>
        <w:tblLook w:val="04A0" w:firstRow="1" w:lastRow="0" w:firstColumn="1" w:lastColumn="0" w:noHBand="0" w:noVBand="1"/>
      </w:tblPr>
      <w:tblGrid>
        <w:gridCol w:w="9061"/>
      </w:tblGrid>
      <w:tr w:rsidR="009C74B3" w:rsidRPr="00EE22B8" w14:paraId="44929F91" w14:textId="77777777">
        <w:tc>
          <w:tcPr>
            <w:tcW w:w="9061" w:type="dxa"/>
          </w:tcPr>
          <w:p w14:paraId="656DE90E" w14:textId="526EBD58" w:rsidR="009C74B3" w:rsidRPr="00EE22B8" w:rsidRDefault="009C74B3" w:rsidP="009C74B3">
            <w:pPr>
              <w:spacing w:after="120"/>
            </w:pPr>
            <w:r w:rsidRPr="00EE22B8">
              <w:t>La commission recommande au Conseil de prendre note du</w:t>
            </w:r>
            <w:r w:rsidR="008E047F">
              <w:t xml:space="preserve"> </w:t>
            </w:r>
            <w:r w:rsidR="008E047F" w:rsidRPr="008E047F">
              <w:t xml:space="preserve">Document </w:t>
            </w:r>
            <w:hyperlink r:id="rId116" w:history="1">
              <w:proofErr w:type="spellStart"/>
              <w:r w:rsidRPr="00EE22B8">
                <w:rPr>
                  <w:rStyle w:val="Hyperlink"/>
                </w:rPr>
                <w:t>C25</w:t>
              </w:r>
              <w:proofErr w:type="spellEnd"/>
              <w:r w:rsidRPr="00EE22B8">
                <w:rPr>
                  <w:rStyle w:val="Hyperlink"/>
                </w:rPr>
                <w:t>/75</w:t>
              </w:r>
            </w:hyperlink>
            <w:r w:rsidRPr="00EE22B8">
              <w:t>.</w:t>
            </w:r>
          </w:p>
        </w:tc>
      </w:tr>
    </w:tbl>
    <w:p w14:paraId="66E8D25D" w14:textId="77777777" w:rsidR="009C74B3" w:rsidRPr="00EE22B8" w:rsidRDefault="009C74B3" w:rsidP="009C74B3">
      <w:r w:rsidRPr="00EE22B8">
        <w:t>5.5</w:t>
      </w:r>
      <w:r w:rsidRPr="00EE22B8">
        <w:tab/>
        <w:t xml:space="preserve">En approuvant les recommandations susmentionnées, le Conseil </w:t>
      </w:r>
      <w:r w:rsidRPr="00EE22B8">
        <w:rPr>
          <w:b/>
          <w:bCs/>
        </w:rPr>
        <w:t>adopte</w:t>
      </w:r>
      <w:r w:rsidRPr="00EE22B8">
        <w:t xml:space="preserve"> donc les textes suivants qui figurent dans le Document C25/105(Rév.1):</w:t>
      </w:r>
    </w:p>
    <w:p w14:paraId="0CDB2D8E" w14:textId="4BFF1617" w:rsidR="009C74B3" w:rsidRPr="00EE22B8" w:rsidRDefault="009C74B3" w:rsidP="00731804">
      <w:pPr>
        <w:pStyle w:val="enumlev2"/>
        <w:ind w:left="1701" w:hanging="1134"/>
        <w:jc w:val="both"/>
      </w:pPr>
      <w:r w:rsidRPr="00EE22B8">
        <w:t>Annexe A – Mandat pour l'examen de la présence régionale de l'UIT.</w:t>
      </w:r>
    </w:p>
    <w:p w14:paraId="4F6F460D" w14:textId="078042E1" w:rsidR="009C74B3" w:rsidRPr="00EE22B8" w:rsidRDefault="009C74B3" w:rsidP="00731804">
      <w:pPr>
        <w:pStyle w:val="enumlev2"/>
        <w:ind w:left="1701" w:hanging="1134"/>
        <w:jc w:val="both"/>
      </w:pPr>
      <w:r w:rsidRPr="00EE22B8">
        <w:t>Annexe B – Lignes directrices sur la gestion des réunions entièrement virtuelles et des réunions physiques avec participation à distance.</w:t>
      </w:r>
    </w:p>
    <w:p w14:paraId="7ADF33AA" w14:textId="3DB13788" w:rsidR="009C74B3" w:rsidRPr="00EE22B8" w:rsidRDefault="009C74B3" w:rsidP="00731804">
      <w:pPr>
        <w:pStyle w:val="enumlev2"/>
        <w:ind w:left="1701" w:hanging="1134"/>
        <w:jc w:val="both"/>
      </w:pPr>
      <w:r w:rsidRPr="00EE22B8">
        <w:t>Annexe C</w:t>
      </w:r>
      <w:r w:rsidR="008E047F">
        <w:t> </w:t>
      </w:r>
      <w:r w:rsidRPr="00EE22B8">
        <w:t>–</w:t>
      </w:r>
      <w:r w:rsidR="008E047F">
        <w:t> </w:t>
      </w:r>
      <w:r w:rsidRPr="00EE22B8">
        <w:t>Projet de Résolution sur le rapport de gestion financière et les États</w:t>
      </w:r>
      <w:r w:rsidR="0067556B" w:rsidRPr="00EE22B8">
        <w:t> </w:t>
      </w:r>
      <w:r w:rsidRPr="00EE22B8">
        <w:t>financiers vérifiés pour l'exercice 2024.</w:t>
      </w:r>
    </w:p>
    <w:p w14:paraId="5FCE03E1" w14:textId="69F9FF8C" w:rsidR="009C74B3" w:rsidRPr="00EE22B8" w:rsidRDefault="009C74B3" w:rsidP="00731804">
      <w:pPr>
        <w:pStyle w:val="enumlev2"/>
        <w:ind w:left="1701" w:hanging="1134"/>
        <w:jc w:val="both"/>
      </w:pPr>
      <w:r w:rsidRPr="00EE22B8">
        <w:t>Annexe D</w:t>
      </w:r>
      <w:r w:rsidR="008E047F">
        <w:t> </w:t>
      </w:r>
      <w:r w:rsidRPr="00EE22B8">
        <w:t>–</w:t>
      </w:r>
      <w:r w:rsidR="008E047F">
        <w:t> </w:t>
      </w:r>
      <w:r w:rsidRPr="00EE22B8">
        <w:t>Projet de Décision sur le renouvellement du mandat du Vérificateur extérieur des comptes (Bureau national de contrôle des finances publiques du Royaume-Uni) pour une durée de deux ans.</w:t>
      </w:r>
    </w:p>
    <w:p w14:paraId="7D77CA24" w14:textId="3A709B60" w:rsidR="009C74B3" w:rsidRPr="00EE22B8" w:rsidRDefault="009C74B3" w:rsidP="00731804">
      <w:pPr>
        <w:pStyle w:val="enumlev2"/>
        <w:ind w:left="1701" w:hanging="1134"/>
        <w:jc w:val="both"/>
      </w:pPr>
      <w:r w:rsidRPr="00EE22B8">
        <w:t xml:space="preserve">Annexe E – </w:t>
      </w:r>
      <w:r w:rsidRPr="00EE22B8">
        <w:tab/>
        <w:t>Projet de Résolution sur les conditions d'emploi des fonctionnaires élus de l'UIT.</w:t>
      </w:r>
    </w:p>
    <w:p w14:paraId="7792CD7F" w14:textId="0D058533" w:rsidR="009C74B3" w:rsidRPr="00EE22B8" w:rsidRDefault="009C74B3" w:rsidP="00731804">
      <w:pPr>
        <w:pStyle w:val="enumlev2"/>
        <w:ind w:left="1701" w:hanging="1134"/>
        <w:jc w:val="both"/>
      </w:pPr>
      <w:r w:rsidRPr="00EE22B8">
        <w:t xml:space="preserve">Annexe F – </w:t>
      </w:r>
      <w:r w:rsidRPr="00EE22B8">
        <w:tab/>
        <w:t>Projet de Décision sur la passation par pertes et profits d'intérêts moratoires et de créances irrécupérables.</w:t>
      </w:r>
    </w:p>
    <w:p w14:paraId="55E27C3E" w14:textId="27D3A868" w:rsidR="009C74B3" w:rsidRPr="00EE22B8" w:rsidRDefault="009C74B3" w:rsidP="00731804">
      <w:pPr>
        <w:pStyle w:val="enumlev2"/>
        <w:ind w:left="1701" w:hanging="1134"/>
        <w:jc w:val="both"/>
      </w:pPr>
      <w:r w:rsidRPr="00EE22B8">
        <w:t>Annexe G – Procédures applicables au traitement des allégations de faute à l'encontre des fonctionnaires élus de l'UIT.</w:t>
      </w:r>
    </w:p>
    <w:p w14:paraId="6CC54125" w14:textId="7DF05E11" w:rsidR="009C74B3" w:rsidRPr="00EE22B8" w:rsidRDefault="009C74B3" w:rsidP="00731804">
      <w:pPr>
        <w:pStyle w:val="enumlev2"/>
        <w:ind w:left="1701" w:hanging="1134"/>
        <w:jc w:val="both"/>
      </w:pPr>
      <w:r w:rsidRPr="00EE22B8">
        <w:t>Annexe H – Recommandation relative à la présence régionale.</w:t>
      </w:r>
    </w:p>
    <w:p w14:paraId="6661147C" w14:textId="0955AC8A" w:rsidR="009C74B3" w:rsidRPr="00EE22B8" w:rsidRDefault="009C74B3" w:rsidP="00731804">
      <w:pPr>
        <w:pStyle w:val="enumlev2"/>
        <w:ind w:left="1701" w:hanging="1134"/>
        <w:jc w:val="both"/>
      </w:pPr>
      <w:r w:rsidRPr="00EE22B8">
        <w:t>Annexe I – Décision 482 (C01, dernière mod. C25) sur la mise en œuvre du recouvrement des coûts pour le traitement des fiches de notification des réseaux à satellite.</w:t>
      </w:r>
    </w:p>
    <w:p w14:paraId="355BD68E" w14:textId="36C8CF13" w:rsidR="009C74B3" w:rsidRPr="00EE22B8" w:rsidRDefault="009C74B3" w:rsidP="00731804">
      <w:pPr>
        <w:pStyle w:val="enumlev2"/>
        <w:ind w:left="1701" w:hanging="1134"/>
        <w:jc w:val="both"/>
      </w:pPr>
      <w:r w:rsidRPr="00EE22B8">
        <w:lastRenderedPageBreak/>
        <w:t>Annexe J – Projet de Résolution sur l'affectation des économies réalisées dans le cadre de l'exécution du budget pour 2024.</w:t>
      </w:r>
    </w:p>
    <w:p w14:paraId="1F42C294" w14:textId="50BCD46F" w:rsidR="009C74B3" w:rsidRPr="00EE22B8" w:rsidRDefault="009C74B3" w:rsidP="00731804">
      <w:pPr>
        <w:pStyle w:val="enumlev2"/>
        <w:ind w:left="1701" w:hanging="1134"/>
        <w:jc w:val="both"/>
      </w:pPr>
      <w:r w:rsidRPr="00EE22B8">
        <w:t>Annexe K – Projet de Résolution sur le budget biennal de l'Union pour 2026-2027.</w:t>
      </w:r>
    </w:p>
    <w:p w14:paraId="5F2F7C0F" w14:textId="77777777" w:rsidR="009C74B3" w:rsidRPr="00EE22B8" w:rsidRDefault="009C74B3" w:rsidP="008E047F">
      <w:pPr>
        <w:jc w:val="both"/>
      </w:pPr>
      <w:r w:rsidRPr="00EE22B8">
        <w:t>5.6</w:t>
      </w:r>
      <w:r w:rsidRPr="00EE22B8">
        <w:tab/>
        <w:t xml:space="preserve">Le rapport de la Présidente de la Commission ADM (Document C25/105(Rév.1)), dans son ensemble, est </w:t>
      </w:r>
      <w:r w:rsidRPr="00EE22B8">
        <w:rPr>
          <w:b/>
          <w:bCs/>
        </w:rPr>
        <w:t>approuvé</w:t>
      </w:r>
      <w:r w:rsidRPr="00EE22B8">
        <w:t>.</w:t>
      </w:r>
    </w:p>
    <w:p w14:paraId="3BB7328D" w14:textId="77777777" w:rsidR="009C74B3" w:rsidRPr="00EE22B8" w:rsidRDefault="009C74B3" w:rsidP="008E047F">
      <w:pPr>
        <w:jc w:val="both"/>
      </w:pPr>
      <w:r w:rsidRPr="00EE22B8">
        <w:t>5.7</w:t>
      </w:r>
      <w:r w:rsidRPr="00EE22B8">
        <w:tab/>
        <w:t>La Présidente de la Commission ADM remercie les États Membres pour leur coopération et leur travail acharné, ainsi que le secrétariat pour son appui.</w:t>
      </w:r>
    </w:p>
    <w:p w14:paraId="7E1B22A9" w14:textId="77777777" w:rsidR="009C74B3" w:rsidRPr="00EE22B8" w:rsidRDefault="009C74B3" w:rsidP="009C74B3">
      <w:pPr>
        <w:pStyle w:val="Heading1"/>
      </w:pPr>
      <w:r w:rsidRPr="00EE22B8">
        <w:t>6</w:t>
      </w:r>
      <w:r w:rsidRPr="00EE22B8">
        <w:tab/>
        <w:t>Clôture de la session du Conseil</w:t>
      </w:r>
    </w:p>
    <w:p w14:paraId="720DAC9F" w14:textId="72D24A35" w:rsidR="009C74B3" w:rsidRPr="003E20D8" w:rsidRDefault="009C74B3" w:rsidP="008E047F">
      <w:pPr>
        <w:jc w:val="both"/>
        <w:rPr>
          <w:spacing w:val="-3"/>
        </w:rPr>
      </w:pPr>
      <w:r w:rsidRPr="003E20D8">
        <w:rPr>
          <w:spacing w:val="-3"/>
        </w:rPr>
        <w:t>6.1</w:t>
      </w:r>
      <w:r w:rsidRPr="003E20D8">
        <w:rPr>
          <w:spacing w:val="-3"/>
        </w:rPr>
        <w:tab/>
        <w:t xml:space="preserve">La Secrétaire générale prononce l'allocution reproduite à l'adresse suivante: </w:t>
      </w:r>
      <w:hyperlink r:id="rId117" w:history="1">
        <w:r w:rsidRPr="003E20D8">
          <w:rPr>
            <w:rStyle w:val="Hyperlink"/>
            <w:rFonts w:eastAsia="Times New Roman" w:cs="Times New Roman"/>
            <w:spacing w:val="-3"/>
            <w:szCs w:val="20"/>
          </w:rPr>
          <w:t>council.itu.int/2025/wp-content/uploads/sites/5/2025/07/Statement-SG-closing-speech-e.pdf</w:t>
        </w:r>
      </w:hyperlink>
      <w:r w:rsidRPr="003E20D8">
        <w:rPr>
          <w:spacing w:val="-3"/>
        </w:rPr>
        <w:t>.</w:t>
      </w:r>
    </w:p>
    <w:p w14:paraId="11A43A17" w14:textId="0692DA1E" w:rsidR="009C74B3" w:rsidRPr="00EE22B8" w:rsidRDefault="009C74B3" w:rsidP="008E047F">
      <w:pPr>
        <w:jc w:val="both"/>
      </w:pPr>
      <w:r w:rsidRPr="00EE22B8">
        <w:t>6.2</w:t>
      </w:r>
      <w:r w:rsidRPr="00EE22B8">
        <w:tab/>
        <w:t xml:space="preserve">La Présidente prononce l'allocution reproduite à l'adresse suivante: </w:t>
      </w:r>
      <w:hyperlink r:id="rId118" w:history="1">
        <w:r w:rsidRPr="00EE22B8">
          <w:rPr>
            <w:rStyle w:val="Hyperlink"/>
            <w:rFonts w:eastAsia="Times New Roman" w:cs="Times New Roman"/>
            <w:szCs w:val="20"/>
          </w:rPr>
          <w:t>council.itu.int/2025/wp-content/uploads/sites/5/2025/07/Statement-Chair-C25-closing-270625-e.pdf</w:t>
        </w:r>
      </w:hyperlink>
      <w:r w:rsidRPr="00EE22B8">
        <w:t>.</w:t>
      </w:r>
    </w:p>
    <w:p w14:paraId="64552E3D" w14:textId="06D318A2" w:rsidR="009C74B3" w:rsidRPr="00EE22B8" w:rsidRDefault="009C74B3" w:rsidP="008E047F">
      <w:pPr>
        <w:jc w:val="both"/>
      </w:pPr>
      <w:r w:rsidRPr="00EE22B8">
        <w:t>6.3</w:t>
      </w:r>
      <w:r w:rsidRPr="00EE22B8">
        <w:tab/>
        <w:t>De nombreux conseillers et observateurs, dont deux s</w:t>
      </w:r>
      <w:r w:rsidR="00230F38" w:rsidRPr="00EE22B8">
        <w:t>'</w:t>
      </w:r>
      <w:r w:rsidRPr="00EE22B8">
        <w:t>exprimant au nom de leur organisation régionale de télécommunication respective, félicitent la Présidente, la plus jeune de l</w:t>
      </w:r>
      <w:r w:rsidR="00230F38" w:rsidRPr="00EE22B8">
        <w:t>'</w:t>
      </w:r>
      <w:r w:rsidRPr="00EE22B8">
        <w:t xml:space="preserve">histoire du Conseil, pour la compétence avec laquelle elle a dirigé les débats de la session de 2025 du Conseil. Ils remercient également le Vice-Président du Conseil, la Présidente et le Vice-Président de la Commission ADM, les fonctionnaires élus, la </w:t>
      </w:r>
      <w:r w:rsidR="000F1492">
        <w:t>S</w:t>
      </w:r>
      <w:r w:rsidRPr="00EE22B8">
        <w:t>ecrétaire de la plénière et l'ensemble du secrétariat pour leur précieux soutien, ainsi que les équipes techniques, notamment les interprètes et les techniciens, qui ont contribué au bon déroulement de la session.</w:t>
      </w:r>
    </w:p>
    <w:p w14:paraId="32DBC89B" w14:textId="77777777" w:rsidR="009C74B3" w:rsidRPr="00EE22B8" w:rsidRDefault="009C74B3" w:rsidP="008E047F">
      <w:pPr>
        <w:jc w:val="both"/>
      </w:pPr>
      <w:r w:rsidRPr="00EE22B8">
        <w:t>6.4</w:t>
      </w:r>
      <w:r w:rsidRPr="00EE22B8">
        <w:tab/>
        <w:t>Une vidéo est projetée pour présenter les temps forts de la session de 2025 du Conseil.</w:t>
      </w:r>
    </w:p>
    <w:p w14:paraId="34ABB21C" w14:textId="77777777" w:rsidR="009C74B3" w:rsidRPr="00EE22B8" w:rsidRDefault="009C74B3" w:rsidP="008E047F">
      <w:pPr>
        <w:jc w:val="both"/>
      </w:pPr>
      <w:r w:rsidRPr="00EE22B8">
        <w:t>6.5</w:t>
      </w:r>
      <w:r w:rsidRPr="00EE22B8">
        <w:tab/>
        <w:t>La Secrétaire générale offre un marteau à la Présidente du Conseil en reconnaissance de son excellente conduite des travaux du Conseil et de la Commission.</w:t>
      </w:r>
    </w:p>
    <w:p w14:paraId="4E0B23A6" w14:textId="39DCA0CF" w:rsidR="009C74B3" w:rsidRPr="00EE22B8" w:rsidRDefault="009C74B3" w:rsidP="008E047F">
      <w:pPr>
        <w:jc w:val="both"/>
      </w:pPr>
      <w:r w:rsidRPr="00EE22B8">
        <w:t>6.6</w:t>
      </w:r>
      <w:r w:rsidRPr="00EE22B8">
        <w:tab/>
        <w:t xml:space="preserve">La Présidente </w:t>
      </w:r>
      <w:r w:rsidRPr="000F1492">
        <w:t>déclare close la</w:t>
      </w:r>
      <w:r w:rsidRPr="00EE22B8">
        <w:t xml:space="preserve"> session de 2025 du Conseil.</w:t>
      </w:r>
    </w:p>
    <w:p w14:paraId="03D8411B" w14:textId="77777777" w:rsidR="009C74B3" w:rsidRPr="00EE22B8" w:rsidRDefault="009C74B3" w:rsidP="009C74B3">
      <w:pPr>
        <w:tabs>
          <w:tab w:val="clear" w:pos="567"/>
          <w:tab w:val="clear" w:pos="1134"/>
          <w:tab w:val="clear" w:pos="1701"/>
          <w:tab w:val="clear" w:pos="2268"/>
          <w:tab w:val="clear" w:pos="2835"/>
          <w:tab w:val="left" w:pos="7088"/>
        </w:tabs>
        <w:spacing w:before="840"/>
      </w:pPr>
      <w:r w:rsidRPr="00EE22B8">
        <w:t>La Secrétaire générale:</w:t>
      </w:r>
      <w:r w:rsidRPr="00EE22B8">
        <w:tab/>
        <w:t>La Présidente:</w:t>
      </w:r>
    </w:p>
    <w:p w14:paraId="0270C352" w14:textId="1A464C7A" w:rsidR="009C74B3" w:rsidRPr="00731804" w:rsidRDefault="009C74B3" w:rsidP="009C74B3">
      <w:pPr>
        <w:tabs>
          <w:tab w:val="clear" w:pos="567"/>
          <w:tab w:val="clear" w:pos="1134"/>
          <w:tab w:val="clear" w:pos="1701"/>
          <w:tab w:val="clear" w:pos="2268"/>
          <w:tab w:val="clear" w:pos="2835"/>
          <w:tab w:val="left" w:pos="7088"/>
        </w:tabs>
        <w:spacing w:before="0"/>
        <w:rPr>
          <w:lang w:val="en-GB"/>
        </w:rPr>
      </w:pPr>
      <w:r w:rsidRPr="00731804">
        <w:rPr>
          <w:lang w:val="en-GB"/>
        </w:rPr>
        <w:t>D. BOGDAN-MARTIN</w:t>
      </w:r>
      <w:r w:rsidRPr="00731804">
        <w:rPr>
          <w:lang w:val="en-GB"/>
        </w:rPr>
        <w:tab/>
        <w:t>C. FLUTUR</w:t>
      </w:r>
    </w:p>
    <w:p w14:paraId="7CD97D73" w14:textId="5AA2A845" w:rsidR="008E047F" w:rsidRPr="00731804" w:rsidRDefault="008E047F" w:rsidP="008E047F">
      <w:pPr>
        <w:spacing w:before="600"/>
        <w:jc w:val="center"/>
        <w:rPr>
          <w:lang w:val="en-GB"/>
        </w:rPr>
      </w:pPr>
      <w:bookmarkStart w:id="1" w:name="_Hlk206164117"/>
      <w:r w:rsidRPr="00731804">
        <w:rPr>
          <w:lang w:val="en-GB"/>
        </w:rPr>
        <w:t>______________</w:t>
      </w:r>
      <w:bookmarkEnd w:id="1"/>
    </w:p>
    <w:sectPr w:rsidR="008E047F" w:rsidRPr="00731804" w:rsidSect="00D72F49">
      <w:headerReference w:type="even" r:id="rId119"/>
      <w:footerReference w:type="even" r:id="rId120"/>
      <w:footerReference w:type="default" r:id="rId121"/>
      <w:headerReference w:type="first" r:id="rId122"/>
      <w:footerReference w:type="first" r:id="rId12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D6AC" w14:textId="77777777" w:rsidR="00B365D8" w:rsidRDefault="00B365D8">
      <w:r>
        <w:separator/>
      </w:r>
    </w:p>
  </w:endnote>
  <w:endnote w:type="continuationSeparator" w:id="0">
    <w:p w14:paraId="0502B196" w14:textId="77777777" w:rsidR="00B365D8" w:rsidRDefault="00B3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3235" w14:textId="549BEDC7" w:rsidR="00732045" w:rsidRDefault="009510F2">
    <w:pPr>
      <w:pStyle w:val="Footer"/>
    </w:pPr>
    <w:fldSimple w:instr=" FILENAME \p \* MERGEFORMAT ">
      <w:r>
        <w:t>P:\FRA\gDoc\SG\C25\2501785F.docx</w:t>
      </w:r>
    </w:fldSimple>
    <w:r w:rsidR="00732045">
      <w:tab/>
    </w:r>
    <w:r w:rsidR="002F1B76">
      <w:fldChar w:fldCharType="begin"/>
    </w:r>
    <w:r w:rsidR="00732045">
      <w:instrText xml:space="preserve"> savedate \@ dd.MM.yy </w:instrText>
    </w:r>
    <w:r w:rsidR="002F1B76">
      <w:fldChar w:fldCharType="separate"/>
    </w:r>
    <w:r w:rsidR="00731804">
      <w:t>15.08.25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0A8898C" w14:textId="77777777" w:rsidTr="00E31DCE">
      <w:trPr>
        <w:jc w:val="center"/>
      </w:trPr>
      <w:tc>
        <w:tcPr>
          <w:tcW w:w="1803" w:type="dxa"/>
          <w:vAlign w:val="center"/>
        </w:tcPr>
        <w:p w14:paraId="10C24F86" w14:textId="0625B2D2" w:rsidR="00A51849" w:rsidRDefault="003800D9" w:rsidP="00A51849">
          <w:pPr>
            <w:pStyle w:val="Header"/>
            <w:jc w:val="left"/>
            <w:rPr>
              <w:noProof/>
            </w:rPr>
          </w:pPr>
          <w:r>
            <w:rPr>
              <w:noProof/>
            </w:rPr>
            <w:t>2501785</w:t>
          </w:r>
        </w:p>
      </w:tc>
      <w:tc>
        <w:tcPr>
          <w:tcW w:w="8261" w:type="dxa"/>
        </w:tcPr>
        <w:p w14:paraId="0971752A" w14:textId="18AC55F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C6D7D">
            <w:rPr>
              <w:bCs/>
            </w:rPr>
            <w:t>5</w:t>
          </w:r>
          <w:proofErr w:type="spellEnd"/>
          <w:r w:rsidRPr="00623AE3">
            <w:rPr>
              <w:bCs/>
            </w:rPr>
            <w:t>/</w:t>
          </w:r>
          <w:r w:rsidR="003800D9">
            <w:rPr>
              <w:bCs/>
            </w:rPr>
            <w:t>114</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CB1B007"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DE5AEC0" w14:textId="77777777" w:rsidTr="00E31DCE">
      <w:trPr>
        <w:jc w:val="center"/>
      </w:trPr>
      <w:tc>
        <w:tcPr>
          <w:tcW w:w="1803" w:type="dxa"/>
          <w:vAlign w:val="center"/>
        </w:tcPr>
        <w:p w14:paraId="07AF512E" w14:textId="77777777" w:rsidR="00A51849" w:rsidRPr="00FC6D7D" w:rsidRDefault="00FC6D7D" w:rsidP="00A51849">
          <w:pPr>
            <w:pStyle w:val="Header"/>
            <w:jc w:val="left"/>
            <w:rPr>
              <w:noProof/>
              <w:color w:val="0563C1"/>
            </w:rPr>
          </w:pPr>
          <w:hyperlink r:id="rId1" w:history="1">
            <w:proofErr w:type="spellStart"/>
            <w:r w:rsidRPr="00FC6D7D">
              <w:rPr>
                <w:rStyle w:val="Hyperlink"/>
              </w:rPr>
              <w:t>council.itu.int</w:t>
            </w:r>
            <w:proofErr w:type="spellEnd"/>
            <w:r w:rsidRPr="00FC6D7D">
              <w:rPr>
                <w:rStyle w:val="Hyperlink"/>
              </w:rPr>
              <w:t>/2025</w:t>
            </w:r>
          </w:hyperlink>
        </w:p>
      </w:tc>
      <w:tc>
        <w:tcPr>
          <w:tcW w:w="8261" w:type="dxa"/>
        </w:tcPr>
        <w:p w14:paraId="6BC9F5C0" w14:textId="7A27E1AF"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C6D7D">
            <w:rPr>
              <w:bCs/>
            </w:rPr>
            <w:t>5</w:t>
          </w:r>
          <w:proofErr w:type="spellEnd"/>
          <w:r w:rsidRPr="00623AE3">
            <w:rPr>
              <w:bCs/>
            </w:rPr>
            <w:t>/</w:t>
          </w:r>
          <w:r w:rsidR="000C7BDE">
            <w:rPr>
              <w:bCs/>
            </w:rPr>
            <w:t>114</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2F6DDA16"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3B1A" w14:textId="77777777" w:rsidR="00B365D8" w:rsidRDefault="00B365D8">
      <w:r>
        <w:t>____________________</w:t>
      </w:r>
    </w:p>
  </w:footnote>
  <w:footnote w:type="continuationSeparator" w:id="0">
    <w:p w14:paraId="59CDADFD" w14:textId="77777777" w:rsidR="00B365D8" w:rsidRDefault="00B36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EA4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792E5CA3"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314482CC" w14:textId="77777777" w:rsidTr="00D37B53">
      <w:trPr>
        <w:trHeight w:val="1104"/>
        <w:jc w:val="center"/>
      </w:trPr>
      <w:tc>
        <w:tcPr>
          <w:tcW w:w="5317" w:type="dxa"/>
          <w:vAlign w:val="center"/>
        </w:tcPr>
        <w:p w14:paraId="2543A4D6"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77882BB6" wp14:editId="3E01EA1E">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2F177086" w14:textId="77777777" w:rsidR="00524E8D" w:rsidRDefault="00524E8D" w:rsidP="00A51849">
          <w:pPr>
            <w:pStyle w:val="Header"/>
            <w:jc w:val="right"/>
            <w:rPr>
              <w:rFonts w:ascii="Arial" w:hAnsi="Arial" w:cs="Arial"/>
              <w:b/>
              <w:bCs/>
              <w:color w:val="009CD6"/>
              <w:szCs w:val="18"/>
            </w:rPr>
          </w:pPr>
        </w:p>
      </w:tc>
    </w:tr>
  </w:tbl>
  <w:p w14:paraId="2C5A95D7"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A7F4442" wp14:editId="2F6A7D22">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406FC"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D8"/>
    <w:rsid w:val="00021C25"/>
    <w:rsid w:val="000245BA"/>
    <w:rsid w:val="0007616D"/>
    <w:rsid w:val="00076A2C"/>
    <w:rsid w:val="000B22FB"/>
    <w:rsid w:val="000C7BDE"/>
    <w:rsid w:val="000D0D0A"/>
    <w:rsid w:val="000F1492"/>
    <w:rsid w:val="00103163"/>
    <w:rsid w:val="00106B19"/>
    <w:rsid w:val="001133EF"/>
    <w:rsid w:val="00115D93"/>
    <w:rsid w:val="001247A8"/>
    <w:rsid w:val="001370B2"/>
    <w:rsid w:val="001378C0"/>
    <w:rsid w:val="0015553E"/>
    <w:rsid w:val="00160FA0"/>
    <w:rsid w:val="00171B43"/>
    <w:rsid w:val="0018694A"/>
    <w:rsid w:val="001A3287"/>
    <w:rsid w:val="001A6508"/>
    <w:rsid w:val="001D4C31"/>
    <w:rsid w:val="001E4D21"/>
    <w:rsid w:val="00207CD1"/>
    <w:rsid w:val="00221EF3"/>
    <w:rsid w:val="00226657"/>
    <w:rsid w:val="00230F38"/>
    <w:rsid w:val="00243DDA"/>
    <w:rsid w:val="002477A2"/>
    <w:rsid w:val="00263A51"/>
    <w:rsid w:val="00265FB8"/>
    <w:rsid w:val="00267E02"/>
    <w:rsid w:val="002A5D44"/>
    <w:rsid w:val="002C3F32"/>
    <w:rsid w:val="002C4E3D"/>
    <w:rsid w:val="002E0BC4"/>
    <w:rsid w:val="002E38D5"/>
    <w:rsid w:val="002F1B76"/>
    <w:rsid w:val="0033568E"/>
    <w:rsid w:val="00355FF5"/>
    <w:rsid w:val="00361350"/>
    <w:rsid w:val="003800D9"/>
    <w:rsid w:val="00384F55"/>
    <w:rsid w:val="003C3FAE"/>
    <w:rsid w:val="003D6F72"/>
    <w:rsid w:val="003E20D8"/>
    <w:rsid w:val="004038CB"/>
    <w:rsid w:val="0040546F"/>
    <w:rsid w:val="004177BD"/>
    <w:rsid w:val="0042404A"/>
    <w:rsid w:val="0044618F"/>
    <w:rsid w:val="0046769A"/>
    <w:rsid w:val="00475FB3"/>
    <w:rsid w:val="004761E1"/>
    <w:rsid w:val="004C37A9"/>
    <w:rsid w:val="004D1D50"/>
    <w:rsid w:val="004D5A36"/>
    <w:rsid w:val="004F259E"/>
    <w:rsid w:val="00511F1D"/>
    <w:rsid w:val="00520E15"/>
    <w:rsid w:val="00520F36"/>
    <w:rsid w:val="00524E8D"/>
    <w:rsid w:val="00532DDB"/>
    <w:rsid w:val="00534E13"/>
    <w:rsid w:val="00540615"/>
    <w:rsid w:val="00540A6D"/>
    <w:rsid w:val="00566679"/>
    <w:rsid w:val="00571EEA"/>
    <w:rsid w:val="00575417"/>
    <w:rsid w:val="005768E1"/>
    <w:rsid w:val="00597EF5"/>
    <w:rsid w:val="005B1938"/>
    <w:rsid w:val="005C3890"/>
    <w:rsid w:val="005F7BFE"/>
    <w:rsid w:val="00600017"/>
    <w:rsid w:val="00614968"/>
    <w:rsid w:val="006151B9"/>
    <w:rsid w:val="006235CA"/>
    <w:rsid w:val="0062366E"/>
    <w:rsid w:val="00625A70"/>
    <w:rsid w:val="006643AB"/>
    <w:rsid w:val="0067556B"/>
    <w:rsid w:val="00675B75"/>
    <w:rsid w:val="006A11AE"/>
    <w:rsid w:val="006E15C3"/>
    <w:rsid w:val="006F0A53"/>
    <w:rsid w:val="007210CD"/>
    <w:rsid w:val="00731804"/>
    <w:rsid w:val="00732045"/>
    <w:rsid w:val="0073275D"/>
    <w:rsid w:val="007369DB"/>
    <w:rsid w:val="00770684"/>
    <w:rsid w:val="0077110E"/>
    <w:rsid w:val="007956C2"/>
    <w:rsid w:val="007A187E"/>
    <w:rsid w:val="007C72C2"/>
    <w:rsid w:val="007D4436"/>
    <w:rsid w:val="007E26EE"/>
    <w:rsid w:val="007F257A"/>
    <w:rsid w:val="007F3665"/>
    <w:rsid w:val="00800037"/>
    <w:rsid w:val="008045BA"/>
    <w:rsid w:val="0082299A"/>
    <w:rsid w:val="0083391C"/>
    <w:rsid w:val="00861D73"/>
    <w:rsid w:val="008635F4"/>
    <w:rsid w:val="00882919"/>
    <w:rsid w:val="00897553"/>
    <w:rsid w:val="008A4E87"/>
    <w:rsid w:val="008D76E6"/>
    <w:rsid w:val="008E047F"/>
    <w:rsid w:val="009017DD"/>
    <w:rsid w:val="0092392D"/>
    <w:rsid w:val="0093234A"/>
    <w:rsid w:val="00935C66"/>
    <w:rsid w:val="009474FC"/>
    <w:rsid w:val="009510F2"/>
    <w:rsid w:val="00956A78"/>
    <w:rsid w:val="0097363B"/>
    <w:rsid w:val="00973F53"/>
    <w:rsid w:val="00982010"/>
    <w:rsid w:val="009A6BAA"/>
    <w:rsid w:val="009C307F"/>
    <w:rsid w:val="009C353C"/>
    <w:rsid w:val="009C74B3"/>
    <w:rsid w:val="009F06D4"/>
    <w:rsid w:val="009F0FB8"/>
    <w:rsid w:val="00A2113E"/>
    <w:rsid w:val="00A23A51"/>
    <w:rsid w:val="00A24607"/>
    <w:rsid w:val="00A25CD3"/>
    <w:rsid w:val="00A51849"/>
    <w:rsid w:val="00A709FE"/>
    <w:rsid w:val="00A73C60"/>
    <w:rsid w:val="00A82767"/>
    <w:rsid w:val="00AA332F"/>
    <w:rsid w:val="00AA7BBB"/>
    <w:rsid w:val="00AB64A8"/>
    <w:rsid w:val="00AC0266"/>
    <w:rsid w:val="00AC7610"/>
    <w:rsid w:val="00AD24EC"/>
    <w:rsid w:val="00B27B00"/>
    <w:rsid w:val="00B309F9"/>
    <w:rsid w:val="00B32B60"/>
    <w:rsid w:val="00B365D8"/>
    <w:rsid w:val="00B51005"/>
    <w:rsid w:val="00B61619"/>
    <w:rsid w:val="00B65140"/>
    <w:rsid w:val="00BB4545"/>
    <w:rsid w:val="00BD5873"/>
    <w:rsid w:val="00BF4B60"/>
    <w:rsid w:val="00C049D7"/>
    <w:rsid w:val="00C04BE3"/>
    <w:rsid w:val="00C25D29"/>
    <w:rsid w:val="00C27A7C"/>
    <w:rsid w:val="00C42437"/>
    <w:rsid w:val="00C9477F"/>
    <w:rsid w:val="00CA08ED"/>
    <w:rsid w:val="00CA2F67"/>
    <w:rsid w:val="00CB7A71"/>
    <w:rsid w:val="00CC6EAA"/>
    <w:rsid w:val="00CF183B"/>
    <w:rsid w:val="00D01050"/>
    <w:rsid w:val="00D36E19"/>
    <w:rsid w:val="00D375CD"/>
    <w:rsid w:val="00D37B53"/>
    <w:rsid w:val="00D553A2"/>
    <w:rsid w:val="00D72F49"/>
    <w:rsid w:val="00D774D3"/>
    <w:rsid w:val="00D904E8"/>
    <w:rsid w:val="00DA08C3"/>
    <w:rsid w:val="00DA4555"/>
    <w:rsid w:val="00DB5A3E"/>
    <w:rsid w:val="00DC22AA"/>
    <w:rsid w:val="00DD1A99"/>
    <w:rsid w:val="00DF74DD"/>
    <w:rsid w:val="00E25AD0"/>
    <w:rsid w:val="00E4428F"/>
    <w:rsid w:val="00E47427"/>
    <w:rsid w:val="00E90F47"/>
    <w:rsid w:val="00E93668"/>
    <w:rsid w:val="00E95647"/>
    <w:rsid w:val="00EB6350"/>
    <w:rsid w:val="00EE22B8"/>
    <w:rsid w:val="00F07695"/>
    <w:rsid w:val="00F15B57"/>
    <w:rsid w:val="00F23ACE"/>
    <w:rsid w:val="00F3143D"/>
    <w:rsid w:val="00F31B2F"/>
    <w:rsid w:val="00F35EF4"/>
    <w:rsid w:val="00F37FE5"/>
    <w:rsid w:val="00F427DB"/>
    <w:rsid w:val="00FA5EB1"/>
    <w:rsid w:val="00FA7439"/>
    <w:rsid w:val="00FC18B2"/>
    <w:rsid w:val="00FC4EC0"/>
    <w:rsid w:val="00FC6D7D"/>
    <w:rsid w:val="00FF0181"/>
    <w:rsid w:val="00FF19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55A0B"/>
  <w15:docId w15:val="{E6F82194-2C45-4DBC-B3B7-EB874FDB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8635F4"/>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character" w:styleId="CommentReference">
    <w:name w:val="annotation reference"/>
    <w:basedOn w:val="DefaultParagraphFont"/>
    <w:semiHidden/>
    <w:unhideWhenUsed/>
    <w:rsid w:val="003800D9"/>
    <w:rPr>
      <w:sz w:val="16"/>
      <w:szCs w:val="16"/>
    </w:rPr>
  </w:style>
  <w:style w:type="paragraph" w:styleId="CommentText">
    <w:name w:val="annotation text"/>
    <w:basedOn w:val="Normal"/>
    <w:link w:val="CommentTextChar"/>
    <w:unhideWhenUsed/>
    <w:rsid w:val="003800D9"/>
    <w:rPr>
      <w:sz w:val="20"/>
    </w:rPr>
  </w:style>
  <w:style w:type="character" w:customStyle="1" w:styleId="CommentTextChar">
    <w:name w:val="Comment Text Char"/>
    <w:basedOn w:val="DefaultParagraphFont"/>
    <w:link w:val="CommentText"/>
    <w:rsid w:val="003800D9"/>
    <w:rPr>
      <w:rFonts w:ascii="Calibri" w:hAnsi="Calibri"/>
      <w:lang w:val="fr-FR" w:eastAsia="en-US"/>
    </w:rPr>
  </w:style>
  <w:style w:type="paragraph" w:styleId="CommentSubject">
    <w:name w:val="annotation subject"/>
    <w:basedOn w:val="CommentText"/>
    <w:next w:val="CommentText"/>
    <w:link w:val="CommentSubjectChar"/>
    <w:semiHidden/>
    <w:unhideWhenUsed/>
    <w:rsid w:val="003800D9"/>
    <w:rPr>
      <w:b/>
      <w:bCs/>
    </w:rPr>
  </w:style>
  <w:style w:type="character" w:customStyle="1" w:styleId="CommentSubjectChar">
    <w:name w:val="Comment Subject Char"/>
    <w:basedOn w:val="CommentTextChar"/>
    <w:link w:val="CommentSubject"/>
    <w:semiHidden/>
    <w:rsid w:val="003800D9"/>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5-CL-C-0040/fr" TargetMode="External"/><Relationship Id="rId117" Type="http://schemas.openxmlformats.org/officeDocument/2006/relationships/hyperlink" Target="https://council.itu.int/2025/wp-content/uploads/sites/5/2025/07/Statement-SG-closing-speech-e.pdf" TargetMode="External"/><Relationship Id="rId21" Type="http://schemas.openxmlformats.org/officeDocument/2006/relationships/hyperlink" Target="https://www.itu.int/md/S25-CL-C-0084/fr" TargetMode="External"/><Relationship Id="rId42" Type="http://schemas.openxmlformats.org/officeDocument/2006/relationships/hyperlink" Target="https://www.itu.int/md/S25-CL-C-0007/fr" TargetMode="External"/><Relationship Id="rId47" Type="http://schemas.openxmlformats.org/officeDocument/2006/relationships/hyperlink" Target="https://www.itu.int/md/S25-CL-C-0065/fr" TargetMode="External"/><Relationship Id="rId63" Type="http://schemas.openxmlformats.org/officeDocument/2006/relationships/hyperlink" Target="https://www.itu.int/md/S25-CL-C-0039/fr" TargetMode="External"/><Relationship Id="rId68" Type="http://schemas.openxmlformats.org/officeDocument/2006/relationships/hyperlink" Target="https://www.itu.int/md/S25-CL-C-0044/fr" TargetMode="External"/><Relationship Id="rId84" Type="http://schemas.openxmlformats.org/officeDocument/2006/relationships/hyperlink" Target="https://www.itu.int/md/S25-CL-C-0066/fr" TargetMode="External"/><Relationship Id="rId89" Type="http://schemas.openxmlformats.org/officeDocument/2006/relationships/hyperlink" Target="https://www.itu.int/md/S25-CL-C-0086/fr" TargetMode="External"/><Relationship Id="rId112" Type="http://schemas.openxmlformats.org/officeDocument/2006/relationships/hyperlink" Target="https://www.itu.int/md/S25-CL-250617-DL-0008/fr" TargetMode="External"/><Relationship Id="rId16" Type="http://schemas.openxmlformats.org/officeDocument/2006/relationships/hyperlink" Target="https://www.itu.int/md/S25-CL-C-0050/fr" TargetMode="External"/><Relationship Id="rId107" Type="http://schemas.openxmlformats.org/officeDocument/2006/relationships/hyperlink" Target="https://www.itu.int/md/S25-CL-C-0074/fr" TargetMode="External"/><Relationship Id="rId11" Type="http://schemas.openxmlformats.org/officeDocument/2006/relationships/hyperlink" Target="https://www.itu.int/md/S25-CL-C-0002/fr" TargetMode="External"/><Relationship Id="rId32" Type="http://schemas.openxmlformats.org/officeDocument/2006/relationships/hyperlink" Target="https://www.itu.int/md/S25-CL-C-0042/fr" TargetMode="External"/><Relationship Id="rId37" Type="http://schemas.openxmlformats.org/officeDocument/2006/relationships/hyperlink" Target="https://www.itu.int/md/S25-CL-C-0038/fr" TargetMode="External"/><Relationship Id="rId53" Type="http://schemas.openxmlformats.org/officeDocument/2006/relationships/hyperlink" Target="https://www.itu.int/md/S25-CL-C-0054/fr" TargetMode="External"/><Relationship Id="rId58" Type="http://schemas.openxmlformats.org/officeDocument/2006/relationships/hyperlink" Target="https://www.itu.int/md/S25-CL-C-0034/fr" TargetMode="External"/><Relationship Id="rId74" Type="http://schemas.openxmlformats.org/officeDocument/2006/relationships/hyperlink" Target="https://www.itu.int/md/S25-CL-C-0067/fr" TargetMode="External"/><Relationship Id="rId79" Type="http://schemas.openxmlformats.org/officeDocument/2006/relationships/hyperlink" Target="https://www.itu.int/md/S25-CL-C-0088/fr" TargetMode="External"/><Relationship Id="rId102" Type="http://schemas.openxmlformats.org/officeDocument/2006/relationships/hyperlink" Target="https://www.itu.int/md/S25-CL-C-0010/fr" TargetMode="External"/><Relationship Id="rId123" Type="http://schemas.openxmlformats.org/officeDocument/2006/relationships/footer" Target="footer3.xml"/><Relationship Id="rId5" Type="http://schemas.openxmlformats.org/officeDocument/2006/relationships/endnotes" Target="endnotes.xml"/><Relationship Id="rId90" Type="http://schemas.openxmlformats.org/officeDocument/2006/relationships/hyperlink" Target="https://www.itu.int/md/S25-CL-C-0086/fr" TargetMode="External"/><Relationship Id="rId95" Type="http://schemas.openxmlformats.org/officeDocument/2006/relationships/hyperlink" Target="https://www.itu.int/md/S25-CL-C-0049/fr" TargetMode="External"/><Relationship Id="rId22" Type="http://schemas.openxmlformats.org/officeDocument/2006/relationships/hyperlink" Target="https://www.itu.int/md/S25-CL-C-0095/fr" TargetMode="External"/><Relationship Id="rId27" Type="http://schemas.openxmlformats.org/officeDocument/2006/relationships/hyperlink" Target="https://www.itu.int/md/S25-CL-C-0040/fr" TargetMode="External"/><Relationship Id="rId43" Type="http://schemas.openxmlformats.org/officeDocument/2006/relationships/hyperlink" Target="https://www.itu.int/md/S25-CL-C-0048/fr" TargetMode="External"/><Relationship Id="rId48" Type="http://schemas.openxmlformats.org/officeDocument/2006/relationships/hyperlink" Target="https://www.itu.int/md/S25-CL-C-0065/fr" TargetMode="External"/><Relationship Id="rId64" Type="http://schemas.openxmlformats.org/officeDocument/2006/relationships/hyperlink" Target="https://www.itu.int/md/S25-CL-C-0099/fr" TargetMode="External"/><Relationship Id="rId69" Type="http://schemas.openxmlformats.org/officeDocument/2006/relationships/hyperlink" Target="https://www.itu.int/md/S25-CL-C-0102/fr" TargetMode="External"/><Relationship Id="rId113" Type="http://schemas.openxmlformats.org/officeDocument/2006/relationships/hyperlink" Target="https://www.itu.int/md/S25-CL-C-0047/fr" TargetMode="External"/><Relationship Id="rId118" Type="http://schemas.openxmlformats.org/officeDocument/2006/relationships/hyperlink" Target="https://council.itu.int/2025/wp-content/uploads/sites/5/2025/07/Statement-Chair-C25-closing-270625-e.pdf" TargetMode="External"/><Relationship Id="rId80" Type="http://schemas.openxmlformats.org/officeDocument/2006/relationships/hyperlink" Target="https://www.itu.int/md/S25-CL-C-0093/fr" TargetMode="External"/><Relationship Id="rId85" Type="http://schemas.openxmlformats.org/officeDocument/2006/relationships/hyperlink" Target="https://www.itu.int/md/S25-CL-C-0085/fr" TargetMode="External"/><Relationship Id="rId12" Type="http://schemas.openxmlformats.org/officeDocument/2006/relationships/hyperlink" Target="https://www.itu.int/md/S25-CL-C-0021/fr" TargetMode="External"/><Relationship Id="rId17" Type="http://schemas.openxmlformats.org/officeDocument/2006/relationships/hyperlink" Target="https://www.itu.int/md/S25-CL-250617-DL-0003/fr" TargetMode="External"/><Relationship Id="rId33" Type="http://schemas.openxmlformats.org/officeDocument/2006/relationships/hyperlink" Target="https://www.itu.int/md/S25-CL-C-0022/fr" TargetMode="External"/><Relationship Id="rId38" Type="http://schemas.openxmlformats.org/officeDocument/2006/relationships/hyperlink" Target="https://www.itu.int/md/S25-CL-C-0038/fr" TargetMode="External"/><Relationship Id="rId59" Type="http://schemas.openxmlformats.org/officeDocument/2006/relationships/hyperlink" Target="https://www.itu.int/md/S25-CL-C-0034/fr" TargetMode="External"/><Relationship Id="rId103" Type="http://schemas.openxmlformats.org/officeDocument/2006/relationships/hyperlink" Target="https://www.itu.int/md/S25-CL-C-0064/fr" TargetMode="External"/><Relationship Id="rId108" Type="http://schemas.openxmlformats.org/officeDocument/2006/relationships/hyperlink" Target="https://www.itu.int/md/S25-CL-250617-TD-0006/fr" TargetMode="External"/><Relationship Id="rId124" Type="http://schemas.openxmlformats.org/officeDocument/2006/relationships/fontTable" Target="fontTable.xml"/><Relationship Id="rId54" Type="http://schemas.openxmlformats.org/officeDocument/2006/relationships/hyperlink" Target="https://www.itu.int/md/S25-CL-C-0011/fr" TargetMode="External"/><Relationship Id="rId70" Type="http://schemas.openxmlformats.org/officeDocument/2006/relationships/hyperlink" Target="https://www.itu.int/md/S25-CL-C-0039/fr" TargetMode="External"/><Relationship Id="rId75" Type="http://schemas.openxmlformats.org/officeDocument/2006/relationships/hyperlink" Target="https://www.itu.int/md/S25-CL-C-0090/fr" TargetMode="External"/><Relationship Id="rId91" Type="http://schemas.openxmlformats.org/officeDocument/2006/relationships/hyperlink" Target="https://www.itu.int/md/S25-CL-C-0013/fr" TargetMode="External"/><Relationship Id="rId96" Type="http://schemas.openxmlformats.org/officeDocument/2006/relationships/hyperlink" Target="https://www.itu.int/md/S25-CL-C-0041/fr" TargetMode="External"/><Relationship Id="rId1" Type="http://schemas.openxmlformats.org/officeDocument/2006/relationships/styles" Target="styles.xml"/><Relationship Id="rId6" Type="http://schemas.openxmlformats.org/officeDocument/2006/relationships/hyperlink" Target="https://www.itu.int/md/S25-CL-C-0002/fr" TargetMode="External"/><Relationship Id="rId23" Type="http://schemas.openxmlformats.org/officeDocument/2006/relationships/hyperlink" Target="https://www.itu.int/md/S25-CL-C-0095/fr" TargetMode="External"/><Relationship Id="rId28" Type="http://schemas.openxmlformats.org/officeDocument/2006/relationships/hyperlink" Target="https://www.itu.int/md/S25-CL-C-0041/fr" TargetMode="External"/><Relationship Id="rId49" Type="http://schemas.openxmlformats.org/officeDocument/2006/relationships/hyperlink" Target="https://www.itu.int/md/S25-CL-C-0020/fr" TargetMode="External"/><Relationship Id="rId114" Type="http://schemas.openxmlformats.org/officeDocument/2006/relationships/hyperlink" Target="https://www.itu.int/md/S25-CL-250617-TD-0005/fr" TargetMode="External"/><Relationship Id="rId119" Type="http://schemas.openxmlformats.org/officeDocument/2006/relationships/header" Target="header1.xml"/><Relationship Id="rId44" Type="http://schemas.openxmlformats.org/officeDocument/2006/relationships/hyperlink" Target="https://www.itu.int/md/S25-CL-C-0063/fr" TargetMode="External"/><Relationship Id="rId60" Type="http://schemas.openxmlformats.org/officeDocument/2006/relationships/hyperlink" Target="https://www.itu.int/md/S25-CL-C-0022/fr" TargetMode="External"/><Relationship Id="rId65" Type="http://schemas.openxmlformats.org/officeDocument/2006/relationships/hyperlink" Target="https://www.itu.int/md/S25-CL-C-0087/fr" TargetMode="External"/><Relationship Id="rId81" Type="http://schemas.openxmlformats.org/officeDocument/2006/relationships/hyperlink" Target="https://www.itu.int/md/S25-CL-C-0094/fr" TargetMode="External"/><Relationship Id="rId86" Type="http://schemas.openxmlformats.org/officeDocument/2006/relationships/hyperlink" Target="https://www.itu.int/md/S25-CL-C-0066/fr" TargetMode="External"/><Relationship Id="rId13" Type="http://schemas.openxmlformats.org/officeDocument/2006/relationships/hyperlink" Target="https://council.itu.int/2025/wp-content/uploads/sites/5/2025/07/Statement_Russia_CWG-lang_27062025_e.pdf" TargetMode="External"/><Relationship Id="rId18" Type="http://schemas.openxmlformats.org/officeDocument/2006/relationships/hyperlink" Target="https://www.itu.int/md/S25-CL-250617-DL-0006/fr" TargetMode="External"/><Relationship Id="rId39" Type="http://schemas.openxmlformats.org/officeDocument/2006/relationships/hyperlink" Target="https://www.itu.int/md/S25-CL-C-0007/fr" TargetMode="External"/><Relationship Id="rId109" Type="http://schemas.openxmlformats.org/officeDocument/2006/relationships/hyperlink" Target="https://www.itu.int/md/S25-CL-C-0043/fr" TargetMode="External"/><Relationship Id="rId34" Type="http://schemas.openxmlformats.org/officeDocument/2006/relationships/hyperlink" Target="https://www.itu.int/md/S25-CL-C-0046/fr" TargetMode="External"/><Relationship Id="rId50" Type="http://schemas.openxmlformats.org/officeDocument/2006/relationships/hyperlink" Target="https://www.itu.int/md/S25-CL-C-0020/fr" TargetMode="External"/><Relationship Id="rId55" Type="http://schemas.openxmlformats.org/officeDocument/2006/relationships/hyperlink" Target="https://www.itu.int/md/S25-CL-C-0011/fr" TargetMode="External"/><Relationship Id="rId76" Type="http://schemas.openxmlformats.org/officeDocument/2006/relationships/hyperlink" Target="https://www.itu.int/md/S25-CL-C-0067/fr" TargetMode="External"/><Relationship Id="rId97" Type="http://schemas.openxmlformats.org/officeDocument/2006/relationships/hyperlink" Target="https://www.itu.int/md/S25-CL-C-0064/fr" TargetMode="External"/><Relationship Id="rId104" Type="http://schemas.openxmlformats.org/officeDocument/2006/relationships/hyperlink" Target="https://www.itu.int/md/S25-CL-C-0010/fr" TargetMode="Externa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hyperlink" Target="https://www.itu.int/md/S25-CL-C-0021/fr" TargetMode="External"/><Relationship Id="rId71" Type="http://schemas.openxmlformats.org/officeDocument/2006/relationships/hyperlink" Target="https://www.itu.int/md/S25-CL-C-0099/fr" TargetMode="External"/><Relationship Id="rId92" Type="http://schemas.openxmlformats.org/officeDocument/2006/relationships/hyperlink" Target="https://www.itu.int/md/S25-CL-C-0013/fr" TargetMode="External"/><Relationship Id="rId2" Type="http://schemas.openxmlformats.org/officeDocument/2006/relationships/settings" Target="settings.xml"/><Relationship Id="rId29" Type="http://schemas.openxmlformats.org/officeDocument/2006/relationships/hyperlink" Target="https://www.itu.int/md/S25-CL-C-0041/fr" TargetMode="External"/><Relationship Id="rId24" Type="http://schemas.openxmlformats.org/officeDocument/2006/relationships/hyperlink" Target="https://www.itu.int/md/S25-CL-C-0082/fr" TargetMode="External"/><Relationship Id="rId40" Type="http://schemas.openxmlformats.org/officeDocument/2006/relationships/hyperlink" Target="https://www.itu.int/md/S25-CL-C-0048/fr" TargetMode="External"/><Relationship Id="rId45" Type="http://schemas.openxmlformats.org/officeDocument/2006/relationships/hyperlink" Target="https://www.itu.int/md/S25-CL-C-0009/fr" TargetMode="External"/><Relationship Id="rId66" Type="http://schemas.openxmlformats.org/officeDocument/2006/relationships/hyperlink" Target="https://www.itu.int/md/S25-CL-C-0102/fr" TargetMode="External"/><Relationship Id="rId87" Type="http://schemas.openxmlformats.org/officeDocument/2006/relationships/hyperlink" Target="https://www.itu.int/md/S25-CL-C-0085/fr" TargetMode="External"/><Relationship Id="rId110" Type="http://schemas.openxmlformats.org/officeDocument/2006/relationships/hyperlink" Target="https://www.itu.int/md/S25-CL-250617-DL-0008/fr" TargetMode="External"/><Relationship Id="rId115" Type="http://schemas.openxmlformats.org/officeDocument/2006/relationships/hyperlink" Target="https://www.itu.int/md/S25-CL-C-0075/fr" TargetMode="External"/><Relationship Id="rId61" Type="http://schemas.openxmlformats.org/officeDocument/2006/relationships/hyperlink" Target="https://www.itu.int/md/S25-CL-C-0022/fr" TargetMode="External"/><Relationship Id="rId82" Type="http://schemas.openxmlformats.org/officeDocument/2006/relationships/hyperlink" Target="https://www.itu.int/md/S25-CL-C-0069/fr" TargetMode="External"/><Relationship Id="rId19" Type="http://schemas.openxmlformats.org/officeDocument/2006/relationships/hyperlink" Target="https://www.itu.int/md/S25-CL-C-0050/fr" TargetMode="External"/><Relationship Id="rId14" Type="http://schemas.openxmlformats.org/officeDocument/2006/relationships/hyperlink" Target="https://www.itu.int/md/S25-CL-C-0077/fr" TargetMode="External"/><Relationship Id="rId30" Type="http://schemas.openxmlformats.org/officeDocument/2006/relationships/hyperlink" Target="https://www.itu.int/md/S25-CL-C-0042/fr" TargetMode="External"/><Relationship Id="rId35" Type="http://schemas.openxmlformats.org/officeDocument/2006/relationships/hyperlink" Target="https://www.itu.int/md/S25-CL-C-0046/fr" TargetMode="External"/><Relationship Id="rId56" Type="http://schemas.openxmlformats.org/officeDocument/2006/relationships/hyperlink" Target="https://www.itu.int/md/S25-CL-C-0059/fr" TargetMode="External"/><Relationship Id="rId77" Type="http://schemas.openxmlformats.org/officeDocument/2006/relationships/hyperlink" Target="https://www.itu.int/md/S25-CL-C-0057/fr" TargetMode="External"/><Relationship Id="rId100" Type="http://schemas.openxmlformats.org/officeDocument/2006/relationships/hyperlink" Target="https://www.itu.int/md/S25-CL-C-0098/fr" TargetMode="External"/><Relationship Id="rId105" Type="http://schemas.openxmlformats.org/officeDocument/2006/relationships/hyperlink" Target="https://www.itu.int/md/S25-CL-C-0016/fr" TargetMode="External"/><Relationship Id="rId8" Type="http://schemas.openxmlformats.org/officeDocument/2006/relationships/hyperlink" Target="https://www.itu.int/md/S25-CL-C-0077/fr" TargetMode="External"/><Relationship Id="rId51" Type="http://schemas.openxmlformats.org/officeDocument/2006/relationships/hyperlink" Target="https://www.itu.int/md/S25-CL-C-0014/fr" TargetMode="External"/><Relationship Id="rId72" Type="http://schemas.openxmlformats.org/officeDocument/2006/relationships/hyperlink" Target="https://www.itu.int/md/S25-CL-C-0022/fr" TargetMode="External"/><Relationship Id="rId93" Type="http://schemas.openxmlformats.org/officeDocument/2006/relationships/hyperlink" Target="https://www.itu.int/md/S25-CL-C-0060/fr" TargetMode="External"/><Relationship Id="rId98" Type="http://schemas.openxmlformats.org/officeDocument/2006/relationships/hyperlink" Target="https://www.itu.int/md/S25-CL-C-0016/fr" TargetMode="External"/><Relationship Id="rId121" Type="http://schemas.openxmlformats.org/officeDocument/2006/relationships/footer" Target="footer2.xml"/><Relationship Id="rId3" Type="http://schemas.openxmlformats.org/officeDocument/2006/relationships/webSettings" Target="webSettings.xml"/><Relationship Id="rId25" Type="http://schemas.openxmlformats.org/officeDocument/2006/relationships/hyperlink" Target="https://www.itu.int/md/S25-CL-C-0082/fr" TargetMode="External"/><Relationship Id="rId46" Type="http://schemas.openxmlformats.org/officeDocument/2006/relationships/hyperlink" Target="https://www.itu.int/md/S25-CL-C-0009/fr" TargetMode="External"/><Relationship Id="rId67" Type="http://schemas.openxmlformats.org/officeDocument/2006/relationships/hyperlink" Target="https://www.itu.int/md/S25-CL-C-0022/fr" TargetMode="External"/><Relationship Id="rId116" Type="http://schemas.openxmlformats.org/officeDocument/2006/relationships/hyperlink" Target="https://www.itu.int/md/S25-CL-C-0075/fr" TargetMode="External"/><Relationship Id="rId20" Type="http://schemas.openxmlformats.org/officeDocument/2006/relationships/hyperlink" Target="https://www.itu.int/md/S25-CL-C-0084/fr" TargetMode="External"/><Relationship Id="rId41" Type="http://schemas.openxmlformats.org/officeDocument/2006/relationships/hyperlink" Target="https://www.itu.int/md/S25-CL-C-0083/fr" TargetMode="External"/><Relationship Id="rId62" Type="http://schemas.openxmlformats.org/officeDocument/2006/relationships/hyperlink" Target="https://www.itu.int/md/S25-CL-C-0044/fr" TargetMode="External"/><Relationship Id="rId83" Type="http://schemas.openxmlformats.org/officeDocument/2006/relationships/hyperlink" Target="https://www.itu.int/md/S25-CL-250617-DL-0006/fr" TargetMode="External"/><Relationship Id="rId88" Type="http://schemas.openxmlformats.org/officeDocument/2006/relationships/hyperlink" Target="https://www.itu.int/md/S25-CL-C-0062/fr" TargetMode="External"/><Relationship Id="rId111" Type="http://schemas.openxmlformats.org/officeDocument/2006/relationships/hyperlink" Target="https://www.itu.int/md/S25-CL-C-0043/fr" TargetMode="External"/><Relationship Id="rId15" Type="http://schemas.openxmlformats.org/officeDocument/2006/relationships/hyperlink" Target="https://www.itu.int/md/S25-CL-C-0105/fr" TargetMode="External"/><Relationship Id="rId36" Type="http://schemas.openxmlformats.org/officeDocument/2006/relationships/hyperlink" Target="https://www.itu.int/md/S25-CL-C-0023/fr" TargetMode="External"/><Relationship Id="rId57" Type="http://schemas.openxmlformats.org/officeDocument/2006/relationships/hyperlink" Target="https://www.itu.int/md/S25-CL-C-0059/fr" TargetMode="External"/><Relationship Id="rId106" Type="http://schemas.openxmlformats.org/officeDocument/2006/relationships/hyperlink" Target="https://www.itu.int/md/S25-CL-C-0098/fr" TargetMode="External"/><Relationship Id="rId10" Type="http://schemas.openxmlformats.org/officeDocument/2006/relationships/hyperlink" Target="https://www.itu.int/md/S25-CL-C-0105/fr" TargetMode="External"/><Relationship Id="rId31" Type="http://schemas.openxmlformats.org/officeDocument/2006/relationships/hyperlink" Target="https://www.itu.int/md/S25-CL-C-0022/fr" TargetMode="External"/><Relationship Id="rId52" Type="http://schemas.openxmlformats.org/officeDocument/2006/relationships/hyperlink" Target="https://www.itu.int/md/S25-CL-C-0014/fr" TargetMode="External"/><Relationship Id="rId73" Type="http://schemas.openxmlformats.org/officeDocument/2006/relationships/hyperlink" Target="https://www.unjiu.org/sites/www.unjiu.org/files/jiu_rep_2018_4_french_0.pdf" TargetMode="External"/><Relationship Id="rId78" Type="http://schemas.openxmlformats.org/officeDocument/2006/relationships/hyperlink" Target="https://www.itu.int/md/S25-CL-C-0069/fr" TargetMode="External"/><Relationship Id="rId94" Type="http://schemas.openxmlformats.org/officeDocument/2006/relationships/hyperlink" Target="https://www.itu.int/md/S25-CL-C-0049/fr" TargetMode="External"/><Relationship Id="rId99" Type="http://schemas.openxmlformats.org/officeDocument/2006/relationships/hyperlink" Target="https://www.itu.int/md/S25-CL-C-0010/fr" TargetMode="External"/><Relationship Id="rId101" Type="http://schemas.openxmlformats.org/officeDocument/2006/relationships/hyperlink" Target="https://www.itu.int/md/S25-CL-C-0074/fr" TargetMode="External"/><Relationship Id="rId12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itu.int/md/S25-CL-C-0003/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1</TotalTime>
  <Pages>12</Pages>
  <Words>4039</Words>
  <Characters>29676</Characters>
  <Application>Microsoft Office Word</Application>
  <DocSecurity>0</DocSecurity>
  <Lines>247</Lines>
  <Paragraphs>67</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33648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PROVISOIRE de la huitième et dernière séance plénière</dc:title>
  <dc:subject>Conseil 2025 de l'UIT</dc:subject>
  <cp:keywords>C2025, C25, Council-25</cp:keywords>
  <dc:description/>
  <cp:lastPrinted>2000-07-18T08:55:00Z</cp:lastPrinted>
  <dcterms:created xsi:type="dcterms:W3CDTF">2025-08-15T13:49:00Z</dcterms:created>
  <dcterms:modified xsi:type="dcterms:W3CDTF">2025-08-15T14:06:00Z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