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068E65F" w14:textId="77777777" w:rsidTr="000D654F">
        <w:tc>
          <w:tcPr>
            <w:tcW w:w="6099" w:type="dxa"/>
          </w:tcPr>
          <w:p w14:paraId="5AF7B40B" w14:textId="5739B340" w:rsidR="007B0AA0" w:rsidRPr="00004494" w:rsidRDefault="007B0AA0" w:rsidP="00F363FE">
            <w:pPr>
              <w:spacing w:before="60" w:after="60" w:line="260" w:lineRule="exact"/>
              <w:rPr>
                <w:b/>
                <w:bCs/>
              </w:rPr>
            </w:pPr>
          </w:p>
        </w:tc>
        <w:tc>
          <w:tcPr>
            <w:tcW w:w="2972" w:type="dxa"/>
          </w:tcPr>
          <w:p w14:paraId="6BC2EF72" w14:textId="7D80857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0D654F">
              <w:rPr>
                <w:b/>
                <w:bCs/>
                <w:lang w:bidi="ar-EG"/>
              </w:rPr>
              <w:t>113</w:t>
            </w:r>
            <w:r w:rsidRPr="007B0AA0">
              <w:rPr>
                <w:b/>
                <w:bCs/>
                <w:lang w:bidi="ar-EG"/>
              </w:rPr>
              <w:t>-A</w:t>
            </w:r>
          </w:p>
        </w:tc>
      </w:tr>
      <w:tr w:rsidR="007B0AA0" w14:paraId="6B843A7E" w14:textId="77777777" w:rsidTr="000D654F">
        <w:tc>
          <w:tcPr>
            <w:tcW w:w="6099" w:type="dxa"/>
          </w:tcPr>
          <w:p w14:paraId="435A8B06" w14:textId="77777777" w:rsidR="007B0AA0" w:rsidRPr="007B0AA0" w:rsidRDefault="007B0AA0" w:rsidP="00F363FE">
            <w:pPr>
              <w:spacing w:before="60" w:after="60" w:line="260" w:lineRule="exact"/>
              <w:rPr>
                <w:b/>
                <w:bCs/>
                <w:rtl/>
                <w:lang w:bidi="ar-EG"/>
              </w:rPr>
            </w:pPr>
          </w:p>
        </w:tc>
        <w:tc>
          <w:tcPr>
            <w:tcW w:w="2972" w:type="dxa"/>
          </w:tcPr>
          <w:p w14:paraId="03944E15" w14:textId="080AAF06" w:rsidR="007B0AA0" w:rsidRPr="007B0AA0" w:rsidRDefault="009453F1" w:rsidP="00F363FE">
            <w:pPr>
              <w:spacing w:before="60" w:after="60" w:line="260" w:lineRule="exact"/>
              <w:rPr>
                <w:b/>
                <w:bCs/>
                <w:rtl/>
                <w:lang w:bidi="ar-EG"/>
              </w:rPr>
            </w:pPr>
            <w:r>
              <w:rPr>
                <w:b/>
                <w:bCs/>
              </w:rPr>
              <w:t>21</w:t>
            </w:r>
            <w:r w:rsidR="000D654F">
              <w:rPr>
                <w:rFonts w:hint="cs"/>
                <w:b/>
                <w:bCs/>
                <w:rtl/>
              </w:rPr>
              <w:t>‏</w:t>
            </w:r>
            <w:r w:rsidR="00560FFF">
              <w:rPr>
                <w:rFonts w:hint="cs"/>
                <w:b/>
                <w:bCs/>
                <w:rtl/>
              </w:rPr>
              <w:t xml:space="preserve"> </w:t>
            </w:r>
            <w:r w:rsidR="0087539D">
              <w:rPr>
                <w:rFonts w:hint="cs"/>
                <w:b/>
                <w:bCs/>
                <w:rtl/>
              </w:rPr>
              <w:t>أغسطس</w:t>
            </w:r>
            <w:r w:rsidR="000D654F">
              <w:rPr>
                <w:rFonts w:hint="cs"/>
                <w:b/>
                <w:bCs/>
                <w:rtl/>
              </w:rPr>
              <w:t>‏</w:t>
            </w:r>
            <w:r w:rsidR="00560FFF">
              <w:rPr>
                <w:rFonts w:hint="cs"/>
                <w:b/>
                <w:bCs/>
                <w:rtl/>
              </w:rPr>
              <w:t xml:space="preserve"> </w:t>
            </w:r>
            <w:r w:rsidR="00560FFF">
              <w:rPr>
                <w:b/>
                <w:bCs/>
              </w:rPr>
              <w:t>2025</w:t>
            </w:r>
          </w:p>
        </w:tc>
      </w:tr>
      <w:tr w:rsidR="007B0AA0" w14:paraId="41259DB1" w14:textId="77777777" w:rsidTr="000D654F">
        <w:tc>
          <w:tcPr>
            <w:tcW w:w="6099" w:type="dxa"/>
          </w:tcPr>
          <w:p w14:paraId="4AC4DCD3" w14:textId="77777777" w:rsidR="007B0AA0" w:rsidRPr="007B0AA0" w:rsidRDefault="007B0AA0" w:rsidP="00F363FE">
            <w:pPr>
              <w:spacing w:before="60" w:after="60" w:line="260" w:lineRule="exact"/>
              <w:rPr>
                <w:b/>
                <w:bCs/>
                <w:rtl/>
                <w:lang w:bidi="ar-EG"/>
              </w:rPr>
            </w:pPr>
          </w:p>
        </w:tc>
        <w:tc>
          <w:tcPr>
            <w:tcW w:w="2972" w:type="dxa"/>
          </w:tcPr>
          <w:p w14:paraId="7D58579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D292BE2" w14:textId="77777777" w:rsidTr="000D654F">
        <w:tc>
          <w:tcPr>
            <w:tcW w:w="6099" w:type="dxa"/>
          </w:tcPr>
          <w:p w14:paraId="5B1F54C2" w14:textId="77777777" w:rsidR="007B0AA0" w:rsidRDefault="007B0AA0" w:rsidP="00F363FE">
            <w:pPr>
              <w:spacing w:before="60" w:after="60" w:line="260" w:lineRule="exact"/>
              <w:rPr>
                <w:lang w:bidi="ar-EG"/>
              </w:rPr>
            </w:pPr>
          </w:p>
        </w:tc>
        <w:tc>
          <w:tcPr>
            <w:tcW w:w="2972" w:type="dxa"/>
          </w:tcPr>
          <w:p w14:paraId="5C037EED" w14:textId="77777777" w:rsidR="007B0AA0" w:rsidRDefault="007B0AA0" w:rsidP="00F363FE">
            <w:pPr>
              <w:spacing w:before="60" w:after="60" w:line="260" w:lineRule="exact"/>
              <w:rPr>
                <w:rtl/>
                <w:lang w:bidi="ar-EG"/>
              </w:rPr>
            </w:pPr>
          </w:p>
        </w:tc>
      </w:tr>
      <w:tr w:rsidR="007B0AA0" w14:paraId="33E1CCB9" w14:textId="77777777" w:rsidTr="000D654F">
        <w:tc>
          <w:tcPr>
            <w:tcW w:w="9071" w:type="dxa"/>
            <w:gridSpan w:val="2"/>
          </w:tcPr>
          <w:p w14:paraId="7F853226" w14:textId="26D89906" w:rsidR="007B0AA0" w:rsidRPr="000D654F" w:rsidRDefault="000D654F" w:rsidP="000D654F">
            <w:pPr>
              <w:pStyle w:val="Source"/>
              <w:rPr>
                <w:lang w:bidi="ar-EG"/>
              </w:rPr>
            </w:pPr>
            <w:r w:rsidRPr="000D654F">
              <w:rPr>
                <w:rtl/>
                <w:lang w:bidi="ar-EG"/>
              </w:rPr>
              <w:t>محضر موجز</w:t>
            </w:r>
            <w:r w:rsidR="00A73F7B">
              <w:rPr>
                <w:rFonts w:hint="cs"/>
                <w:rtl/>
                <w:lang w:bidi="ar-EG"/>
              </w:rPr>
              <w:t xml:space="preserve"> </w:t>
            </w:r>
            <w:r w:rsidR="0085760D">
              <w:rPr>
                <w:rtl/>
                <w:lang w:bidi="ar-EG"/>
              </w:rPr>
              <w:br/>
            </w:r>
            <w:r w:rsidRPr="000D654F">
              <w:rPr>
                <w:rtl/>
                <w:lang w:bidi="ar-EG"/>
              </w:rPr>
              <w:t>للجلسة العامة</w:t>
            </w:r>
            <w:r>
              <w:rPr>
                <w:lang w:bidi="ar-EG"/>
              </w:rPr>
              <w:t xml:space="preserve"> </w:t>
            </w:r>
            <w:r w:rsidRPr="000D654F">
              <w:rPr>
                <w:rtl/>
                <w:lang w:bidi="ar-EG"/>
              </w:rPr>
              <w:t>السابعة</w:t>
            </w:r>
          </w:p>
        </w:tc>
      </w:tr>
      <w:tr w:rsidR="007B0AA0" w14:paraId="20FC429F" w14:textId="77777777" w:rsidTr="000D654F">
        <w:tc>
          <w:tcPr>
            <w:tcW w:w="9071" w:type="dxa"/>
            <w:gridSpan w:val="2"/>
            <w:tcBorders>
              <w:bottom w:val="single" w:sz="4" w:space="0" w:color="auto"/>
            </w:tcBorders>
          </w:tcPr>
          <w:p w14:paraId="0CC0C849" w14:textId="56B54E7D" w:rsidR="000D654F" w:rsidRPr="000D654F" w:rsidRDefault="000D654F" w:rsidP="004F5B21">
            <w:pPr>
              <w:jc w:val="center"/>
            </w:pPr>
            <w:r w:rsidRPr="000D654F">
              <w:rPr>
                <w:rtl/>
              </w:rPr>
              <w:t>الخميس</w:t>
            </w:r>
            <w:r w:rsidR="00EA1224">
              <w:rPr>
                <w:rFonts w:hint="cs"/>
                <w:rtl/>
              </w:rPr>
              <w:t>،</w:t>
            </w:r>
            <w:r w:rsidRPr="000D654F">
              <w:rPr>
                <w:rtl/>
              </w:rPr>
              <w:t xml:space="preserve"> 26 يونيو 2025، من الساعة 14:35 إلى الساعة 18:15</w:t>
            </w:r>
          </w:p>
          <w:p w14:paraId="7877A4DA" w14:textId="5AD05E6D" w:rsidR="007B0AA0" w:rsidRPr="005546CF" w:rsidRDefault="000D654F" w:rsidP="004F5B21">
            <w:pPr>
              <w:jc w:val="center"/>
            </w:pPr>
            <w:r w:rsidRPr="000D654F">
              <w:rPr>
                <w:b/>
                <w:bCs/>
                <w:rtl/>
              </w:rPr>
              <w:t>الرئيسة</w:t>
            </w:r>
            <w:r w:rsidRPr="000D654F">
              <w:rPr>
                <w:rtl/>
              </w:rPr>
              <w:t xml:space="preserve">: السيدة ك. </w:t>
            </w:r>
            <w:proofErr w:type="spellStart"/>
            <w:r w:rsidRPr="000D654F">
              <w:rPr>
                <w:rtl/>
              </w:rPr>
              <w:t>فلوتور</w:t>
            </w:r>
            <w:proofErr w:type="spellEnd"/>
            <w:r w:rsidRPr="000D654F">
              <w:rPr>
                <w:rtl/>
              </w:rPr>
              <w:t xml:space="preserve"> (رومانيا)</w:t>
            </w:r>
          </w:p>
        </w:tc>
      </w:tr>
    </w:tbl>
    <w:p w14:paraId="073A6BB6" w14:textId="77777777" w:rsidR="00E61BE8" w:rsidRDefault="00E61BE8" w:rsidP="00E61BE8">
      <w:pPr>
        <w:rPr>
          <w:lang w:bidi="ar-EG"/>
        </w:rPr>
      </w:pPr>
    </w:p>
    <w:tbl>
      <w:tblPr>
        <w:bidiVisual/>
        <w:tblW w:w="5000" w:type="pct"/>
        <w:jc w:val="center"/>
        <w:tblLayout w:type="fixed"/>
        <w:tblLook w:val="04A0" w:firstRow="1" w:lastRow="0" w:firstColumn="1" w:lastColumn="0" w:noHBand="0" w:noVBand="1"/>
      </w:tblPr>
      <w:tblGrid>
        <w:gridCol w:w="439"/>
        <w:gridCol w:w="6644"/>
        <w:gridCol w:w="1988"/>
      </w:tblGrid>
      <w:tr w:rsidR="000D654F" w:rsidRPr="005F1BEC" w14:paraId="531AC9A2" w14:textId="77777777" w:rsidTr="00375A19">
        <w:trPr>
          <w:jc w:val="center"/>
        </w:trPr>
        <w:tc>
          <w:tcPr>
            <w:tcW w:w="242" w:type="pct"/>
          </w:tcPr>
          <w:p w14:paraId="40323002" w14:textId="77777777" w:rsidR="000D654F" w:rsidRPr="005F1BEC" w:rsidRDefault="000D654F" w:rsidP="00EA1224">
            <w:pPr>
              <w:spacing w:before="80" w:after="80" w:line="280" w:lineRule="exact"/>
              <w:rPr>
                <w:position w:val="2"/>
              </w:rPr>
            </w:pPr>
            <w:bookmarkStart w:id="0" w:name="_Hlk141438382"/>
            <w:r w:rsidRPr="005F1BEC">
              <w:rPr>
                <w:position w:val="2"/>
              </w:rPr>
              <w:br w:type="page"/>
            </w:r>
            <w:r w:rsidRPr="005F1BEC">
              <w:rPr>
                <w:position w:val="2"/>
              </w:rPr>
              <w:br w:type="page"/>
            </w:r>
          </w:p>
        </w:tc>
        <w:tc>
          <w:tcPr>
            <w:tcW w:w="3662" w:type="pct"/>
            <w:hideMark/>
          </w:tcPr>
          <w:p w14:paraId="606884CE" w14:textId="778B2655" w:rsidR="000D654F" w:rsidRPr="005F1BEC" w:rsidRDefault="000D654F" w:rsidP="00EA1224">
            <w:pPr>
              <w:spacing w:before="80" w:after="80" w:line="280" w:lineRule="exact"/>
              <w:rPr>
                <w:b/>
                <w:bCs/>
                <w:position w:val="2"/>
              </w:rPr>
            </w:pPr>
            <w:r w:rsidRPr="005F1BEC">
              <w:rPr>
                <w:b/>
                <w:bCs/>
                <w:position w:val="2"/>
                <w:rtl/>
              </w:rPr>
              <w:t>المواضيع التي نوقشت</w:t>
            </w:r>
          </w:p>
        </w:tc>
        <w:tc>
          <w:tcPr>
            <w:tcW w:w="1096" w:type="pct"/>
            <w:hideMark/>
          </w:tcPr>
          <w:p w14:paraId="24BBC900" w14:textId="2C7AEC87" w:rsidR="000D654F" w:rsidRPr="005F1BEC" w:rsidRDefault="000D654F" w:rsidP="00EA1224">
            <w:pPr>
              <w:spacing w:before="80" w:after="80" w:line="280" w:lineRule="exact"/>
              <w:jc w:val="center"/>
              <w:rPr>
                <w:b/>
                <w:bCs/>
                <w:position w:val="2"/>
              </w:rPr>
            </w:pPr>
            <w:r w:rsidRPr="005F1BEC">
              <w:rPr>
                <w:b/>
                <w:bCs/>
                <w:position w:val="2"/>
                <w:rtl/>
              </w:rPr>
              <w:t>الوثائق</w:t>
            </w:r>
          </w:p>
        </w:tc>
      </w:tr>
      <w:tr w:rsidR="000D654F" w:rsidRPr="005F1BEC" w14:paraId="637EA7DF" w14:textId="77777777" w:rsidTr="00375A19">
        <w:trPr>
          <w:trHeight w:val="20"/>
          <w:jc w:val="center"/>
        </w:trPr>
        <w:tc>
          <w:tcPr>
            <w:tcW w:w="242" w:type="pct"/>
            <w:hideMark/>
          </w:tcPr>
          <w:p w14:paraId="45B63460" w14:textId="77777777" w:rsidR="000D654F" w:rsidRPr="005F1BEC" w:rsidRDefault="000D654F" w:rsidP="00EA1224">
            <w:pPr>
              <w:spacing w:before="80" w:after="80" w:line="280" w:lineRule="exact"/>
              <w:rPr>
                <w:position w:val="2"/>
              </w:rPr>
            </w:pPr>
            <w:bookmarkStart w:id="1" w:name="_Hlk203750205"/>
            <w:r w:rsidRPr="005F1BEC">
              <w:rPr>
                <w:position w:val="2"/>
              </w:rPr>
              <w:t>1</w:t>
            </w:r>
          </w:p>
        </w:tc>
        <w:tc>
          <w:tcPr>
            <w:tcW w:w="3662" w:type="pct"/>
          </w:tcPr>
          <w:p w14:paraId="7A042F9F" w14:textId="4BAD1214" w:rsidR="000D654F" w:rsidRPr="005F1BEC" w:rsidRDefault="00E515A0" w:rsidP="00EA1224">
            <w:pPr>
              <w:spacing w:before="80" w:after="80" w:line="280" w:lineRule="exact"/>
              <w:rPr>
                <w:position w:val="2"/>
                <w:lang w:eastAsia="en-GB"/>
              </w:rPr>
            </w:pPr>
            <w:r w:rsidRPr="005F1BEC">
              <w:rPr>
                <w:position w:val="2"/>
                <w:rtl/>
                <w:lang w:eastAsia="en-GB"/>
              </w:rPr>
              <w:t>تقرير عن الأماكن المقترحة لجمعية الاتصالات الراديوية لعام 2027 (</w:t>
            </w:r>
            <w:r w:rsidRPr="005F1BEC">
              <w:rPr>
                <w:position w:val="2"/>
                <w:lang w:eastAsia="en-GB"/>
              </w:rPr>
              <w:t>RA-27</w:t>
            </w:r>
            <w:r w:rsidRPr="005F1BEC">
              <w:rPr>
                <w:position w:val="2"/>
                <w:rtl/>
                <w:lang w:eastAsia="en-GB"/>
              </w:rPr>
              <w:t>) والمؤتمر العالمي للاتصالات الراديوية لعام 2027 (</w:t>
            </w:r>
            <w:r w:rsidRPr="005F1BEC">
              <w:rPr>
                <w:position w:val="2"/>
                <w:lang w:eastAsia="en-GB"/>
              </w:rPr>
              <w:t>WRC-27</w:t>
            </w:r>
            <w:r w:rsidRPr="005F1BEC">
              <w:rPr>
                <w:position w:val="2"/>
                <w:rtl/>
                <w:lang w:eastAsia="en-GB"/>
              </w:rPr>
              <w:t>) والدورة الأولى للاجتماع التحضيري للمؤتمر (</w:t>
            </w:r>
            <w:r w:rsidRPr="005F1BEC">
              <w:rPr>
                <w:position w:val="2"/>
                <w:lang w:eastAsia="en-GB"/>
              </w:rPr>
              <w:t>CPM31-1</w:t>
            </w:r>
            <w:r w:rsidRPr="005F1BEC">
              <w:rPr>
                <w:position w:val="2"/>
                <w:rtl/>
                <w:lang w:eastAsia="en-GB"/>
              </w:rPr>
              <w:t>)</w:t>
            </w:r>
            <w:r w:rsidRPr="005F1BEC">
              <w:rPr>
                <w:rFonts w:hint="cs"/>
                <w:position w:val="2"/>
                <w:rtl/>
                <w:lang w:eastAsia="en-GB"/>
              </w:rPr>
              <w:t xml:space="preserve"> (</w:t>
            </w:r>
            <w:r w:rsidR="00284783" w:rsidRPr="005F1BEC">
              <w:rPr>
                <w:rFonts w:hint="cs"/>
                <w:position w:val="2"/>
                <w:rtl/>
                <w:lang w:eastAsia="en-GB"/>
              </w:rPr>
              <w:t xml:space="preserve"> </w:t>
            </w:r>
            <w:r w:rsidR="0060230C" w:rsidRPr="005F1BEC">
              <w:rPr>
                <w:i/>
                <w:iCs/>
                <w:position w:val="2"/>
                <w:rtl/>
                <w:lang w:eastAsia="en-GB"/>
              </w:rPr>
              <w:t>تابع</w:t>
            </w:r>
            <w:r w:rsidRPr="005F1BEC">
              <w:rPr>
                <w:rFonts w:hint="cs"/>
                <w:position w:val="2"/>
                <w:rtl/>
                <w:lang w:eastAsia="en-GB"/>
              </w:rPr>
              <w:t>)</w:t>
            </w:r>
          </w:p>
        </w:tc>
        <w:bookmarkStart w:id="2" w:name="_Hlk201829521"/>
        <w:tc>
          <w:tcPr>
            <w:tcW w:w="1096" w:type="pct"/>
          </w:tcPr>
          <w:p w14:paraId="0DA3E46B" w14:textId="755E5DD5" w:rsidR="000D654F" w:rsidRPr="005F1BEC" w:rsidRDefault="000D654F" w:rsidP="00EA1224">
            <w:pPr>
              <w:spacing w:before="80" w:after="80" w:line="280" w:lineRule="exact"/>
              <w:jc w:val="center"/>
              <w:rPr>
                <w:rStyle w:val="Hyperlink"/>
                <w:position w:val="2"/>
                <w:rtl/>
                <w:lang w:eastAsia="en-GB" w:bidi="ar-EG"/>
              </w:rPr>
            </w:pPr>
            <w:r w:rsidRPr="005F1BEC">
              <w:rPr>
                <w:rStyle w:val="Hyperlink"/>
                <w:position w:val="2"/>
                <w:lang w:eastAsia="en-GB"/>
              </w:rPr>
              <w:fldChar w:fldCharType="begin"/>
            </w:r>
            <w:r w:rsidRPr="005F1BEC">
              <w:rPr>
                <w:rStyle w:val="Hyperlink"/>
                <w:position w:val="2"/>
                <w:lang w:eastAsia="en-GB"/>
              </w:rPr>
              <w:instrText>HYPERLINK "http://www.itu.int/md/S25-CL-C-0058/en"</w:instrText>
            </w:r>
            <w:r w:rsidRPr="005F1BEC">
              <w:rPr>
                <w:rStyle w:val="Hyperlink"/>
                <w:position w:val="2"/>
                <w:lang w:eastAsia="en-GB"/>
              </w:rPr>
            </w:r>
            <w:r w:rsidRPr="005F1BEC">
              <w:rPr>
                <w:rStyle w:val="Hyperlink"/>
                <w:position w:val="2"/>
                <w:lang w:eastAsia="en-GB"/>
              </w:rPr>
              <w:fldChar w:fldCharType="separate"/>
            </w:r>
            <w:r w:rsidRPr="005F1BEC">
              <w:rPr>
                <w:rStyle w:val="Hyperlink"/>
                <w:position w:val="2"/>
                <w:lang w:eastAsia="en-GB"/>
              </w:rPr>
              <w:t>C25/58</w:t>
            </w:r>
            <w:r w:rsidR="00EA1224" w:rsidRPr="005F1BEC">
              <w:rPr>
                <w:rStyle w:val="Hyperlink"/>
                <w:rFonts w:hint="cs"/>
                <w:position w:val="2"/>
                <w:rtl/>
                <w:lang w:eastAsia="en-GB"/>
              </w:rPr>
              <w:t xml:space="preserve"> </w:t>
            </w:r>
            <w:r w:rsidR="00EA1224" w:rsidRPr="005F1BEC">
              <w:rPr>
                <w:rStyle w:val="Hyperlink"/>
                <w:rFonts w:hint="cs"/>
                <w:position w:val="2"/>
                <w:rtl/>
                <w:lang w:eastAsia="en-GB" w:bidi="ar-EG"/>
              </w:rPr>
              <w:t>+ </w:t>
            </w:r>
            <w:r w:rsidR="00EA1224" w:rsidRPr="005F1BEC">
              <w:rPr>
                <w:rStyle w:val="Hyperlink"/>
                <w:rFonts w:hint="cs"/>
                <w:position w:val="2"/>
                <w:rtl/>
                <w:lang w:eastAsia="en-GB"/>
              </w:rPr>
              <w:t>إضافتا</w:t>
            </w:r>
            <w:r w:rsidR="00FA4931">
              <w:rPr>
                <w:rStyle w:val="Hyperlink"/>
                <w:rFonts w:hint="cs"/>
                <w:position w:val="2"/>
                <w:rtl/>
                <w:lang w:eastAsia="en-GB"/>
              </w:rPr>
              <w:t>ها</w:t>
            </w:r>
            <w:r w:rsidR="00EA1224" w:rsidRPr="005F1BEC">
              <w:rPr>
                <w:rStyle w:val="Hyperlink"/>
                <w:rFonts w:hint="eastAsia"/>
                <w:position w:val="2"/>
                <w:rtl/>
                <w:lang w:eastAsia="en-GB"/>
              </w:rPr>
              <w:t> </w:t>
            </w:r>
            <w:r w:rsidR="00EA1224" w:rsidRPr="005F1BEC">
              <w:rPr>
                <w:rStyle w:val="Hyperlink"/>
                <w:position w:val="2"/>
                <w:lang w:val="en-US" w:eastAsia="en-GB"/>
              </w:rPr>
              <w:t>1</w:t>
            </w:r>
            <w:r w:rsidR="00EA1224" w:rsidRPr="005F1BEC">
              <w:rPr>
                <w:rStyle w:val="Hyperlink"/>
                <w:rFonts w:hint="cs"/>
                <w:position w:val="2"/>
                <w:rtl/>
                <w:lang w:val="en-US" w:eastAsia="en-GB"/>
              </w:rPr>
              <w:t xml:space="preserve"> </w:t>
            </w:r>
            <w:r w:rsidR="00EA1224" w:rsidRPr="005F1BEC">
              <w:rPr>
                <w:rStyle w:val="Hyperlink"/>
                <w:rFonts w:hint="cs"/>
                <w:position w:val="2"/>
                <w:rtl/>
                <w:lang w:eastAsia="en-GB" w:bidi="ar-EG"/>
              </w:rPr>
              <w:t>و</w:t>
            </w:r>
            <w:r w:rsidRPr="005F1BEC">
              <w:rPr>
                <w:rStyle w:val="Hyperlink"/>
                <w:position w:val="2"/>
                <w:lang w:eastAsia="en-GB"/>
              </w:rPr>
              <w:t>2</w:t>
            </w:r>
            <w:r w:rsidRPr="005F1BEC">
              <w:rPr>
                <w:rStyle w:val="Hyperlink"/>
                <w:position w:val="2"/>
                <w:lang w:eastAsia="en-GB"/>
              </w:rPr>
              <w:fldChar w:fldCharType="end"/>
            </w:r>
            <w:r w:rsidRPr="005F1BEC">
              <w:rPr>
                <w:rFonts w:hint="cs"/>
                <w:position w:val="2"/>
                <w:rtl/>
              </w:rPr>
              <w:t xml:space="preserve">، </w:t>
            </w:r>
            <w:hyperlink r:id="rId8" w:history="1">
              <w:r w:rsidRPr="005F1BEC">
                <w:rPr>
                  <w:rStyle w:val="Hyperlink"/>
                  <w:position w:val="2"/>
                  <w:lang w:eastAsia="en-GB"/>
                </w:rPr>
                <w:t>C25/101</w:t>
              </w:r>
            </w:hyperlink>
            <w:bookmarkEnd w:id="2"/>
          </w:p>
        </w:tc>
      </w:tr>
      <w:tr w:rsidR="000D654F" w:rsidRPr="005F1BEC" w14:paraId="77A42038" w14:textId="77777777" w:rsidTr="00375A19">
        <w:trPr>
          <w:trHeight w:val="20"/>
          <w:jc w:val="center"/>
        </w:trPr>
        <w:tc>
          <w:tcPr>
            <w:tcW w:w="242" w:type="pct"/>
          </w:tcPr>
          <w:p w14:paraId="0CFB0F66" w14:textId="77777777" w:rsidR="000D654F" w:rsidRPr="005F1BEC" w:rsidRDefault="000D654F" w:rsidP="00EA1224">
            <w:pPr>
              <w:spacing w:before="80" w:after="80" w:line="280" w:lineRule="exact"/>
              <w:rPr>
                <w:position w:val="2"/>
              </w:rPr>
            </w:pPr>
            <w:r w:rsidRPr="005F1BEC">
              <w:rPr>
                <w:position w:val="2"/>
              </w:rPr>
              <w:t>2</w:t>
            </w:r>
          </w:p>
        </w:tc>
        <w:tc>
          <w:tcPr>
            <w:tcW w:w="3662" w:type="pct"/>
          </w:tcPr>
          <w:p w14:paraId="168A796C" w14:textId="3A003658" w:rsidR="000D654F" w:rsidRPr="005F1BEC" w:rsidRDefault="00E515A0" w:rsidP="00EA1224">
            <w:pPr>
              <w:spacing w:before="80" w:after="80" w:line="280" w:lineRule="exact"/>
              <w:rPr>
                <w:position w:val="2"/>
                <w:lang w:eastAsia="en-GB"/>
              </w:rPr>
            </w:pPr>
            <w:r w:rsidRPr="005F1BEC">
              <w:rPr>
                <w:position w:val="2"/>
                <w:rtl/>
                <w:lang w:eastAsia="en-GB"/>
              </w:rPr>
              <w:t>أنشطة الاتحاد الدولي للاتصالات لتعزيز دوره في بناء الثقة والأمن في استخدام</w:t>
            </w:r>
            <w:r w:rsidRPr="005F1BEC">
              <w:rPr>
                <w:rFonts w:hint="cs"/>
                <w:position w:val="2"/>
                <w:rtl/>
                <w:lang w:eastAsia="en-GB"/>
              </w:rPr>
              <w:t xml:space="preserve"> </w:t>
            </w:r>
            <w:r w:rsidRPr="005F1BEC">
              <w:rPr>
                <w:position w:val="2"/>
                <w:rtl/>
                <w:lang w:eastAsia="en-GB"/>
              </w:rPr>
              <w:t>تكنولوجيا المعلومات والاتصالات</w:t>
            </w:r>
          </w:p>
        </w:tc>
        <w:tc>
          <w:tcPr>
            <w:tcW w:w="1096" w:type="pct"/>
          </w:tcPr>
          <w:p w14:paraId="5960F501" w14:textId="6100AB11" w:rsidR="000D654F" w:rsidRPr="005F1BEC" w:rsidRDefault="000D654F" w:rsidP="00EA1224">
            <w:pPr>
              <w:spacing w:before="80" w:after="80" w:line="280" w:lineRule="exact"/>
              <w:jc w:val="center"/>
              <w:rPr>
                <w:rStyle w:val="Hyperlink"/>
                <w:position w:val="2"/>
                <w:lang w:eastAsia="en-GB"/>
              </w:rPr>
            </w:pPr>
            <w:hyperlink r:id="rId9" w:history="1">
              <w:r w:rsidRPr="005F1BEC">
                <w:rPr>
                  <w:rStyle w:val="Hyperlink"/>
                  <w:position w:val="2"/>
                  <w:lang w:eastAsia="en-GB"/>
                </w:rPr>
                <w:t>C25/18</w:t>
              </w:r>
            </w:hyperlink>
            <w:r w:rsidRPr="005F1BEC">
              <w:rPr>
                <w:rFonts w:hint="cs"/>
                <w:position w:val="2"/>
                <w:rtl/>
              </w:rPr>
              <w:t xml:space="preserve">، </w:t>
            </w:r>
            <w:hyperlink r:id="rId10" w:history="1">
              <w:r w:rsidRPr="005F1BEC">
                <w:rPr>
                  <w:rStyle w:val="Hyperlink"/>
                  <w:position w:val="2"/>
                  <w:lang w:eastAsia="en-GB"/>
                </w:rPr>
                <w:t>C25/81</w:t>
              </w:r>
            </w:hyperlink>
          </w:p>
        </w:tc>
      </w:tr>
      <w:tr w:rsidR="000D654F" w:rsidRPr="005F1BEC" w14:paraId="225460CA" w14:textId="77777777" w:rsidTr="00375A19">
        <w:trPr>
          <w:trHeight w:val="20"/>
          <w:jc w:val="center"/>
        </w:trPr>
        <w:tc>
          <w:tcPr>
            <w:tcW w:w="242" w:type="pct"/>
          </w:tcPr>
          <w:p w14:paraId="6E750405" w14:textId="77777777" w:rsidR="000D654F" w:rsidRPr="005F1BEC" w:rsidRDefault="000D654F" w:rsidP="00EA1224">
            <w:pPr>
              <w:spacing w:before="80" w:after="80" w:line="280" w:lineRule="exact"/>
              <w:rPr>
                <w:position w:val="2"/>
              </w:rPr>
            </w:pPr>
            <w:r w:rsidRPr="005F1BEC">
              <w:rPr>
                <w:position w:val="2"/>
              </w:rPr>
              <w:t>3</w:t>
            </w:r>
          </w:p>
        </w:tc>
        <w:tc>
          <w:tcPr>
            <w:tcW w:w="3662" w:type="pct"/>
          </w:tcPr>
          <w:p w14:paraId="1A282170" w14:textId="3D1DC260" w:rsidR="000D654F" w:rsidRPr="005F1BEC" w:rsidRDefault="00E515A0" w:rsidP="00EA1224">
            <w:pPr>
              <w:spacing w:before="80" w:after="80" w:line="280" w:lineRule="exact"/>
              <w:rPr>
                <w:position w:val="2"/>
                <w:lang w:eastAsia="en-GB"/>
              </w:rPr>
            </w:pPr>
            <w:r w:rsidRPr="005F1BEC">
              <w:rPr>
                <w:position w:val="2"/>
                <w:rtl/>
                <w:lang w:eastAsia="en-GB"/>
              </w:rPr>
              <w:t>المشاركة الفعالة للشباب والمبادرات المتعلقة بهم في الاتحاد الدولي للاتصالات</w:t>
            </w:r>
          </w:p>
        </w:tc>
        <w:tc>
          <w:tcPr>
            <w:tcW w:w="1096" w:type="pct"/>
          </w:tcPr>
          <w:p w14:paraId="109795A4" w14:textId="77777777" w:rsidR="000D654F" w:rsidRPr="005F1BEC" w:rsidRDefault="000D654F" w:rsidP="00EA1224">
            <w:pPr>
              <w:spacing w:before="80" w:after="80" w:line="280" w:lineRule="exact"/>
              <w:jc w:val="center"/>
              <w:rPr>
                <w:rStyle w:val="Hyperlink"/>
                <w:position w:val="2"/>
                <w:lang w:eastAsia="en-GB"/>
              </w:rPr>
            </w:pPr>
            <w:hyperlink r:id="rId11" w:history="1">
              <w:r w:rsidRPr="005F1BEC">
                <w:rPr>
                  <w:rStyle w:val="Hyperlink"/>
                  <w:position w:val="2"/>
                  <w:lang w:eastAsia="en-GB"/>
                </w:rPr>
                <w:t>C25/32</w:t>
              </w:r>
            </w:hyperlink>
          </w:p>
        </w:tc>
      </w:tr>
      <w:tr w:rsidR="000D654F" w:rsidRPr="005F1BEC" w14:paraId="72E94955" w14:textId="77777777" w:rsidTr="00375A19">
        <w:trPr>
          <w:trHeight w:val="20"/>
          <w:jc w:val="center"/>
        </w:trPr>
        <w:tc>
          <w:tcPr>
            <w:tcW w:w="242" w:type="pct"/>
          </w:tcPr>
          <w:p w14:paraId="1A11DF4E" w14:textId="77777777" w:rsidR="000D654F" w:rsidRPr="005F1BEC" w:rsidRDefault="000D654F" w:rsidP="00EA1224">
            <w:pPr>
              <w:spacing w:before="80" w:after="80" w:line="280" w:lineRule="exact"/>
              <w:rPr>
                <w:position w:val="2"/>
              </w:rPr>
            </w:pPr>
            <w:r w:rsidRPr="005F1BEC">
              <w:rPr>
                <w:position w:val="2"/>
              </w:rPr>
              <w:t>4</w:t>
            </w:r>
          </w:p>
        </w:tc>
        <w:tc>
          <w:tcPr>
            <w:tcW w:w="3662" w:type="pct"/>
          </w:tcPr>
          <w:p w14:paraId="3AB07679" w14:textId="6C9EE0B2" w:rsidR="000D654F" w:rsidRPr="005F1BEC" w:rsidRDefault="00E515A0" w:rsidP="00EA1224">
            <w:pPr>
              <w:spacing w:before="80" w:after="80" w:line="280" w:lineRule="exact"/>
              <w:rPr>
                <w:position w:val="2"/>
                <w:lang w:eastAsia="en-GB"/>
              </w:rPr>
            </w:pPr>
            <w:r w:rsidRPr="005F1BEC">
              <w:rPr>
                <w:position w:val="2"/>
                <w:rtl/>
                <w:lang w:eastAsia="en-GB"/>
              </w:rPr>
              <w:t>تقرير بشأن القرار</w:t>
            </w:r>
            <w:r w:rsidRPr="005F1BEC">
              <w:rPr>
                <w:rFonts w:hint="cs"/>
                <w:position w:val="2"/>
                <w:rtl/>
                <w:lang w:eastAsia="en-GB"/>
              </w:rPr>
              <w:t xml:space="preserve"> </w:t>
            </w:r>
            <w:r w:rsidRPr="005F1BEC">
              <w:rPr>
                <w:position w:val="2"/>
                <w:rtl/>
                <w:lang w:eastAsia="en-GB"/>
              </w:rPr>
              <w:t>70</w:t>
            </w:r>
            <w:r w:rsidRPr="005F1BEC">
              <w:rPr>
                <w:rFonts w:hint="cs"/>
                <w:position w:val="2"/>
                <w:rtl/>
                <w:lang w:eastAsia="en-GB"/>
              </w:rPr>
              <w:t xml:space="preserve"> </w:t>
            </w:r>
            <w:r w:rsidRPr="005F1BEC">
              <w:rPr>
                <w:position w:val="2"/>
                <w:rtl/>
                <w:lang w:eastAsia="en-GB"/>
              </w:rPr>
              <w:t>(المراجَع في بوخارست،</w:t>
            </w:r>
            <w:r w:rsidR="00EF5816" w:rsidRPr="005F1BEC">
              <w:rPr>
                <w:rFonts w:hint="cs"/>
                <w:position w:val="2"/>
                <w:rtl/>
                <w:lang w:eastAsia="en-GB"/>
              </w:rPr>
              <w:t xml:space="preserve"> </w:t>
            </w:r>
            <w:r w:rsidRPr="005F1BEC">
              <w:rPr>
                <w:position w:val="2"/>
                <w:rtl/>
                <w:lang w:eastAsia="en-GB"/>
              </w:rPr>
              <w:t>2022) لمؤتمر المندوبين المفوضين</w:t>
            </w:r>
          </w:p>
        </w:tc>
        <w:tc>
          <w:tcPr>
            <w:tcW w:w="1096" w:type="pct"/>
          </w:tcPr>
          <w:p w14:paraId="1EBDD035" w14:textId="77777777" w:rsidR="000D654F" w:rsidRPr="005F1BEC" w:rsidRDefault="000D654F" w:rsidP="00EA1224">
            <w:pPr>
              <w:spacing w:before="80" w:after="80" w:line="280" w:lineRule="exact"/>
              <w:jc w:val="center"/>
              <w:rPr>
                <w:rStyle w:val="Hyperlink"/>
                <w:position w:val="2"/>
                <w:lang w:eastAsia="en-GB"/>
              </w:rPr>
            </w:pPr>
            <w:hyperlink r:id="rId12" w:history="1">
              <w:r w:rsidRPr="005F1BEC">
                <w:rPr>
                  <w:rStyle w:val="Hyperlink"/>
                  <w:position w:val="2"/>
                  <w:lang w:eastAsia="en-GB"/>
                </w:rPr>
                <w:t>C25/6</w:t>
              </w:r>
            </w:hyperlink>
          </w:p>
        </w:tc>
      </w:tr>
      <w:tr w:rsidR="000D654F" w:rsidRPr="005F1BEC" w14:paraId="4EE03C9A" w14:textId="77777777" w:rsidTr="00375A19">
        <w:trPr>
          <w:trHeight w:val="20"/>
          <w:jc w:val="center"/>
        </w:trPr>
        <w:tc>
          <w:tcPr>
            <w:tcW w:w="242" w:type="pct"/>
          </w:tcPr>
          <w:p w14:paraId="7AAF380A" w14:textId="77777777" w:rsidR="000D654F" w:rsidRPr="005F1BEC" w:rsidRDefault="000D654F" w:rsidP="00EA1224">
            <w:pPr>
              <w:spacing w:before="80" w:after="80" w:line="280" w:lineRule="exact"/>
              <w:rPr>
                <w:position w:val="2"/>
              </w:rPr>
            </w:pPr>
            <w:r w:rsidRPr="005F1BEC">
              <w:rPr>
                <w:position w:val="2"/>
              </w:rPr>
              <w:t>5</w:t>
            </w:r>
          </w:p>
        </w:tc>
        <w:tc>
          <w:tcPr>
            <w:tcW w:w="3662" w:type="pct"/>
          </w:tcPr>
          <w:p w14:paraId="2F05C2B5" w14:textId="7BEAC8E3" w:rsidR="000D654F" w:rsidRPr="005F1BEC" w:rsidRDefault="00EF5816" w:rsidP="00EA1224">
            <w:pPr>
              <w:spacing w:before="80" w:after="80" w:line="280" w:lineRule="exact"/>
              <w:rPr>
                <w:position w:val="2"/>
                <w:lang w:eastAsia="en-GB"/>
              </w:rPr>
            </w:pPr>
            <w:r w:rsidRPr="005F1BEC">
              <w:rPr>
                <w:position w:val="2"/>
                <w:rtl/>
                <w:lang w:eastAsia="en-GB"/>
              </w:rPr>
              <w:t>رسالة من إدارة الهند بشأن مؤتمر المندوبين المفوضين لعام</w:t>
            </w:r>
            <w:r w:rsidRPr="005F1BEC">
              <w:rPr>
                <w:rFonts w:hint="cs"/>
                <w:position w:val="2"/>
                <w:rtl/>
                <w:lang w:eastAsia="en-GB"/>
              </w:rPr>
              <w:t xml:space="preserve"> </w:t>
            </w:r>
            <w:r w:rsidRPr="005F1BEC">
              <w:rPr>
                <w:position w:val="2"/>
                <w:lang w:eastAsia="en-GB"/>
              </w:rPr>
              <w:t>2030</w:t>
            </w:r>
            <w:r w:rsidRPr="005F1BEC">
              <w:rPr>
                <w:rFonts w:hint="cs"/>
                <w:position w:val="2"/>
                <w:rtl/>
                <w:lang w:eastAsia="en-GB"/>
              </w:rPr>
              <w:t xml:space="preserve"> </w:t>
            </w:r>
            <w:r w:rsidRPr="005F1BEC">
              <w:rPr>
                <w:position w:val="2"/>
                <w:rtl/>
                <w:lang w:eastAsia="en-GB"/>
              </w:rPr>
              <w:t>(</w:t>
            </w:r>
            <w:r w:rsidRPr="005F1BEC">
              <w:rPr>
                <w:position w:val="2"/>
                <w:lang w:eastAsia="en-GB"/>
              </w:rPr>
              <w:t>PP-30</w:t>
            </w:r>
            <w:r w:rsidRPr="005F1BEC">
              <w:rPr>
                <w:position w:val="2"/>
                <w:rtl/>
                <w:lang w:eastAsia="en-GB"/>
              </w:rPr>
              <w:t>)</w:t>
            </w:r>
            <w:r w:rsidRPr="005F1BEC">
              <w:rPr>
                <w:rFonts w:hint="cs"/>
                <w:position w:val="2"/>
                <w:rtl/>
                <w:lang w:eastAsia="en-GB"/>
              </w:rPr>
              <w:t xml:space="preserve"> (</w:t>
            </w:r>
            <w:r w:rsidR="00284783" w:rsidRPr="005F1BEC">
              <w:rPr>
                <w:rFonts w:hint="cs"/>
                <w:position w:val="2"/>
                <w:rtl/>
                <w:lang w:eastAsia="en-GB"/>
              </w:rPr>
              <w:t xml:space="preserve"> </w:t>
            </w:r>
            <w:r w:rsidR="0060230C" w:rsidRPr="005F1BEC">
              <w:rPr>
                <w:i/>
                <w:iCs/>
                <w:position w:val="2"/>
                <w:rtl/>
                <w:lang w:eastAsia="en-GB"/>
              </w:rPr>
              <w:t>تابع</w:t>
            </w:r>
            <w:r w:rsidRPr="005F1BEC">
              <w:rPr>
                <w:rFonts w:hint="cs"/>
                <w:position w:val="2"/>
                <w:rtl/>
                <w:lang w:eastAsia="en-GB"/>
              </w:rPr>
              <w:t>)</w:t>
            </w:r>
          </w:p>
        </w:tc>
        <w:tc>
          <w:tcPr>
            <w:tcW w:w="1096" w:type="pct"/>
          </w:tcPr>
          <w:p w14:paraId="0B0B62F6" w14:textId="59FE4CBF" w:rsidR="000D654F" w:rsidRPr="005F1BEC" w:rsidRDefault="000D654F" w:rsidP="00EA1224">
            <w:pPr>
              <w:spacing w:before="80" w:after="80" w:line="280" w:lineRule="exact"/>
              <w:jc w:val="center"/>
              <w:rPr>
                <w:rStyle w:val="Hyperlink"/>
                <w:position w:val="2"/>
                <w:lang w:eastAsia="en-GB"/>
              </w:rPr>
            </w:pPr>
            <w:hyperlink r:id="rId13" w:history="1">
              <w:r w:rsidRPr="005F1BEC">
                <w:rPr>
                  <w:rStyle w:val="Hyperlink"/>
                  <w:position w:val="2"/>
                  <w:lang w:eastAsia="en-GB"/>
                </w:rPr>
                <w:t>C25/19</w:t>
              </w:r>
            </w:hyperlink>
            <w:r w:rsidRPr="005F1BEC">
              <w:rPr>
                <w:rFonts w:hint="cs"/>
                <w:position w:val="2"/>
                <w:rtl/>
              </w:rPr>
              <w:t xml:space="preserve">، </w:t>
            </w:r>
            <w:hyperlink r:id="rId14" w:history="1">
              <w:r w:rsidRPr="005F1BEC">
                <w:rPr>
                  <w:rStyle w:val="Hyperlink"/>
                  <w:position w:val="2"/>
                  <w:lang w:eastAsia="en-GB"/>
                </w:rPr>
                <w:t>C25/73</w:t>
              </w:r>
            </w:hyperlink>
          </w:p>
        </w:tc>
      </w:tr>
      <w:tr w:rsidR="000D654F" w:rsidRPr="005F1BEC" w14:paraId="607B937E" w14:textId="77777777" w:rsidTr="00375A19">
        <w:trPr>
          <w:trHeight w:val="20"/>
          <w:jc w:val="center"/>
        </w:trPr>
        <w:tc>
          <w:tcPr>
            <w:tcW w:w="242" w:type="pct"/>
          </w:tcPr>
          <w:p w14:paraId="0B81B37E" w14:textId="77777777" w:rsidR="000D654F" w:rsidRPr="005F1BEC" w:rsidRDefault="000D654F" w:rsidP="00EA1224">
            <w:pPr>
              <w:spacing w:before="80" w:after="80" w:line="280" w:lineRule="exact"/>
              <w:rPr>
                <w:position w:val="2"/>
              </w:rPr>
            </w:pPr>
            <w:r w:rsidRPr="005F1BEC">
              <w:rPr>
                <w:position w:val="2"/>
              </w:rPr>
              <w:t>6</w:t>
            </w:r>
          </w:p>
        </w:tc>
        <w:tc>
          <w:tcPr>
            <w:tcW w:w="3662" w:type="pct"/>
          </w:tcPr>
          <w:p w14:paraId="09CFB08F" w14:textId="70328570" w:rsidR="000D654F" w:rsidRPr="005F1BEC" w:rsidRDefault="00EF5816" w:rsidP="00EA1224">
            <w:pPr>
              <w:spacing w:before="80" w:after="80" w:line="280" w:lineRule="exact"/>
              <w:rPr>
                <w:position w:val="2"/>
                <w:lang w:eastAsia="en-GB"/>
              </w:rPr>
            </w:pPr>
            <w:r w:rsidRPr="005F1BEC">
              <w:rPr>
                <w:position w:val="2"/>
                <w:rtl/>
                <w:lang w:eastAsia="en-GB"/>
              </w:rPr>
              <w:t xml:space="preserve">المواعيد والمدة المقترحة لدورات المجلس للأعوام </w:t>
            </w:r>
            <w:r w:rsidRPr="005F1BEC">
              <w:rPr>
                <w:position w:val="2"/>
                <w:lang w:eastAsia="en-GB"/>
              </w:rPr>
              <w:t>2026</w:t>
            </w:r>
            <w:r w:rsidRPr="005F1BEC">
              <w:rPr>
                <w:position w:val="2"/>
                <w:rtl/>
                <w:lang w:eastAsia="en-GB"/>
              </w:rPr>
              <w:t xml:space="preserve"> و</w:t>
            </w:r>
            <w:r w:rsidRPr="005F1BEC">
              <w:rPr>
                <w:position w:val="2"/>
                <w:lang w:eastAsia="en-GB"/>
              </w:rPr>
              <w:t>2027</w:t>
            </w:r>
            <w:r w:rsidRPr="005F1BEC">
              <w:rPr>
                <w:position w:val="2"/>
                <w:rtl/>
                <w:lang w:eastAsia="en-GB"/>
              </w:rPr>
              <w:t xml:space="preserve"> و</w:t>
            </w:r>
            <w:r w:rsidRPr="005F1BEC">
              <w:rPr>
                <w:position w:val="2"/>
                <w:lang w:eastAsia="en-GB"/>
              </w:rPr>
              <w:t>2028</w:t>
            </w:r>
            <w:r w:rsidRPr="005F1BEC">
              <w:rPr>
                <w:position w:val="2"/>
                <w:rtl/>
                <w:lang w:eastAsia="en-GB"/>
              </w:rPr>
              <w:t xml:space="preserve"> إلى جانب المواعيد المقترحة لمجموعات أفرقة العمل وأفرقة الخبراء التابعة للمجلس خلال الفترة نفسها</w:t>
            </w:r>
          </w:p>
        </w:tc>
        <w:tc>
          <w:tcPr>
            <w:tcW w:w="1096" w:type="pct"/>
          </w:tcPr>
          <w:p w14:paraId="7FB511DF" w14:textId="77777777" w:rsidR="000D654F" w:rsidRPr="005F1BEC" w:rsidRDefault="000D654F" w:rsidP="00EA1224">
            <w:pPr>
              <w:spacing w:before="80" w:after="80" w:line="280" w:lineRule="exact"/>
              <w:jc w:val="center"/>
              <w:rPr>
                <w:position w:val="2"/>
              </w:rPr>
            </w:pPr>
            <w:hyperlink r:id="rId15" w:history="1">
              <w:r w:rsidRPr="005F1BEC">
                <w:rPr>
                  <w:rStyle w:val="Hyperlink"/>
                  <w:position w:val="2"/>
                  <w:lang w:eastAsia="en-GB"/>
                </w:rPr>
                <w:t>C25/2</w:t>
              </w:r>
            </w:hyperlink>
          </w:p>
        </w:tc>
      </w:tr>
      <w:tr w:rsidR="000D654F" w:rsidRPr="005F1BEC" w14:paraId="484A7418" w14:textId="77777777" w:rsidTr="00375A19">
        <w:trPr>
          <w:trHeight w:val="20"/>
          <w:jc w:val="center"/>
        </w:trPr>
        <w:tc>
          <w:tcPr>
            <w:tcW w:w="242" w:type="pct"/>
          </w:tcPr>
          <w:p w14:paraId="7FD62FCC" w14:textId="77777777" w:rsidR="000D654F" w:rsidRPr="005F1BEC" w:rsidRDefault="000D654F" w:rsidP="00EA1224">
            <w:pPr>
              <w:spacing w:before="80" w:after="80" w:line="280" w:lineRule="exact"/>
              <w:rPr>
                <w:position w:val="2"/>
              </w:rPr>
            </w:pPr>
            <w:r w:rsidRPr="005F1BEC">
              <w:rPr>
                <w:position w:val="2"/>
              </w:rPr>
              <w:t>7</w:t>
            </w:r>
          </w:p>
        </w:tc>
        <w:tc>
          <w:tcPr>
            <w:tcW w:w="3662" w:type="pct"/>
          </w:tcPr>
          <w:p w14:paraId="56F49BF2" w14:textId="42293FA9" w:rsidR="000D654F" w:rsidRPr="005F1BEC" w:rsidRDefault="00EF5816" w:rsidP="00EA1224">
            <w:pPr>
              <w:spacing w:before="80" w:after="80" w:line="280" w:lineRule="exact"/>
              <w:rPr>
                <w:position w:val="2"/>
                <w:lang w:eastAsia="en-GB"/>
              </w:rPr>
            </w:pPr>
            <w:r w:rsidRPr="005F1BEC">
              <w:rPr>
                <w:position w:val="2"/>
                <w:rtl/>
                <w:lang w:eastAsia="en-GB"/>
              </w:rPr>
              <w:t>الجدول الزمني لمؤتمرات الاتحاد وجمعياته واجتماعاته المقبلة:</w:t>
            </w:r>
            <w:r w:rsidRPr="005F1BEC">
              <w:rPr>
                <w:rFonts w:hint="cs"/>
                <w:position w:val="2"/>
                <w:rtl/>
                <w:lang w:eastAsia="en-GB"/>
              </w:rPr>
              <w:t xml:space="preserve"> </w:t>
            </w:r>
            <w:r w:rsidRPr="005F1BEC">
              <w:rPr>
                <w:position w:val="2"/>
                <w:lang w:eastAsia="en-GB"/>
              </w:rPr>
              <w:t>2025</w:t>
            </w:r>
            <w:r w:rsidRPr="005F1BEC">
              <w:rPr>
                <w:position w:val="2"/>
                <w:rtl/>
                <w:lang w:eastAsia="en-GB"/>
              </w:rPr>
              <w:t>-</w:t>
            </w:r>
            <w:r w:rsidRPr="005F1BEC">
              <w:rPr>
                <w:position w:val="2"/>
                <w:lang w:eastAsia="en-GB"/>
              </w:rPr>
              <w:t>2028</w:t>
            </w:r>
          </w:p>
        </w:tc>
        <w:tc>
          <w:tcPr>
            <w:tcW w:w="1096" w:type="pct"/>
          </w:tcPr>
          <w:p w14:paraId="010F700E" w14:textId="77777777" w:rsidR="000D654F" w:rsidRPr="005F1BEC" w:rsidRDefault="000D654F" w:rsidP="00EA1224">
            <w:pPr>
              <w:spacing w:before="80" w:after="80" w:line="280" w:lineRule="exact"/>
              <w:jc w:val="center"/>
              <w:rPr>
                <w:rStyle w:val="Hyperlink"/>
                <w:position w:val="2"/>
                <w:lang w:eastAsia="en-GB"/>
              </w:rPr>
            </w:pPr>
            <w:hyperlink r:id="rId16" w:history="1">
              <w:r w:rsidRPr="005F1BEC">
                <w:rPr>
                  <w:rStyle w:val="Hyperlink"/>
                  <w:position w:val="2"/>
                  <w:lang w:eastAsia="en-GB"/>
                </w:rPr>
                <w:t>C25/37</w:t>
              </w:r>
            </w:hyperlink>
          </w:p>
        </w:tc>
      </w:tr>
      <w:bookmarkEnd w:id="0"/>
      <w:bookmarkEnd w:id="1"/>
    </w:tbl>
    <w:p w14:paraId="6742E6D4" w14:textId="77777777" w:rsidR="00F50E3F" w:rsidRDefault="00F50E3F" w:rsidP="0043260A">
      <w:pPr>
        <w:rPr>
          <w:rtl/>
          <w:lang w:bidi="ar-EG"/>
        </w:rPr>
      </w:pPr>
      <w:r>
        <w:rPr>
          <w:rtl/>
          <w:lang w:bidi="ar-EG"/>
        </w:rPr>
        <w:br w:type="page"/>
      </w:r>
    </w:p>
    <w:p w14:paraId="10EF24B3" w14:textId="75B10765" w:rsidR="00280A83" w:rsidRPr="00280A83" w:rsidRDefault="00280A83" w:rsidP="00121F0E">
      <w:pPr>
        <w:pStyle w:val="Heading1"/>
        <w:rPr>
          <w:lang w:val="ar-SA" w:bidi="ar-EG"/>
        </w:rPr>
      </w:pPr>
      <w:r w:rsidRPr="00280A83">
        <w:rPr>
          <w:rtl/>
        </w:rPr>
        <w:lastRenderedPageBreak/>
        <w:t>1</w:t>
      </w:r>
      <w:r w:rsidRPr="00280A83">
        <w:rPr>
          <w:rtl/>
        </w:rPr>
        <w:tab/>
      </w:r>
      <w:r w:rsidR="0060230C" w:rsidRPr="0060230C">
        <w:rPr>
          <w:rtl/>
        </w:rPr>
        <w:t>تقرير عن الأماكن المقترحة لجمعية الاتصالات الراديوية لعام 2027 (</w:t>
      </w:r>
      <w:r w:rsidR="0060230C" w:rsidRPr="0060230C">
        <w:t>RA-27</w:t>
      </w:r>
      <w:r w:rsidR="0060230C" w:rsidRPr="0060230C">
        <w:rPr>
          <w:rtl/>
        </w:rPr>
        <w:t>) والمؤتمر العالمي للاتصالات الراديوية لعام 2027 (</w:t>
      </w:r>
      <w:r w:rsidR="0060230C" w:rsidRPr="0060230C">
        <w:t>WRC-27</w:t>
      </w:r>
      <w:r w:rsidR="0060230C" w:rsidRPr="0060230C">
        <w:rPr>
          <w:rtl/>
        </w:rPr>
        <w:t>) والدورة الأولى للاجتماع التحضيري للمؤتمر (</w:t>
      </w:r>
      <w:r w:rsidR="0060230C" w:rsidRPr="0060230C">
        <w:t>CPM31-1</w:t>
      </w:r>
      <w:r w:rsidR="0060230C" w:rsidRPr="0060230C">
        <w:rPr>
          <w:rtl/>
        </w:rPr>
        <w:t xml:space="preserve">) </w:t>
      </w:r>
      <w:r w:rsidR="0060230C" w:rsidRPr="00284783">
        <w:rPr>
          <w:rtl/>
        </w:rPr>
        <w:t>(</w:t>
      </w:r>
      <w:r w:rsidR="00284783">
        <w:rPr>
          <w:rFonts w:hint="cs"/>
          <w:rtl/>
        </w:rPr>
        <w:t xml:space="preserve"> </w:t>
      </w:r>
      <w:r w:rsidR="0060230C" w:rsidRPr="00284783">
        <w:rPr>
          <w:i/>
          <w:iCs/>
          <w:rtl/>
        </w:rPr>
        <w:t>تابع</w:t>
      </w:r>
      <w:r w:rsidR="0060230C" w:rsidRPr="00284783">
        <w:rPr>
          <w:rtl/>
        </w:rPr>
        <w:t>)</w:t>
      </w:r>
      <w:r w:rsidRPr="00280A83">
        <w:rPr>
          <w:rtl/>
        </w:rPr>
        <w:t xml:space="preserve"> (الوثيقة </w:t>
      </w:r>
      <w:hyperlink r:id="rId17" w:history="1">
        <w:r w:rsidRPr="00121F0E">
          <w:rPr>
            <w:rStyle w:val="Hyperlink"/>
            <w:noProof w:val="0"/>
            <w:rtl/>
            <w:lang w:val="en-US" w:eastAsia="zh-CN"/>
          </w:rPr>
          <w:t>C25/58 وإضافتا</w:t>
        </w:r>
        <w:r w:rsidR="00FA4931">
          <w:rPr>
            <w:rStyle w:val="Hyperlink"/>
            <w:rFonts w:hint="cs"/>
            <w:noProof w:val="0"/>
            <w:rtl/>
            <w:lang w:val="en-US" w:eastAsia="zh-CN"/>
          </w:rPr>
          <w:t>ها</w:t>
        </w:r>
        <w:r w:rsidRPr="00121F0E">
          <w:rPr>
            <w:rStyle w:val="Hyperlink"/>
            <w:noProof w:val="0"/>
            <w:rtl/>
            <w:lang w:val="en-US" w:eastAsia="zh-CN"/>
          </w:rPr>
          <w:t xml:space="preserve"> 1 و2</w:t>
        </w:r>
      </w:hyperlink>
      <w:r w:rsidRPr="00280A83">
        <w:rPr>
          <w:rtl/>
        </w:rPr>
        <w:t xml:space="preserve"> والوثيقة </w:t>
      </w:r>
      <w:hyperlink r:id="rId18" w:history="1">
        <w:r w:rsidRPr="00121F0E">
          <w:rPr>
            <w:rStyle w:val="Hyperlink"/>
            <w:noProof w:val="0"/>
            <w:rtl/>
            <w:lang w:val="en-US" w:eastAsia="zh-CN"/>
          </w:rPr>
          <w:t>C25/101</w:t>
        </w:r>
      </w:hyperlink>
      <w:r w:rsidRPr="00280A83">
        <w:rPr>
          <w:rtl/>
        </w:rPr>
        <w:t>)</w:t>
      </w:r>
    </w:p>
    <w:p w14:paraId="415FB2B5" w14:textId="12465E40" w:rsidR="00280A83" w:rsidRPr="00280A83" w:rsidRDefault="00D010DA" w:rsidP="00280A83">
      <w:pPr>
        <w:rPr>
          <w:lang w:val="ar-SA" w:bidi="ar-EG"/>
        </w:rPr>
      </w:pPr>
      <w:r>
        <w:t>1.1</w:t>
      </w:r>
      <w:r w:rsidR="00280A83" w:rsidRPr="00280A83">
        <w:rPr>
          <w:rtl/>
        </w:rPr>
        <w:tab/>
        <w:t>ذكّرت الرئيسة بأن عضو المجلس من الصين، بتأييد من عضو المجلس من كوبا، قد اقترح إنهاء المناقشات بشأن هذا البند، وأن اثنين من أعضاء المجلس قد تدخلا بالفعل وعارضا هذا الاقتراح. وعملاً بالرقم 107 من القواعد العامة لمؤتمرات الاتحاد وجمعياته واجتماعاته، ينبغي الآن عرض هذا الاقتراح للتصويت. ووفقاً للمادة 19 من النظام الداخلي للمجلس، طلب عضو المجلس من الصين، بتأييد من عضوَيْ المجلس من كوبا وتنزانيا، إجراء هذا التصويت بالاقتراع السري. وبعد أن أكد المستشار القانوني أنه في حالة الموافقة على هذا الاقتراح، سيشرع المجلس في التصويت على الدعوة المقدمة من الصين لاستضافة جمعية الاتصالات الراديوية لعام 2027 (RA-27) والمؤتمر العالمي للاتصالات الراديوية لعام 2027 (WRC-27) والدورة الأولى للاجتماع التحضيري للمؤتمر WRC-31</w:t>
      </w:r>
      <w:r w:rsidR="005F1BEC">
        <w:rPr>
          <w:rFonts w:hint="cs"/>
          <w:rtl/>
        </w:rPr>
        <w:t xml:space="preserve"> </w:t>
      </w:r>
      <w:r w:rsidR="005F1BEC" w:rsidRPr="005E7D53">
        <w:t>(CPM31</w:t>
      </w:r>
      <w:r w:rsidR="005F1BEC" w:rsidRPr="005E7D53">
        <w:noBreakHyphen/>
        <w:t>1)</w:t>
      </w:r>
      <w:r w:rsidR="005F1BEC">
        <w:rPr>
          <w:rFonts w:hint="cs"/>
          <w:rtl/>
        </w:rPr>
        <w:t xml:space="preserve"> </w:t>
      </w:r>
      <w:r w:rsidR="00280A83" w:rsidRPr="00280A83">
        <w:rPr>
          <w:rtl/>
        </w:rPr>
        <w:t>في</w:t>
      </w:r>
      <w:r w:rsidR="00B17769">
        <w:rPr>
          <w:rFonts w:hint="eastAsia"/>
          <w:rtl/>
        </w:rPr>
        <w:t> </w:t>
      </w:r>
      <w:r w:rsidR="00280A83" w:rsidRPr="00280A83">
        <w:rPr>
          <w:rtl/>
        </w:rPr>
        <w:t>شنغهاي، طلب أعضاء المجلس من الصين وكوبا وإندونيسيا أن يُجرى هذا التصويت أيضاً بالاقتراع السري.</w:t>
      </w:r>
    </w:p>
    <w:p w14:paraId="0F578EC4" w14:textId="65622EDC" w:rsidR="00280A83" w:rsidRPr="00280A83" w:rsidRDefault="00D010DA" w:rsidP="00280A83">
      <w:pPr>
        <w:rPr>
          <w:lang w:val="ar-SA" w:bidi="ar-EG"/>
        </w:rPr>
      </w:pPr>
      <w:r>
        <w:t>2.1</w:t>
      </w:r>
      <w:r w:rsidR="00280A83" w:rsidRPr="00280A83">
        <w:rPr>
          <w:rtl/>
        </w:rPr>
        <w:tab/>
        <w:t>وبالنيابة عن الرئيسة، أعلن المستشار القانوني، بعد أن أكد اكتمال النصاب القانوني، أن التصويت على اقتراح إنهاء المناقشة بموجب الرقم 107 من القواعد العامة سيُجرى بالاقتراع السري، وأعلن بدء عملية التصويت.</w:t>
      </w:r>
    </w:p>
    <w:p w14:paraId="2D0CB3D8" w14:textId="77777777" w:rsidR="00280A83" w:rsidRPr="00280A83" w:rsidRDefault="00280A83" w:rsidP="00280A83">
      <w:pPr>
        <w:rPr>
          <w:lang w:val="ar-SA" w:bidi="ar-EG"/>
        </w:rPr>
      </w:pPr>
      <w:r w:rsidRPr="00280A83">
        <w:rPr>
          <w:rtl/>
        </w:rPr>
        <w:t>3-1</w:t>
      </w:r>
      <w:r w:rsidRPr="00280A83">
        <w:rPr>
          <w:rtl/>
        </w:rPr>
        <w:tab/>
        <w:t>وأعلنت الرئيسة نتائج التصويت:</w:t>
      </w:r>
    </w:p>
    <w:p w14:paraId="5B5C399D" w14:textId="52D18E68" w:rsidR="00280A83" w:rsidRPr="00280A83" w:rsidRDefault="00F56B32" w:rsidP="00F56B32">
      <w:pPr>
        <w:pStyle w:val="enumlev1"/>
        <w:tabs>
          <w:tab w:val="right" w:pos="4818"/>
        </w:tabs>
        <w:rPr>
          <w:lang w:val="ar-SA" w:bidi="ar-EG"/>
        </w:rPr>
      </w:pPr>
      <w:r>
        <w:tab/>
      </w:r>
      <w:r w:rsidR="00280A83" w:rsidRPr="00280A83">
        <w:rPr>
          <w:rtl/>
        </w:rPr>
        <w:t>عدد بطاقات الاقتراع المودعة:</w:t>
      </w:r>
      <w:r w:rsidR="00280A83" w:rsidRPr="00280A83">
        <w:rPr>
          <w:rtl/>
        </w:rPr>
        <w:tab/>
        <w:t>48</w:t>
      </w:r>
    </w:p>
    <w:p w14:paraId="7C1B1532" w14:textId="4C51064B" w:rsidR="00280A83" w:rsidRPr="00280A83" w:rsidRDefault="00F56B32" w:rsidP="00F56B32">
      <w:pPr>
        <w:pStyle w:val="enumlev1"/>
        <w:tabs>
          <w:tab w:val="right" w:pos="4818"/>
        </w:tabs>
        <w:rPr>
          <w:lang w:val="ar-SA" w:bidi="ar-EG"/>
        </w:rPr>
      </w:pPr>
      <w:r>
        <w:tab/>
      </w:r>
      <w:r w:rsidR="00280A83" w:rsidRPr="00280A83">
        <w:rPr>
          <w:rtl/>
        </w:rPr>
        <w:t>عدد بطاقات الاقتراع الباطلة:</w:t>
      </w:r>
      <w:r w:rsidR="00280A83" w:rsidRPr="00280A83">
        <w:rPr>
          <w:rtl/>
        </w:rPr>
        <w:tab/>
        <w:t>2</w:t>
      </w:r>
    </w:p>
    <w:p w14:paraId="36092536" w14:textId="5B6B5545" w:rsidR="00280A83" w:rsidRPr="00280A83" w:rsidRDefault="00F56B32" w:rsidP="00F56B32">
      <w:pPr>
        <w:pStyle w:val="enumlev1"/>
        <w:tabs>
          <w:tab w:val="right" w:pos="4818"/>
        </w:tabs>
        <w:rPr>
          <w:lang w:val="ar-SA" w:bidi="ar-EG"/>
        </w:rPr>
      </w:pPr>
      <w:r>
        <w:tab/>
      </w:r>
      <w:r w:rsidR="00280A83" w:rsidRPr="00280A83">
        <w:rPr>
          <w:rtl/>
        </w:rPr>
        <w:t>عدد الوفود التي امتنعت عن التصويت:</w:t>
      </w:r>
      <w:r w:rsidR="00280A83" w:rsidRPr="00280A83">
        <w:rPr>
          <w:rtl/>
        </w:rPr>
        <w:tab/>
        <w:t>6</w:t>
      </w:r>
    </w:p>
    <w:p w14:paraId="17E560D0" w14:textId="2269F483" w:rsidR="00280A83" w:rsidRPr="00280A83" w:rsidRDefault="00F56B32" w:rsidP="00F56B32">
      <w:pPr>
        <w:pStyle w:val="enumlev1"/>
        <w:tabs>
          <w:tab w:val="right" w:pos="4818"/>
        </w:tabs>
        <w:rPr>
          <w:lang w:val="ar-SA" w:bidi="ar-EG"/>
        </w:rPr>
      </w:pPr>
      <w:r>
        <w:tab/>
      </w:r>
      <w:r w:rsidR="00280A83" w:rsidRPr="00280A83">
        <w:rPr>
          <w:rtl/>
        </w:rPr>
        <w:t>عدد الوفود الحاضرة والمصوتة</w:t>
      </w:r>
      <w:r w:rsidR="00280A83" w:rsidRPr="00280A83">
        <w:rPr>
          <w:lang w:bidi="ar-EG"/>
        </w:rPr>
        <w:t>:</w:t>
      </w:r>
      <w:r w:rsidR="00DF37B5">
        <w:rPr>
          <w:rtl/>
        </w:rPr>
        <w:tab/>
      </w:r>
      <w:r w:rsidR="00280A83" w:rsidRPr="00280A83">
        <w:rPr>
          <w:rtl/>
        </w:rPr>
        <w:t>40</w:t>
      </w:r>
    </w:p>
    <w:p w14:paraId="55BFB705" w14:textId="44EF2FEE" w:rsidR="00280A83" w:rsidRPr="00280A83" w:rsidRDefault="00F56B32" w:rsidP="00F56B32">
      <w:pPr>
        <w:pStyle w:val="enumlev1"/>
        <w:tabs>
          <w:tab w:val="right" w:pos="4818"/>
        </w:tabs>
        <w:rPr>
          <w:lang w:val="ar-SA" w:bidi="ar-EG"/>
        </w:rPr>
      </w:pPr>
      <w:r>
        <w:tab/>
      </w:r>
      <w:r w:rsidR="00280A83" w:rsidRPr="00280A83">
        <w:rPr>
          <w:rtl/>
        </w:rPr>
        <w:t>الأغلبية المطلوبة</w:t>
      </w:r>
      <w:r w:rsidR="00280A83" w:rsidRPr="00280A83">
        <w:rPr>
          <w:lang w:bidi="ar-EG"/>
        </w:rPr>
        <w:t>:</w:t>
      </w:r>
      <w:r w:rsidR="00DF37B5">
        <w:rPr>
          <w:rtl/>
        </w:rPr>
        <w:tab/>
      </w:r>
      <w:r w:rsidR="00280A83" w:rsidRPr="00280A83">
        <w:rPr>
          <w:rtl/>
        </w:rPr>
        <w:t>21</w:t>
      </w:r>
    </w:p>
    <w:p w14:paraId="36DD2225" w14:textId="2EC470D4" w:rsidR="00280A83" w:rsidRPr="00280A83" w:rsidRDefault="00F56B32" w:rsidP="00F56B32">
      <w:pPr>
        <w:pStyle w:val="enumlev1"/>
        <w:tabs>
          <w:tab w:val="right" w:pos="4818"/>
        </w:tabs>
        <w:rPr>
          <w:lang w:val="ar-SA" w:bidi="ar-EG"/>
        </w:rPr>
      </w:pPr>
      <w:r>
        <w:tab/>
      </w:r>
      <w:r w:rsidR="00280A83" w:rsidRPr="00280A83">
        <w:rPr>
          <w:rtl/>
        </w:rPr>
        <w:t>تأييد الاقتراح:</w:t>
      </w:r>
      <w:r w:rsidR="00280A83" w:rsidRPr="00280A83">
        <w:rPr>
          <w:rtl/>
        </w:rPr>
        <w:tab/>
        <w:t>24</w:t>
      </w:r>
    </w:p>
    <w:p w14:paraId="5C73AB6C" w14:textId="7844BA52" w:rsidR="00280A83" w:rsidRPr="00280A83" w:rsidRDefault="00F56B32" w:rsidP="00F56B32">
      <w:pPr>
        <w:pStyle w:val="enumlev1"/>
        <w:tabs>
          <w:tab w:val="right" w:pos="4818"/>
        </w:tabs>
        <w:rPr>
          <w:lang w:val="ar-SA" w:bidi="ar-EG"/>
        </w:rPr>
      </w:pPr>
      <w:r>
        <w:tab/>
      </w:r>
      <w:r w:rsidR="00280A83" w:rsidRPr="00280A83">
        <w:rPr>
          <w:rtl/>
        </w:rPr>
        <w:t>معارضة الاقتراح</w:t>
      </w:r>
      <w:r w:rsidR="00280A83" w:rsidRPr="00280A83">
        <w:rPr>
          <w:lang w:bidi="ar-EG"/>
        </w:rPr>
        <w:t>:</w:t>
      </w:r>
      <w:r w:rsidR="00DF37B5">
        <w:rPr>
          <w:rtl/>
        </w:rPr>
        <w:tab/>
      </w:r>
      <w:r w:rsidR="00280A83" w:rsidRPr="00280A83">
        <w:rPr>
          <w:rtl/>
        </w:rPr>
        <w:t>16</w:t>
      </w:r>
    </w:p>
    <w:p w14:paraId="5C844119" w14:textId="14EC92B8" w:rsidR="00280A83" w:rsidRPr="00280A83" w:rsidRDefault="00F56B32" w:rsidP="00280A83">
      <w:pPr>
        <w:rPr>
          <w:lang w:bidi="en-GB"/>
        </w:rPr>
      </w:pPr>
      <w:r>
        <w:t>4.1</w:t>
      </w:r>
      <w:r w:rsidR="00280A83" w:rsidRPr="00280A83">
        <w:rPr>
          <w:rtl/>
        </w:rPr>
        <w:tab/>
        <w:t xml:space="preserve">‏تم </w:t>
      </w:r>
      <w:r w:rsidR="00280A83" w:rsidRPr="007D0C18">
        <w:rPr>
          <w:rtl/>
        </w:rPr>
        <w:t>تأييد</w:t>
      </w:r>
      <w:r w:rsidR="00280A83" w:rsidRPr="00280A83">
        <w:rPr>
          <w:b/>
          <w:bCs/>
          <w:rtl/>
        </w:rPr>
        <w:t xml:space="preserve"> </w:t>
      </w:r>
      <w:r w:rsidR="00280A83" w:rsidRPr="00280A83">
        <w:rPr>
          <w:rtl/>
        </w:rPr>
        <w:t>اقتراح إنهاء المناقشة بأغلبية ‎24 ‏صوتاً مقابل ‎16 ‏صوتاً، مع امتناع ‎6 ‏أعضاء عن التصويت.‎</w:t>
      </w:r>
    </w:p>
    <w:p w14:paraId="58C24761" w14:textId="11754B6E" w:rsidR="00280A83" w:rsidRPr="009067D1" w:rsidRDefault="00F56B32" w:rsidP="007D0C18">
      <w:pPr>
        <w:rPr>
          <w:lang w:val="ar-SA" w:bidi="ar-EG"/>
        </w:rPr>
      </w:pPr>
      <w:r w:rsidRPr="009067D1">
        <w:t>5.1</w:t>
      </w:r>
      <w:r w:rsidR="00280A83" w:rsidRPr="009067D1">
        <w:rPr>
          <w:rtl/>
        </w:rPr>
        <w:tab/>
        <w:t>قال المستشار القانوني إن المجلس سيشرع، نتيجة</w:t>
      </w:r>
      <w:r w:rsidR="001E46EF">
        <w:rPr>
          <w:rFonts w:hint="cs"/>
          <w:rtl/>
        </w:rPr>
        <w:t>ً</w:t>
      </w:r>
      <w:r w:rsidR="00280A83" w:rsidRPr="009067D1">
        <w:rPr>
          <w:rtl/>
        </w:rPr>
        <w:t xml:space="preserve"> لذلك، في التصويت بالاقتراع السري على دعوة الصين لاستضافة الجمعية RA-27 والمؤتمر WRC-27 والدورة CPM31-1 في شنغهاي. </w:t>
      </w:r>
      <w:r w:rsidR="00F6687C">
        <w:rPr>
          <w:rFonts w:hint="cs"/>
          <w:rtl/>
        </w:rPr>
        <w:t>و</w:t>
      </w:r>
      <w:r w:rsidR="00F6687C" w:rsidRPr="00F6687C">
        <w:rPr>
          <w:rtl/>
        </w:rPr>
        <w:t xml:space="preserve">إذا وافق المجلس على عرض الصين لاستضافة </w:t>
      </w:r>
      <w:r w:rsidR="00F6687C">
        <w:rPr>
          <w:rFonts w:hint="cs"/>
          <w:rtl/>
        </w:rPr>
        <w:t xml:space="preserve">المؤتمر </w:t>
      </w:r>
      <w:r w:rsidR="00F6687C">
        <w:rPr>
          <w:lang w:val="en-GB"/>
        </w:rPr>
        <w:t>WRC-27</w:t>
      </w:r>
      <w:r w:rsidR="00F6687C" w:rsidRPr="00F6687C">
        <w:rPr>
          <w:rtl/>
        </w:rPr>
        <w:t>، فإن الخطوة التالية ستكون عرض هذا القرار على جميع الدول الأعضاء لإقراره، وفقاً للرقم</w:t>
      </w:r>
      <w:r w:rsidR="007D0C18">
        <w:rPr>
          <w:rFonts w:hint="cs"/>
          <w:rtl/>
        </w:rPr>
        <w:t> </w:t>
      </w:r>
      <w:r w:rsidR="00F6687C" w:rsidRPr="00F6687C">
        <w:rPr>
          <w:rtl/>
        </w:rPr>
        <w:t>42 من اتفاقية الاتحاد.</w:t>
      </w:r>
      <w:r w:rsidR="00F6687C">
        <w:rPr>
          <w:rFonts w:hint="cs"/>
          <w:rtl/>
        </w:rPr>
        <w:t xml:space="preserve"> </w:t>
      </w:r>
      <w:r w:rsidR="00280A83" w:rsidRPr="009067D1">
        <w:rPr>
          <w:rtl/>
        </w:rPr>
        <w:t>ورداً على نقطة نظام، ذكَّر جميع الحاضرين بالنص الوارد في الرقم 129 من القواعد العامة الذي ينص على ضمان سرية التصويت ويحظر تصوير العملية.</w:t>
      </w:r>
    </w:p>
    <w:p w14:paraId="30393246" w14:textId="5202B197" w:rsidR="00280A83" w:rsidRPr="00280A83" w:rsidRDefault="00F56B32" w:rsidP="00280A83">
      <w:pPr>
        <w:rPr>
          <w:lang w:val="ar-SA" w:bidi="ar-EG"/>
        </w:rPr>
      </w:pPr>
      <w:r>
        <w:t>6.1</w:t>
      </w:r>
      <w:r w:rsidR="00280A83" w:rsidRPr="00280A83">
        <w:rPr>
          <w:rtl/>
        </w:rPr>
        <w:tab/>
        <w:t>وبالنيابة عن الرئيسة، وبعد أن أكد اكتمال النصاب</w:t>
      </w:r>
      <w:r w:rsidR="005F1BEC">
        <w:rPr>
          <w:rFonts w:hint="cs"/>
          <w:rtl/>
          <w:lang w:bidi="ar-EG"/>
        </w:rPr>
        <w:t xml:space="preserve"> القانوني</w:t>
      </w:r>
      <w:r w:rsidR="00280A83" w:rsidRPr="00280A83">
        <w:rPr>
          <w:rtl/>
        </w:rPr>
        <w:t>، أعلن المستشار القانوني بدء عملية التصويت. ورداً</w:t>
      </w:r>
      <w:r w:rsidR="00C55230">
        <w:rPr>
          <w:rFonts w:hint="cs"/>
          <w:rtl/>
        </w:rPr>
        <w:t> </w:t>
      </w:r>
      <w:r w:rsidR="00280A83" w:rsidRPr="00280A83">
        <w:rPr>
          <w:rtl/>
        </w:rPr>
        <w:t>على</w:t>
      </w:r>
      <w:r w:rsidR="001E46EF">
        <w:rPr>
          <w:rFonts w:hint="cs"/>
          <w:rtl/>
        </w:rPr>
        <w:t> </w:t>
      </w:r>
      <w:r w:rsidR="00280A83" w:rsidRPr="00280A83">
        <w:rPr>
          <w:rtl/>
        </w:rPr>
        <w:t>نقطة نظام، أعاد التأكيد على ضرورة الحفاظ على السرية: لا يجوز تصوير أو تسجيل عملية التصويت.</w:t>
      </w:r>
    </w:p>
    <w:p w14:paraId="1D4A7FB3" w14:textId="3857A3A1" w:rsidR="00280A83" w:rsidRPr="00280A83" w:rsidRDefault="00F56B32" w:rsidP="00280A83">
      <w:pPr>
        <w:rPr>
          <w:lang w:val="ar-SA" w:bidi="ar-EG"/>
        </w:rPr>
      </w:pPr>
      <w:r>
        <w:t>7.1</w:t>
      </w:r>
      <w:r w:rsidR="00280A83" w:rsidRPr="00280A83">
        <w:rPr>
          <w:rtl/>
        </w:rPr>
        <w:tab/>
        <w:t>وأعلنت الرئيسة نتائج التصويت:</w:t>
      </w:r>
    </w:p>
    <w:p w14:paraId="4E11A874" w14:textId="4301A1C8" w:rsidR="00280A83" w:rsidRPr="00280A83" w:rsidRDefault="001E46EF" w:rsidP="001E46EF">
      <w:pPr>
        <w:pStyle w:val="enumlev1"/>
        <w:tabs>
          <w:tab w:val="right" w:pos="4818"/>
        </w:tabs>
        <w:rPr>
          <w:lang w:val="ar-SA" w:bidi="ar-EG"/>
        </w:rPr>
      </w:pPr>
      <w:r>
        <w:rPr>
          <w:rtl/>
        </w:rPr>
        <w:tab/>
      </w:r>
      <w:r w:rsidR="00280A83" w:rsidRPr="00280A83">
        <w:rPr>
          <w:rtl/>
        </w:rPr>
        <w:t>عدد بطاقات الاقتراع المودعة:</w:t>
      </w:r>
      <w:r w:rsidR="00280A83" w:rsidRPr="00280A83">
        <w:rPr>
          <w:rtl/>
        </w:rPr>
        <w:tab/>
        <w:t>48</w:t>
      </w:r>
    </w:p>
    <w:p w14:paraId="16784D59" w14:textId="77777777" w:rsidR="00280A83" w:rsidRPr="00F56B32" w:rsidRDefault="00280A83" w:rsidP="00F56B32">
      <w:pPr>
        <w:pStyle w:val="enumlev1"/>
        <w:tabs>
          <w:tab w:val="right" w:pos="4818"/>
        </w:tabs>
      </w:pPr>
      <w:r w:rsidRPr="00280A83">
        <w:rPr>
          <w:rtl/>
        </w:rPr>
        <w:tab/>
        <w:t>عدد بطاقات الاقتراع الباطلة:</w:t>
      </w:r>
      <w:r w:rsidRPr="00280A83">
        <w:rPr>
          <w:rtl/>
        </w:rPr>
        <w:tab/>
        <w:t>1</w:t>
      </w:r>
    </w:p>
    <w:p w14:paraId="203C15B1" w14:textId="35A40585" w:rsidR="00280A83" w:rsidRPr="00F56B32" w:rsidRDefault="00F56B32" w:rsidP="00F56B32">
      <w:pPr>
        <w:pStyle w:val="enumlev1"/>
        <w:tabs>
          <w:tab w:val="right" w:pos="4818"/>
        </w:tabs>
      </w:pPr>
      <w:r>
        <w:tab/>
      </w:r>
      <w:r w:rsidR="00280A83" w:rsidRPr="00280A83">
        <w:rPr>
          <w:rtl/>
        </w:rPr>
        <w:t>عدد الوفود التي امتنعت عن التصويت:</w:t>
      </w:r>
      <w:r w:rsidR="00280A83" w:rsidRPr="00280A83">
        <w:rPr>
          <w:rtl/>
        </w:rPr>
        <w:tab/>
        <w:t>5</w:t>
      </w:r>
    </w:p>
    <w:p w14:paraId="3C18F048" w14:textId="7074946F" w:rsidR="00280A83" w:rsidRPr="00F56B32" w:rsidRDefault="00F56B32" w:rsidP="00F56B32">
      <w:pPr>
        <w:pStyle w:val="enumlev1"/>
        <w:tabs>
          <w:tab w:val="right" w:pos="4818"/>
        </w:tabs>
      </w:pPr>
      <w:r>
        <w:tab/>
      </w:r>
      <w:r w:rsidR="00280A83" w:rsidRPr="00280A83">
        <w:rPr>
          <w:rtl/>
        </w:rPr>
        <w:t>عدد الوفود الحاضرة والمصوتة:</w:t>
      </w:r>
      <w:r w:rsidR="00280A83" w:rsidRPr="00280A83">
        <w:rPr>
          <w:rtl/>
        </w:rPr>
        <w:tab/>
        <w:t>42</w:t>
      </w:r>
    </w:p>
    <w:p w14:paraId="23C6D0DA" w14:textId="436F4D5A" w:rsidR="00280A83" w:rsidRPr="00F56B32" w:rsidRDefault="00F56B32" w:rsidP="00F56B32">
      <w:pPr>
        <w:pStyle w:val="enumlev1"/>
        <w:tabs>
          <w:tab w:val="right" w:pos="4818"/>
        </w:tabs>
      </w:pPr>
      <w:r>
        <w:tab/>
      </w:r>
      <w:r w:rsidR="00280A83" w:rsidRPr="00280A83">
        <w:rPr>
          <w:rtl/>
        </w:rPr>
        <w:t>الأغلبية المطلوبة:</w:t>
      </w:r>
      <w:r w:rsidR="00280A83" w:rsidRPr="00280A83">
        <w:rPr>
          <w:rtl/>
        </w:rPr>
        <w:tab/>
        <w:t>22</w:t>
      </w:r>
    </w:p>
    <w:p w14:paraId="1D46F4BE" w14:textId="1FF7463F" w:rsidR="00280A83" w:rsidRPr="00F56B32" w:rsidRDefault="00F56B32" w:rsidP="00F56B32">
      <w:pPr>
        <w:pStyle w:val="enumlev1"/>
        <w:tabs>
          <w:tab w:val="right" w:pos="4818"/>
        </w:tabs>
      </w:pPr>
      <w:r>
        <w:tab/>
      </w:r>
      <w:r w:rsidR="00280A83" w:rsidRPr="00280A83">
        <w:rPr>
          <w:rtl/>
        </w:rPr>
        <w:t>تأييد الاقتراح:</w:t>
      </w:r>
      <w:r w:rsidR="00280A83" w:rsidRPr="00280A83">
        <w:rPr>
          <w:rtl/>
        </w:rPr>
        <w:tab/>
        <w:t>25</w:t>
      </w:r>
    </w:p>
    <w:p w14:paraId="4627E3AE" w14:textId="6C4E9C7A" w:rsidR="00280A83" w:rsidRPr="00F56B32" w:rsidRDefault="00F56B32" w:rsidP="00F56B32">
      <w:pPr>
        <w:pStyle w:val="enumlev1"/>
        <w:tabs>
          <w:tab w:val="right" w:pos="4818"/>
        </w:tabs>
      </w:pPr>
      <w:r>
        <w:tab/>
      </w:r>
      <w:r w:rsidR="00280A83" w:rsidRPr="00280A83">
        <w:rPr>
          <w:rtl/>
        </w:rPr>
        <w:t>معارضة الاقتراح:</w:t>
      </w:r>
      <w:r w:rsidR="00280A83" w:rsidRPr="00280A83">
        <w:rPr>
          <w:rtl/>
        </w:rPr>
        <w:tab/>
        <w:t>17</w:t>
      </w:r>
    </w:p>
    <w:p w14:paraId="67604B51" w14:textId="30B88F71" w:rsidR="00224644" w:rsidRDefault="00D21587" w:rsidP="00280A83">
      <w:pPr>
        <w:rPr>
          <w:rtl/>
        </w:rPr>
      </w:pPr>
      <w:r>
        <w:t>8.1</w:t>
      </w:r>
      <w:r w:rsidR="00280A83" w:rsidRPr="00280A83">
        <w:rPr>
          <w:rtl/>
        </w:rPr>
        <w:tab/>
      </w:r>
      <w:r w:rsidR="00224644" w:rsidRPr="00224644">
        <w:rPr>
          <w:rtl/>
        </w:rPr>
        <w:t>تمت الموافقة على اقتراح قبول الدعوة ب</w:t>
      </w:r>
      <w:r w:rsidR="00224644">
        <w:rPr>
          <w:rFonts w:hint="cs"/>
          <w:rtl/>
        </w:rPr>
        <w:t>أغلبية</w:t>
      </w:r>
      <w:r w:rsidR="0059604E">
        <w:rPr>
          <w:rFonts w:hint="cs"/>
          <w:rtl/>
        </w:rPr>
        <w:t xml:space="preserve"> </w:t>
      </w:r>
      <w:r w:rsidR="00224644" w:rsidRPr="00224644">
        <w:rPr>
          <w:rtl/>
        </w:rPr>
        <w:t>25 صوتاً مقابل 17، مع امتناع 5 أعضاء عن التصويت.</w:t>
      </w:r>
    </w:p>
    <w:p w14:paraId="03566F12" w14:textId="5B45D672" w:rsidR="00280A83" w:rsidRDefault="00224644" w:rsidP="00280A83">
      <w:pPr>
        <w:rPr>
          <w:spacing w:val="2"/>
        </w:rPr>
      </w:pPr>
      <w:r w:rsidRPr="00BB71C8">
        <w:rPr>
          <w:rFonts w:hint="cs"/>
          <w:spacing w:val="2"/>
          <w:rtl/>
        </w:rPr>
        <w:lastRenderedPageBreak/>
        <w:t>9.1</w:t>
      </w:r>
      <w:r w:rsidRPr="00BB71C8">
        <w:rPr>
          <w:spacing w:val="2"/>
          <w:rtl/>
        </w:rPr>
        <w:tab/>
      </w:r>
      <w:r w:rsidR="00280A83" w:rsidRPr="00BB71C8">
        <w:rPr>
          <w:spacing w:val="2"/>
          <w:rtl/>
        </w:rPr>
        <w:t xml:space="preserve">ولذلك، </w:t>
      </w:r>
      <w:r w:rsidR="00280A83" w:rsidRPr="00BB71C8">
        <w:rPr>
          <w:b/>
          <w:bCs/>
          <w:spacing w:val="2"/>
          <w:rtl/>
        </w:rPr>
        <w:t xml:space="preserve">قرر </w:t>
      </w:r>
      <w:r w:rsidR="00280A83" w:rsidRPr="00BB71C8">
        <w:rPr>
          <w:spacing w:val="2"/>
          <w:rtl/>
        </w:rPr>
        <w:t>المجلس قبول الدعوة الموجهة من الصين لاستضافة جمعية</w:t>
      </w:r>
      <w:r w:rsidRPr="00BB71C8">
        <w:rPr>
          <w:rFonts w:hint="cs"/>
          <w:spacing w:val="2"/>
          <w:rtl/>
        </w:rPr>
        <w:t xml:space="preserve"> الاتصالات الراديوية</w:t>
      </w:r>
      <w:r w:rsidR="00A117E4" w:rsidRPr="00BB71C8">
        <w:rPr>
          <w:rFonts w:hint="cs"/>
          <w:spacing w:val="2"/>
          <w:rtl/>
        </w:rPr>
        <w:t xml:space="preserve"> لعام</w:t>
      </w:r>
      <w:r w:rsidR="0059604E" w:rsidRPr="00BB71C8">
        <w:rPr>
          <w:rFonts w:hint="eastAsia"/>
          <w:spacing w:val="2"/>
          <w:rtl/>
        </w:rPr>
        <w:t> </w:t>
      </w:r>
      <w:r w:rsidR="00A117E4" w:rsidRPr="00BB71C8">
        <w:rPr>
          <w:rFonts w:hint="cs"/>
          <w:spacing w:val="2"/>
          <w:rtl/>
        </w:rPr>
        <w:t>2027</w:t>
      </w:r>
      <w:r w:rsidR="00BB71C8" w:rsidRPr="00BB71C8">
        <w:rPr>
          <w:rFonts w:hint="eastAsia"/>
          <w:spacing w:val="2"/>
          <w:rtl/>
        </w:rPr>
        <w:t> </w:t>
      </w:r>
      <w:r w:rsidRPr="00BB71C8">
        <w:rPr>
          <w:spacing w:val="2"/>
        </w:rPr>
        <w:t>(RA-27)</w:t>
      </w:r>
      <w:r w:rsidR="00280A83" w:rsidRPr="00BB71C8">
        <w:rPr>
          <w:spacing w:val="2"/>
          <w:rtl/>
        </w:rPr>
        <w:t xml:space="preserve"> </w:t>
      </w:r>
      <w:r w:rsidRPr="00BB71C8">
        <w:rPr>
          <w:rFonts w:hint="cs"/>
          <w:spacing w:val="2"/>
          <w:rtl/>
        </w:rPr>
        <w:t>والمؤتمر العالمي للاتصالات الراديوية لعام 2027</w:t>
      </w:r>
      <w:r w:rsidR="00280A83" w:rsidRPr="00BB71C8">
        <w:rPr>
          <w:spacing w:val="2"/>
          <w:rtl/>
        </w:rPr>
        <w:t xml:space="preserve"> </w:t>
      </w:r>
      <w:r w:rsidRPr="00BB71C8">
        <w:rPr>
          <w:spacing w:val="2"/>
        </w:rPr>
        <w:t>(WRC-27)</w:t>
      </w:r>
      <w:r w:rsidR="00280A83" w:rsidRPr="00BB71C8">
        <w:rPr>
          <w:spacing w:val="2"/>
          <w:rtl/>
        </w:rPr>
        <w:t xml:space="preserve"> </w:t>
      </w:r>
      <w:r w:rsidRPr="00BB71C8">
        <w:rPr>
          <w:rFonts w:hint="cs"/>
          <w:spacing w:val="2"/>
          <w:rtl/>
        </w:rPr>
        <w:t>و</w:t>
      </w:r>
      <w:r w:rsidRPr="00BB71C8">
        <w:rPr>
          <w:spacing w:val="2"/>
          <w:rtl/>
        </w:rPr>
        <w:t>الدورة الأولى للاجتماع التحضيري</w:t>
      </w:r>
      <w:r w:rsidR="0059604E" w:rsidRPr="00BB71C8">
        <w:rPr>
          <w:rFonts w:hint="cs"/>
          <w:spacing w:val="2"/>
          <w:rtl/>
        </w:rPr>
        <w:t> </w:t>
      </w:r>
      <w:r w:rsidRPr="00BB71C8">
        <w:rPr>
          <w:spacing w:val="2"/>
          <w:rtl/>
        </w:rPr>
        <w:t>ل</w:t>
      </w:r>
      <w:r w:rsidRPr="00BB71C8">
        <w:rPr>
          <w:rFonts w:hint="cs"/>
          <w:spacing w:val="2"/>
          <w:rtl/>
        </w:rPr>
        <w:t>ل</w:t>
      </w:r>
      <w:r w:rsidRPr="00BB71C8">
        <w:rPr>
          <w:spacing w:val="2"/>
          <w:rtl/>
        </w:rPr>
        <w:t xml:space="preserve">مؤتمر </w:t>
      </w:r>
      <w:r w:rsidRPr="00BB71C8">
        <w:rPr>
          <w:spacing w:val="2"/>
          <w:lang w:val="en-GB"/>
        </w:rPr>
        <w:t>(CPM31-1) WRC-31</w:t>
      </w:r>
      <w:r w:rsidR="00280A83" w:rsidRPr="00BB71C8">
        <w:rPr>
          <w:spacing w:val="2"/>
          <w:rtl/>
        </w:rPr>
        <w:t xml:space="preserve"> في شنغهاي. ونتيجة</w:t>
      </w:r>
      <w:r w:rsidR="003D758C" w:rsidRPr="00BB71C8">
        <w:rPr>
          <w:rFonts w:hint="cs"/>
          <w:spacing w:val="2"/>
          <w:rtl/>
        </w:rPr>
        <w:t>ً</w:t>
      </w:r>
      <w:r w:rsidR="00280A83" w:rsidRPr="00BB71C8">
        <w:rPr>
          <w:spacing w:val="2"/>
          <w:rtl/>
        </w:rPr>
        <w:t xml:space="preserve"> لذلك، ورهناً بموافقة أغلبية الدول الأعضاء في</w:t>
      </w:r>
      <w:r w:rsidR="00F34F4D">
        <w:rPr>
          <w:rFonts w:hint="cs"/>
          <w:spacing w:val="2"/>
          <w:rtl/>
        </w:rPr>
        <w:t> </w:t>
      </w:r>
      <w:r w:rsidR="00280A83" w:rsidRPr="00BB71C8">
        <w:rPr>
          <w:spacing w:val="2"/>
          <w:rtl/>
        </w:rPr>
        <w:t>الاتحاد، سيعقد المؤتمر العالمي للاتصالات الراديوية لعام 2027 في شنغهاي، الصين، تسبقه جمعية الاتصالات الراديوية لعام</w:t>
      </w:r>
      <w:r w:rsidR="0059604E" w:rsidRPr="00BB71C8">
        <w:rPr>
          <w:rFonts w:hint="cs"/>
          <w:spacing w:val="2"/>
          <w:rtl/>
        </w:rPr>
        <w:t> </w:t>
      </w:r>
      <w:r w:rsidR="00280A83" w:rsidRPr="00BB71C8">
        <w:rPr>
          <w:spacing w:val="2"/>
          <w:rtl/>
        </w:rPr>
        <w:t>2027.</w:t>
      </w:r>
      <w:r w:rsidR="00280A83" w:rsidRPr="00BB71C8">
        <w:rPr>
          <w:rStyle w:val="FootnoteReference"/>
          <w:spacing w:val="2"/>
          <w:rtl/>
        </w:rPr>
        <w:footnoteReference w:id="1"/>
      </w:r>
    </w:p>
    <w:p w14:paraId="69912FE0" w14:textId="62BDAD6C" w:rsidR="00DF0E99" w:rsidRPr="00994FA0" w:rsidRDefault="00F34F4D" w:rsidP="00552220">
      <w:pPr>
        <w:rPr>
          <w:szCs w:val="24"/>
          <w:rtl/>
        </w:rPr>
      </w:pPr>
      <w:r w:rsidRPr="00994FA0">
        <w:t>10.1</w:t>
      </w:r>
      <w:r w:rsidR="00280A83" w:rsidRPr="00994FA0">
        <w:rPr>
          <w:rtl/>
        </w:rPr>
        <w:tab/>
      </w:r>
      <w:r w:rsidR="00A60A8C" w:rsidRPr="00994FA0">
        <w:rPr>
          <w:rFonts w:hint="cs"/>
          <w:rtl/>
        </w:rPr>
        <w:t>أ</w:t>
      </w:r>
      <w:r w:rsidR="00DF0E99" w:rsidRPr="00994FA0">
        <w:rPr>
          <w:rtl/>
        </w:rPr>
        <w:t>لقى عضو المجلس من الولايات المتحدة البيان التالي</w:t>
      </w:r>
      <w:r w:rsidR="00DF0E99" w:rsidRPr="00994FA0">
        <w:rPr>
          <w:rFonts w:hint="cs"/>
          <w:rtl/>
        </w:rPr>
        <w:t>:</w:t>
      </w:r>
      <w:r w:rsidR="00994FA0" w:rsidRPr="00994FA0">
        <w:rPr>
          <w:rtl/>
        </w:rPr>
        <w:tab/>
      </w:r>
      <w:r w:rsidR="00994FA0" w:rsidRPr="00994FA0">
        <w:rPr>
          <w:rtl/>
        </w:rPr>
        <w:br/>
      </w:r>
      <w:hyperlink r:id="rId19" w:history="1">
        <w:r w:rsidR="00DF0E99" w:rsidRPr="00994FA0">
          <w:rPr>
            <w:rStyle w:val="Hyperlink"/>
            <w:szCs w:val="24"/>
          </w:rPr>
          <w:t>http://council.itu.int/2025/wp-content/uploads/sites/5/2025/08/Statement_United-States-26062025.pdf</w:t>
        </w:r>
      </w:hyperlink>
      <w:r w:rsidR="00DF0E99" w:rsidRPr="00994FA0">
        <w:rPr>
          <w:rFonts w:hint="cs"/>
          <w:szCs w:val="24"/>
          <w:rtl/>
        </w:rPr>
        <w:t>.</w:t>
      </w:r>
    </w:p>
    <w:p w14:paraId="227F1E1D" w14:textId="046ABC4B" w:rsidR="00280A83" w:rsidRPr="00887020" w:rsidRDefault="00552220" w:rsidP="00A60A8C">
      <w:pPr>
        <w:rPr>
          <w:spacing w:val="-1"/>
          <w:rtl/>
          <w:lang w:val="ar-SA"/>
        </w:rPr>
      </w:pPr>
      <w:r w:rsidRPr="00887020">
        <w:rPr>
          <w:spacing w:val="-1"/>
        </w:rPr>
        <w:t>11</w:t>
      </w:r>
      <w:r w:rsidR="00FD0891" w:rsidRPr="00887020">
        <w:rPr>
          <w:spacing w:val="-1"/>
        </w:rPr>
        <w:t>.1</w:t>
      </w:r>
      <w:r w:rsidR="00280A83" w:rsidRPr="00887020">
        <w:rPr>
          <w:spacing w:val="-1"/>
          <w:rtl/>
        </w:rPr>
        <w:tab/>
        <w:t>أعربت عضوة المجلس من الصين عن</w:t>
      </w:r>
      <w:r w:rsidRPr="00887020">
        <w:rPr>
          <w:rFonts w:hint="cs"/>
          <w:spacing w:val="-1"/>
          <w:rtl/>
        </w:rPr>
        <w:t xml:space="preserve"> امتنانها</w:t>
      </w:r>
      <w:r w:rsidR="00280A83" w:rsidRPr="00887020">
        <w:rPr>
          <w:spacing w:val="-1"/>
          <w:rtl/>
        </w:rPr>
        <w:t xml:space="preserve"> </w:t>
      </w:r>
      <w:r w:rsidRPr="00887020">
        <w:rPr>
          <w:rFonts w:hint="cs"/>
          <w:spacing w:val="-1"/>
          <w:rtl/>
        </w:rPr>
        <w:t>للأمينة العامة</w:t>
      </w:r>
      <w:r w:rsidRPr="00887020">
        <w:rPr>
          <w:spacing w:val="-1"/>
          <w:rtl/>
        </w:rPr>
        <w:t xml:space="preserve"> و</w:t>
      </w:r>
      <w:r w:rsidRPr="00887020">
        <w:rPr>
          <w:rFonts w:hint="cs"/>
          <w:spacing w:val="-1"/>
          <w:rtl/>
        </w:rPr>
        <w:t>ل</w:t>
      </w:r>
      <w:r w:rsidRPr="00887020">
        <w:rPr>
          <w:spacing w:val="-1"/>
          <w:rtl/>
        </w:rPr>
        <w:t>رئيس</w:t>
      </w:r>
      <w:r w:rsidRPr="00887020">
        <w:rPr>
          <w:rFonts w:hint="cs"/>
          <w:spacing w:val="-1"/>
          <w:rtl/>
        </w:rPr>
        <w:t>ة</w:t>
      </w:r>
      <w:r w:rsidRPr="00887020">
        <w:rPr>
          <w:spacing w:val="-1"/>
          <w:rtl/>
        </w:rPr>
        <w:t xml:space="preserve"> المجلس على جهودهما، ولمدير مكتب الاتصالات الراديوية (</w:t>
      </w:r>
      <w:r w:rsidRPr="00887020">
        <w:rPr>
          <w:spacing w:val="-1"/>
        </w:rPr>
        <w:t>BR</w:t>
      </w:r>
      <w:r w:rsidRPr="00887020">
        <w:rPr>
          <w:spacing w:val="-1"/>
          <w:rtl/>
        </w:rPr>
        <w:t xml:space="preserve">) على زيارته الميدانية السابقة وملاحظاته الموضوعية، وكذلك لغالبية أعضاء المجلس </w:t>
      </w:r>
      <w:r w:rsidRPr="00887020">
        <w:rPr>
          <w:rFonts w:hint="cs"/>
          <w:spacing w:val="-1"/>
          <w:rtl/>
        </w:rPr>
        <w:t>على</w:t>
      </w:r>
      <w:r w:rsidR="00451674" w:rsidRPr="00887020">
        <w:rPr>
          <w:rFonts w:hint="eastAsia"/>
          <w:spacing w:val="-1"/>
          <w:rtl/>
        </w:rPr>
        <w:t> </w:t>
      </w:r>
      <w:r w:rsidRPr="00887020">
        <w:rPr>
          <w:spacing w:val="-1"/>
          <w:rtl/>
        </w:rPr>
        <w:t xml:space="preserve">دعمهم </w:t>
      </w:r>
      <w:r w:rsidRPr="00887020">
        <w:rPr>
          <w:rFonts w:hint="cs"/>
          <w:spacing w:val="-1"/>
          <w:rtl/>
        </w:rPr>
        <w:t>ل</w:t>
      </w:r>
      <w:r w:rsidR="0087539D" w:rsidRPr="00887020">
        <w:rPr>
          <w:rFonts w:hint="cs"/>
          <w:spacing w:val="-1"/>
          <w:rtl/>
        </w:rPr>
        <w:t>دعوة ا</w:t>
      </w:r>
      <w:r w:rsidRPr="00887020">
        <w:rPr>
          <w:spacing w:val="-1"/>
          <w:rtl/>
        </w:rPr>
        <w:t xml:space="preserve">لصين </w:t>
      </w:r>
      <w:r w:rsidRPr="00887020">
        <w:rPr>
          <w:rFonts w:hint="cs"/>
          <w:spacing w:val="-1"/>
          <w:rtl/>
        </w:rPr>
        <w:t>ل</w:t>
      </w:r>
      <w:r w:rsidRPr="00887020">
        <w:rPr>
          <w:spacing w:val="-1"/>
          <w:rtl/>
        </w:rPr>
        <w:t xml:space="preserve">استضافة المؤتمر العالمي للاتصالات الراديوية لعام 2027 </w:t>
      </w:r>
      <w:r w:rsidRPr="00887020">
        <w:rPr>
          <w:spacing w:val="-1"/>
        </w:rPr>
        <w:t>(WRC-27)</w:t>
      </w:r>
      <w:r w:rsidR="00280A83" w:rsidRPr="00887020">
        <w:rPr>
          <w:spacing w:val="-1"/>
          <w:rtl/>
        </w:rPr>
        <w:t>.</w:t>
      </w:r>
      <w:r w:rsidR="00FF0022" w:rsidRPr="00887020">
        <w:rPr>
          <w:rFonts w:hint="cs"/>
          <w:spacing w:val="-1"/>
          <w:rtl/>
          <w:lang w:val="ar-SA" w:bidi="ar-EG"/>
        </w:rPr>
        <w:t xml:space="preserve"> </w:t>
      </w:r>
      <w:r w:rsidR="0087539D" w:rsidRPr="00887020">
        <w:rPr>
          <w:rFonts w:hint="cs"/>
          <w:spacing w:val="-1"/>
          <w:rtl/>
          <w:lang w:val="ar-SA" w:bidi="ar-EG"/>
        </w:rPr>
        <w:t>ومن المؤسف للغاية</w:t>
      </w:r>
      <w:r w:rsidR="00FF0022" w:rsidRPr="00887020">
        <w:rPr>
          <w:spacing w:val="-1"/>
          <w:rtl/>
          <w:lang w:val="ar-SA"/>
        </w:rPr>
        <w:t xml:space="preserve"> أن الدعوة الصادقة التي وجهتها</w:t>
      </w:r>
      <w:r w:rsidR="00FF0022" w:rsidRPr="00887020">
        <w:rPr>
          <w:rFonts w:hint="cs"/>
          <w:spacing w:val="-1"/>
          <w:rtl/>
          <w:lang w:val="ar-SA"/>
        </w:rPr>
        <w:t xml:space="preserve"> حكومتها</w:t>
      </w:r>
      <w:r w:rsidR="00FF0022" w:rsidRPr="00887020">
        <w:rPr>
          <w:spacing w:val="-1"/>
          <w:rtl/>
          <w:lang w:val="ar-SA"/>
        </w:rPr>
        <w:t xml:space="preserve"> </w:t>
      </w:r>
      <w:r w:rsidR="00FF0022" w:rsidRPr="00887020">
        <w:rPr>
          <w:spacing w:val="-1"/>
          <w:rtl/>
          <w:lang w:val="ar-SA" w:bidi="ar-EG"/>
        </w:rPr>
        <w:t xml:space="preserve">لاستضافة </w:t>
      </w:r>
      <w:r w:rsidR="00FF0022" w:rsidRPr="00887020">
        <w:rPr>
          <w:rFonts w:hint="cs"/>
          <w:spacing w:val="-1"/>
          <w:rtl/>
          <w:lang w:val="ar-SA" w:bidi="ar-EG"/>
        </w:rPr>
        <w:t>الأحداث</w:t>
      </w:r>
      <w:r w:rsidR="00FF0022" w:rsidRPr="00887020">
        <w:rPr>
          <w:spacing w:val="-1"/>
          <w:rtl/>
          <w:lang w:val="ar-SA" w:bidi="ar-EG"/>
        </w:rPr>
        <w:t xml:space="preserve"> قد واجهت </w:t>
      </w:r>
      <w:r w:rsidR="00FF0022" w:rsidRPr="00887020">
        <w:rPr>
          <w:rFonts w:hint="cs"/>
          <w:spacing w:val="-1"/>
          <w:rtl/>
          <w:lang w:val="ar-SA" w:bidi="ar-EG"/>
        </w:rPr>
        <w:t xml:space="preserve">عدة </w:t>
      </w:r>
      <w:r w:rsidR="00FF0022" w:rsidRPr="00887020">
        <w:rPr>
          <w:spacing w:val="-1"/>
          <w:rtl/>
          <w:lang w:val="ar-SA" w:bidi="ar-EG"/>
        </w:rPr>
        <w:t xml:space="preserve">عراقيل. </w:t>
      </w:r>
      <w:r w:rsidR="0087539D" w:rsidRPr="00887020">
        <w:rPr>
          <w:spacing w:val="-1"/>
          <w:rtl/>
          <w:lang w:val="ar-SA"/>
        </w:rPr>
        <w:t>وقد واجهت إدارتها وضعا</w:t>
      </w:r>
      <w:r w:rsidR="0087539D" w:rsidRPr="00887020">
        <w:rPr>
          <w:rFonts w:hint="cs"/>
          <w:spacing w:val="-1"/>
          <w:rtl/>
          <w:lang w:val="ar-SA"/>
        </w:rPr>
        <w:t>ً</w:t>
      </w:r>
      <w:r w:rsidR="0087539D" w:rsidRPr="00887020">
        <w:rPr>
          <w:spacing w:val="-1"/>
          <w:rtl/>
          <w:lang w:val="ar-SA"/>
        </w:rPr>
        <w:t xml:space="preserve"> غير مسبوق</w:t>
      </w:r>
      <w:r w:rsidR="00004494">
        <w:rPr>
          <w:rFonts w:hint="cs"/>
          <w:spacing w:val="-1"/>
          <w:rtl/>
          <w:lang w:val="ar-SA"/>
        </w:rPr>
        <w:t>؛</w:t>
      </w:r>
      <w:r w:rsidR="0087539D" w:rsidRPr="00887020">
        <w:rPr>
          <w:spacing w:val="-1"/>
          <w:rtl/>
          <w:lang w:val="ar-SA"/>
        </w:rPr>
        <w:t xml:space="preserve"> وكان هناك بالفعل عدم شفافية في عملية تقديم </w:t>
      </w:r>
      <w:r w:rsidR="0087539D" w:rsidRPr="00887020">
        <w:rPr>
          <w:rFonts w:hint="cs"/>
          <w:spacing w:val="-1"/>
          <w:rtl/>
          <w:lang w:val="ar-SA"/>
        </w:rPr>
        <w:t>العروض</w:t>
      </w:r>
      <w:r w:rsidR="0087539D" w:rsidRPr="00887020">
        <w:rPr>
          <w:rFonts w:hint="cs"/>
          <w:spacing w:val="-1"/>
          <w:rtl/>
          <w:lang w:val="ar-SA" w:bidi="ar-EG"/>
        </w:rPr>
        <w:t xml:space="preserve">. </w:t>
      </w:r>
      <w:r w:rsidR="00BA2633" w:rsidRPr="00887020">
        <w:rPr>
          <w:rFonts w:hint="cs"/>
          <w:spacing w:val="-1"/>
          <w:rtl/>
          <w:lang w:val="ar-SA" w:bidi="ar-EG"/>
        </w:rPr>
        <w:t>ووفقاً</w:t>
      </w:r>
      <w:r w:rsidR="000E17F5" w:rsidRPr="00887020">
        <w:rPr>
          <w:spacing w:val="-1"/>
          <w:rtl/>
          <w:lang w:val="ar-SA" w:bidi="ar-EG"/>
        </w:rPr>
        <w:t xml:space="preserve"> </w:t>
      </w:r>
      <w:r w:rsidR="00BA2633" w:rsidRPr="00887020">
        <w:rPr>
          <w:rFonts w:hint="cs"/>
          <w:spacing w:val="-1"/>
          <w:rtl/>
          <w:lang w:val="ar-SA" w:bidi="ar-EG"/>
        </w:rPr>
        <w:t>ل</w:t>
      </w:r>
      <w:r w:rsidR="000E17F5" w:rsidRPr="00887020">
        <w:rPr>
          <w:spacing w:val="-1"/>
          <w:rtl/>
          <w:lang w:val="ar-SA" w:bidi="ar-EG"/>
        </w:rPr>
        <w:t xml:space="preserve">لمثل الصيني، </w:t>
      </w:r>
      <w:r w:rsidR="00BA2633" w:rsidRPr="00887020">
        <w:rPr>
          <w:rFonts w:hint="cs"/>
          <w:spacing w:val="-1"/>
          <w:rtl/>
          <w:lang w:val="ar-SA" w:bidi="ar-EG"/>
        </w:rPr>
        <w:t>فإن</w:t>
      </w:r>
      <w:r w:rsidR="000E17F5" w:rsidRPr="00887020">
        <w:rPr>
          <w:spacing w:val="-1"/>
          <w:rtl/>
          <w:lang w:val="ar-SA" w:bidi="ar-EG"/>
        </w:rPr>
        <w:t xml:space="preserve"> </w:t>
      </w:r>
      <w:r w:rsidR="00BA2633" w:rsidRPr="00887020">
        <w:rPr>
          <w:rFonts w:hint="cs"/>
          <w:spacing w:val="-1"/>
          <w:rtl/>
          <w:lang w:val="ar-SA" w:bidi="ar-EG"/>
        </w:rPr>
        <w:t xml:space="preserve">العدالة تكمن </w:t>
      </w:r>
      <w:r w:rsidR="000E17F5" w:rsidRPr="00887020">
        <w:rPr>
          <w:spacing w:val="-1"/>
          <w:rtl/>
          <w:lang w:val="ar-SA" w:bidi="ar-EG"/>
        </w:rPr>
        <w:t>في</w:t>
      </w:r>
      <w:r w:rsidR="00887020" w:rsidRPr="00887020">
        <w:rPr>
          <w:rFonts w:hint="cs"/>
          <w:spacing w:val="-1"/>
          <w:rtl/>
          <w:lang w:val="ar-SA" w:bidi="ar-EG"/>
        </w:rPr>
        <w:t> </w:t>
      </w:r>
      <w:r w:rsidR="000E17F5" w:rsidRPr="00887020">
        <w:rPr>
          <w:spacing w:val="-1"/>
          <w:rtl/>
          <w:lang w:val="ar-SA" w:bidi="ar-EG"/>
        </w:rPr>
        <w:t>قلوب الناس</w:t>
      </w:r>
      <w:r w:rsidR="00004494">
        <w:rPr>
          <w:rFonts w:hint="cs"/>
          <w:spacing w:val="-1"/>
          <w:rtl/>
          <w:lang w:val="ar-SA" w:bidi="ar-EG"/>
        </w:rPr>
        <w:t>؛</w:t>
      </w:r>
      <w:r w:rsidR="000E17F5" w:rsidRPr="00887020">
        <w:rPr>
          <w:spacing w:val="-1"/>
          <w:rtl/>
          <w:lang w:val="ar-SA" w:bidi="ar-EG"/>
        </w:rPr>
        <w:t xml:space="preserve"> </w:t>
      </w:r>
      <w:r w:rsidR="00BA2633" w:rsidRPr="00887020">
        <w:rPr>
          <w:rFonts w:hint="cs"/>
          <w:spacing w:val="-1"/>
          <w:rtl/>
          <w:lang w:val="ar-SA" w:bidi="ar-EG"/>
        </w:rPr>
        <w:t>ولذلك، فهي تعتقد أن جميع</w:t>
      </w:r>
      <w:r w:rsidR="000E17F5" w:rsidRPr="00887020">
        <w:rPr>
          <w:spacing w:val="-1"/>
          <w:rtl/>
          <w:lang w:val="ar-SA" w:bidi="ar-EG"/>
        </w:rPr>
        <w:t xml:space="preserve"> الدول الأعضاء سيكون </w:t>
      </w:r>
      <w:r w:rsidR="00BA2633" w:rsidRPr="00887020">
        <w:rPr>
          <w:rFonts w:hint="cs"/>
          <w:spacing w:val="-1"/>
          <w:rtl/>
          <w:lang w:val="ar-SA" w:bidi="ar-EG"/>
        </w:rPr>
        <w:t>لها</w:t>
      </w:r>
      <w:r w:rsidR="000E17F5" w:rsidRPr="00887020">
        <w:rPr>
          <w:spacing w:val="-1"/>
          <w:rtl/>
          <w:lang w:val="ar-SA" w:bidi="ar-EG"/>
        </w:rPr>
        <w:t xml:space="preserve"> </w:t>
      </w:r>
      <w:r w:rsidR="00BA2633" w:rsidRPr="00887020">
        <w:rPr>
          <w:rFonts w:hint="cs"/>
          <w:spacing w:val="-1"/>
          <w:rtl/>
          <w:lang w:val="ar-SA" w:bidi="ar-EG"/>
        </w:rPr>
        <w:t>رأيها</w:t>
      </w:r>
      <w:r w:rsidR="000E17F5" w:rsidRPr="00887020">
        <w:rPr>
          <w:spacing w:val="-1"/>
          <w:rtl/>
          <w:lang w:val="ar-SA" w:bidi="ar-EG"/>
        </w:rPr>
        <w:t xml:space="preserve"> الخاص بشأن مسألة مكان انعقاد المؤتمر</w:t>
      </w:r>
      <w:r w:rsidR="00887020" w:rsidRPr="00887020">
        <w:rPr>
          <w:rFonts w:hint="cs"/>
          <w:spacing w:val="-1"/>
          <w:rtl/>
          <w:lang w:val="ar-SA" w:bidi="ar-EG"/>
        </w:rPr>
        <w:t> </w:t>
      </w:r>
      <w:r w:rsidR="000E17F5" w:rsidRPr="00887020">
        <w:rPr>
          <w:rFonts w:hint="cs"/>
          <w:spacing w:val="-1"/>
          <w:lang w:val="ar-SA" w:bidi="ar-EG"/>
        </w:rPr>
        <w:t>WRC-27</w:t>
      </w:r>
      <w:r w:rsidR="000E17F5" w:rsidRPr="00887020">
        <w:rPr>
          <w:spacing w:val="-1"/>
          <w:rtl/>
          <w:lang w:val="ar-SA" w:bidi="ar-EG"/>
        </w:rPr>
        <w:t>.</w:t>
      </w:r>
      <w:r w:rsidR="00AA71CE" w:rsidRPr="00887020">
        <w:rPr>
          <w:spacing w:val="-1"/>
          <w:rtl/>
        </w:rPr>
        <w:t xml:space="preserve"> </w:t>
      </w:r>
      <w:r w:rsidR="00BA2633" w:rsidRPr="00887020">
        <w:rPr>
          <w:rFonts w:hint="cs"/>
          <w:spacing w:val="-1"/>
          <w:rtl/>
          <w:lang w:val="ar-SA"/>
        </w:rPr>
        <w:t>وستستمع</w:t>
      </w:r>
      <w:r w:rsidR="00AA71CE" w:rsidRPr="00887020">
        <w:rPr>
          <w:spacing w:val="-1"/>
          <w:rtl/>
          <w:lang w:val="ar-SA"/>
        </w:rPr>
        <w:t xml:space="preserve"> الصين إلى مشورة </w:t>
      </w:r>
      <w:r w:rsidR="00BA2633" w:rsidRPr="00887020">
        <w:rPr>
          <w:rFonts w:hint="cs"/>
          <w:spacing w:val="-1"/>
          <w:rtl/>
          <w:lang w:val="ar-SA"/>
        </w:rPr>
        <w:t>ومساهمات</w:t>
      </w:r>
      <w:r w:rsidR="00B074FE" w:rsidRPr="00887020">
        <w:rPr>
          <w:rFonts w:hint="cs"/>
          <w:spacing w:val="-1"/>
          <w:rtl/>
          <w:lang w:val="ar-SA"/>
        </w:rPr>
        <w:t xml:space="preserve"> </w:t>
      </w:r>
      <w:r w:rsidR="00AA71CE" w:rsidRPr="00887020">
        <w:rPr>
          <w:spacing w:val="-1"/>
          <w:rtl/>
          <w:lang w:val="ar-SA"/>
        </w:rPr>
        <w:t xml:space="preserve">جميع الأطراف، وستبذل قصارى جهدها </w:t>
      </w:r>
      <w:r w:rsidR="00BA2633" w:rsidRPr="00887020">
        <w:rPr>
          <w:rFonts w:hint="cs"/>
          <w:spacing w:val="-1"/>
          <w:rtl/>
          <w:lang w:val="ar-SA"/>
        </w:rPr>
        <w:t>لضمان توفير أعلى مستويات</w:t>
      </w:r>
      <w:r w:rsidR="00AA71CE" w:rsidRPr="00887020">
        <w:rPr>
          <w:spacing w:val="-1"/>
          <w:rtl/>
          <w:lang w:val="ar-SA"/>
        </w:rPr>
        <w:t xml:space="preserve"> الخدمات والمرافق في المؤتمر </w:t>
      </w:r>
      <w:r w:rsidR="00AA71CE" w:rsidRPr="00887020">
        <w:rPr>
          <w:rFonts w:hint="cs"/>
          <w:spacing w:val="-1"/>
          <w:lang w:val="ar-SA"/>
        </w:rPr>
        <w:t>WRC-27</w:t>
      </w:r>
      <w:r w:rsidR="00AA71CE" w:rsidRPr="00887020">
        <w:rPr>
          <w:spacing w:val="-1"/>
          <w:rtl/>
          <w:lang w:val="ar-SA"/>
        </w:rPr>
        <w:t xml:space="preserve">؛ </w:t>
      </w:r>
      <w:r w:rsidR="000B06F1" w:rsidRPr="00887020">
        <w:rPr>
          <w:rFonts w:hint="cs"/>
          <w:spacing w:val="-1"/>
          <w:rtl/>
          <w:lang w:val="ar-SA"/>
        </w:rPr>
        <w:t>ولديها الثقة والقدرة</w:t>
      </w:r>
      <w:r w:rsidR="00AA71CE" w:rsidRPr="00887020">
        <w:rPr>
          <w:spacing w:val="-1"/>
          <w:rtl/>
          <w:lang w:val="ar-SA"/>
        </w:rPr>
        <w:t xml:space="preserve"> على </w:t>
      </w:r>
      <w:r w:rsidR="00D63ADF" w:rsidRPr="00887020">
        <w:rPr>
          <w:rFonts w:hint="cs"/>
          <w:spacing w:val="-1"/>
          <w:rtl/>
          <w:lang w:val="ar-SA"/>
        </w:rPr>
        <w:t>أن تقدم إلى جميع الدول الأعضاء</w:t>
      </w:r>
      <w:r w:rsidR="00AA71CE" w:rsidRPr="00887020">
        <w:rPr>
          <w:spacing w:val="-1"/>
          <w:rtl/>
          <w:lang w:val="ar-SA"/>
        </w:rPr>
        <w:t xml:space="preserve"> مؤتمر</w:t>
      </w:r>
      <w:r w:rsidR="00D63ADF" w:rsidRPr="00887020">
        <w:rPr>
          <w:rFonts w:hint="cs"/>
          <w:spacing w:val="-1"/>
          <w:rtl/>
          <w:lang w:val="ar-SA"/>
        </w:rPr>
        <w:t>اً</w:t>
      </w:r>
      <w:r w:rsidR="00AA71CE" w:rsidRPr="00887020">
        <w:rPr>
          <w:spacing w:val="-1"/>
          <w:rtl/>
          <w:lang w:val="ar-SA"/>
        </w:rPr>
        <w:t xml:space="preserve"> عالمي</w:t>
      </w:r>
      <w:r w:rsidR="00D63ADF" w:rsidRPr="00887020">
        <w:rPr>
          <w:rFonts w:hint="cs"/>
          <w:spacing w:val="-1"/>
          <w:rtl/>
          <w:lang w:val="ar-SA"/>
        </w:rPr>
        <w:t>اً</w:t>
      </w:r>
      <w:r w:rsidR="00AA71CE" w:rsidRPr="00887020">
        <w:rPr>
          <w:spacing w:val="-1"/>
          <w:rtl/>
          <w:lang w:val="ar-SA"/>
        </w:rPr>
        <w:t xml:space="preserve"> للاتصالات الراديوية </w:t>
      </w:r>
      <w:r w:rsidR="00BA2633" w:rsidRPr="00887020">
        <w:rPr>
          <w:rFonts w:hint="cs"/>
          <w:spacing w:val="-1"/>
          <w:rtl/>
          <w:lang w:val="ar-SA"/>
        </w:rPr>
        <w:t>يجتذب مشاركة واسعة ويتسم بأقصى قدر من الشمولية</w:t>
      </w:r>
      <w:r w:rsidR="00726A16" w:rsidRPr="00887020">
        <w:rPr>
          <w:rFonts w:hint="cs"/>
          <w:spacing w:val="-1"/>
          <w:rtl/>
          <w:lang w:val="ar-SA"/>
        </w:rPr>
        <w:t>،</w:t>
      </w:r>
      <w:r w:rsidR="00BA2633" w:rsidRPr="00887020">
        <w:rPr>
          <w:rFonts w:hint="cs"/>
          <w:spacing w:val="-1"/>
          <w:rtl/>
          <w:lang w:val="ar-SA"/>
        </w:rPr>
        <w:t xml:space="preserve"> والإنصاف</w:t>
      </w:r>
      <w:r w:rsidR="00726A16" w:rsidRPr="00887020">
        <w:rPr>
          <w:rFonts w:hint="cs"/>
          <w:spacing w:val="-1"/>
          <w:rtl/>
          <w:lang w:val="ar-SA"/>
        </w:rPr>
        <w:t>،</w:t>
      </w:r>
      <w:r w:rsidR="00BA2633" w:rsidRPr="00887020">
        <w:rPr>
          <w:rFonts w:hint="cs"/>
          <w:spacing w:val="-1"/>
          <w:rtl/>
          <w:lang w:val="ar-SA"/>
        </w:rPr>
        <w:t xml:space="preserve"> والنزاهة</w:t>
      </w:r>
      <w:r w:rsidR="00726A16" w:rsidRPr="00887020">
        <w:rPr>
          <w:rFonts w:hint="cs"/>
          <w:spacing w:val="-1"/>
          <w:rtl/>
          <w:lang w:val="ar-SA"/>
        </w:rPr>
        <w:t>،</w:t>
      </w:r>
      <w:r w:rsidR="00BA2633" w:rsidRPr="00887020">
        <w:rPr>
          <w:rFonts w:hint="cs"/>
          <w:spacing w:val="-1"/>
          <w:rtl/>
          <w:lang w:val="ar-SA"/>
        </w:rPr>
        <w:t xml:space="preserve"> والانفتاح.</w:t>
      </w:r>
    </w:p>
    <w:p w14:paraId="01B30160" w14:textId="28F1020E" w:rsidR="00280A83" w:rsidRPr="00280A83" w:rsidRDefault="00FD0891" w:rsidP="00280A83">
      <w:pPr>
        <w:rPr>
          <w:lang w:val="ar-SA" w:bidi="ar-EG"/>
        </w:rPr>
      </w:pPr>
      <w:r>
        <w:t>1</w:t>
      </w:r>
      <w:r w:rsidR="005C7E78">
        <w:t>2</w:t>
      </w:r>
      <w:r>
        <w:t>.1</w:t>
      </w:r>
      <w:r w:rsidR="00280A83" w:rsidRPr="00280A83">
        <w:rPr>
          <w:rtl/>
        </w:rPr>
        <w:tab/>
      </w:r>
      <w:r w:rsidR="006C6136">
        <w:rPr>
          <w:rFonts w:hint="cs"/>
          <w:rtl/>
        </w:rPr>
        <w:t>و</w:t>
      </w:r>
      <w:r w:rsidR="00280A83" w:rsidRPr="00280A83">
        <w:rPr>
          <w:rtl/>
        </w:rPr>
        <w:t>رداً على طلب توضيح، أوضح المستشار القانوني أن الخطوة التالية المطلوبة هي إجراء مشاورة عن طريق المراسلة مع جميع الدول الأعضاء لتأكيد قرار المجلس. وسيُؤكد القرار بالأغلبية البسيطة، ولكن يلزم أن تكون نسبة المشاركة 50 في المائة على الأقل؛ وإذا لم تتحقق نسبة المشاركة بنسبة 50 في المائة في المحاولة الأولى، تُعاد المشاورة. وفي هذه المحاولة الثانية، لا تُحتسب الدول الأعضاء غير المشاركة. وإذا لم تسفر المشاورة عن تأكيد أغلبية الدول الأعضاء لقرار المجلس، فستعاد المسألة إلى المجلس في دورته لعام 2026 لاتخاذ قرار بشأن كيفية المضي قدماً.</w:t>
      </w:r>
    </w:p>
    <w:p w14:paraId="3828750D" w14:textId="0E614CFC" w:rsidR="00DF37B5" w:rsidRDefault="00FD0891" w:rsidP="005C7E78">
      <w:pPr>
        <w:rPr>
          <w:rtl/>
        </w:rPr>
      </w:pPr>
      <w:r>
        <w:t>1</w:t>
      </w:r>
      <w:r w:rsidR="005C7E78">
        <w:t>3</w:t>
      </w:r>
      <w:r>
        <w:t>.1</w:t>
      </w:r>
      <w:r w:rsidR="00280A83" w:rsidRPr="00280A83">
        <w:rPr>
          <w:rtl/>
        </w:rPr>
        <w:tab/>
      </w:r>
      <w:r w:rsidR="005C7E78" w:rsidRPr="005C7E78">
        <w:rPr>
          <w:rtl/>
        </w:rPr>
        <w:t xml:space="preserve">شكر مدير مكتب الاتصالات الراديوية المجلس على القرار المتعلق بمكان انعقاد المؤتمر </w:t>
      </w:r>
      <w:r w:rsidR="005C7E78">
        <w:t>WRC-27</w:t>
      </w:r>
      <w:r w:rsidR="005C7E78" w:rsidRPr="005C7E78">
        <w:rPr>
          <w:rtl/>
        </w:rPr>
        <w:t xml:space="preserve">، كما شكر الصين على دعوتها لاستضافة المؤتمر </w:t>
      </w:r>
      <w:r w:rsidR="00B074FE">
        <w:rPr>
          <w:rFonts w:hint="cs"/>
          <w:rtl/>
        </w:rPr>
        <w:t>والأحداث</w:t>
      </w:r>
      <w:r w:rsidR="005C7E78">
        <w:rPr>
          <w:rFonts w:hint="cs"/>
          <w:rtl/>
        </w:rPr>
        <w:t xml:space="preserve"> المرتبطة به</w:t>
      </w:r>
      <w:r w:rsidR="005C7E78" w:rsidRPr="005C7E78">
        <w:rPr>
          <w:rtl/>
        </w:rPr>
        <w:t xml:space="preserve">، </w:t>
      </w:r>
      <w:r w:rsidR="005C7E78">
        <w:rPr>
          <w:rFonts w:hint="cs"/>
          <w:rtl/>
        </w:rPr>
        <w:t>وقال إن</w:t>
      </w:r>
      <w:r w:rsidR="005C7E78" w:rsidRPr="005C7E78">
        <w:rPr>
          <w:rtl/>
        </w:rPr>
        <w:t xml:space="preserve"> نجاح المؤتمر </w:t>
      </w:r>
      <w:r w:rsidR="005C7E78">
        <w:t>WRC-27</w:t>
      </w:r>
      <w:r w:rsidR="005C7E78" w:rsidRPr="005C7E78">
        <w:rPr>
          <w:rtl/>
        </w:rPr>
        <w:t xml:space="preserve"> أمر بالغ الأهمية لمستقبل القطاع وللعديد من الخدمات والتطبيقات المستخدمة </w:t>
      </w:r>
      <w:r w:rsidR="005C7E78">
        <w:rPr>
          <w:rFonts w:hint="cs"/>
          <w:rtl/>
        </w:rPr>
        <w:t>على أساس يومي</w:t>
      </w:r>
      <w:r w:rsidR="005C7E78" w:rsidRPr="005C7E78">
        <w:rPr>
          <w:rtl/>
        </w:rPr>
        <w:t>.</w:t>
      </w:r>
      <w:r w:rsidR="00280A83" w:rsidRPr="00280A83">
        <w:rPr>
          <w:rtl/>
        </w:rPr>
        <w:t xml:space="preserve"> وإن لوائح الراديو مثال جيد على معاهدة دولية صمدت أمام اختبار الزمن. وحث جميع الدول الأعضاء على المساهمة في</w:t>
      </w:r>
      <w:r w:rsidR="00C75425">
        <w:rPr>
          <w:rFonts w:hint="cs"/>
          <w:rtl/>
        </w:rPr>
        <w:t> </w:t>
      </w:r>
      <w:r w:rsidR="00280A83" w:rsidRPr="00280A83">
        <w:rPr>
          <w:rtl/>
        </w:rPr>
        <w:t>نجاح المؤتمر.</w:t>
      </w:r>
    </w:p>
    <w:p w14:paraId="35A093D2" w14:textId="13DB4ECB" w:rsidR="00280A83" w:rsidRDefault="00FD0891" w:rsidP="004B6B61">
      <w:pPr>
        <w:rPr>
          <w:rtl/>
          <w:lang w:val="ar-SA"/>
        </w:rPr>
      </w:pPr>
      <w:r>
        <w:t>1</w:t>
      </w:r>
      <w:r w:rsidR="004B6B61">
        <w:t>4</w:t>
      </w:r>
      <w:r>
        <w:t>.1</w:t>
      </w:r>
      <w:r w:rsidR="00280A83" w:rsidRPr="00280A83">
        <w:rPr>
          <w:rtl/>
        </w:rPr>
        <w:tab/>
        <w:t>شكرت الأمينة العامة الصين وغيرها من البلدان التي أعربت عن استعدادها لاستضافة المؤتمر WRC-27 والأحداث المرتبطة به. ولم يكن اتخاذ هذا القرار بالأمر السهل، وهو ما يدل على أهمية المؤتمر.</w:t>
      </w:r>
      <w:r w:rsidR="004B6B61" w:rsidRPr="004B6B61">
        <w:rPr>
          <w:rtl/>
        </w:rPr>
        <w:t xml:space="preserve"> </w:t>
      </w:r>
      <w:r w:rsidR="004B6B61" w:rsidRPr="004B6B61">
        <w:rPr>
          <w:rtl/>
          <w:lang w:val="ar-SA"/>
        </w:rPr>
        <w:t>‏و</w:t>
      </w:r>
      <w:r w:rsidR="00A73676">
        <w:rPr>
          <w:rFonts w:hint="cs"/>
          <w:rtl/>
          <w:lang w:val="ar-SA"/>
        </w:rPr>
        <w:t>طوال تاريخه الممتد على مدى</w:t>
      </w:r>
      <w:r w:rsidR="004B6B61" w:rsidRPr="004B6B61">
        <w:rPr>
          <w:rtl/>
          <w:lang w:val="ar-SA"/>
        </w:rPr>
        <w:t xml:space="preserve"> </w:t>
      </w:r>
      <w:r w:rsidR="004B6B61" w:rsidRPr="004B6B61">
        <w:rPr>
          <w:cs/>
          <w:lang w:val="ar-SA"/>
        </w:rPr>
        <w:t>‎</w:t>
      </w:r>
      <w:r w:rsidR="004B6B61" w:rsidRPr="004B6B61">
        <w:rPr>
          <w:lang w:val="ar-SA"/>
        </w:rPr>
        <w:t>160</w:t>
      </w:r>
      <w:r w:rsidR="004B6B61" w:rsidRPr="004B6B61">
        <w:rPr>
          <w:rtl/>
          <w:lang w:val="ar-SA"/>
        </w:rPr>
        <w:t xml:space="preserve"> ‏عاما</w:t>
      </w:r>
      <w:r w:rsidR="004B6B61">
        <w:rPr>
          <w:rFonts w:hint="cs"/>
          <w:rtl/>
          <w:lang w:val="ar-SA"/>
        </w:rPr>
        <w:t>ً</w:t>
      </w:r>
      <w:r w:rsidR="004B6B61" w:rsidRPr="004B6B61">
        <w:rPr>
          <w:rtl/>
          <w:lang w:val="ar-SA"/>
        </w:rPr>
        <w:t>، جمع الاتحاد البلدان معا</w:t>
      </w:r>
      <w:r w:rsidR="004B6B61">
        <w:rPr>
          <w:rFonts w:hint="cs"/>
          <w:rtl/>
          <w:lang w:val="ar-SA"/>
        </w:rPr>
        <w:t>ً</w:t>
      </w:r>
      <w:r w:rsidR="004B6B61" w:rsidRPr="004B6B61">
        <w:rPr>
          <w:rtl/>
          <w:lang w:val="ar-SA"/>
        </w:rPr>
        <w:t xml:space="preserve"> لإيجاد أرضية مشتركة</w:t>
      </w:r>
      <w:r w:rsidR="005579E4">
        <w:rPr>
          <w:rFonts w:hint="cs"/>
          <w:rtl/>
          <w:lang w:val="ar-SA"/>
        </w:rPr>
        <w:t xml:space="preserve"> للعمل</w:t>
      </w:r>
      <w:r w:rsidR="00A73676">
        <w:rPr>
          <w:rFonts w:hint="cs"/>
          <w:rtl/>
          <w:lang w:val="ar-SA"/>
        </w:rPr>
        <w:t>، وعمل دائماً على تجاوز الخلافات</w:t>
      </w:r>
      <w:r w:rsidR="004B6B61" w:rsidRPr="004B6B61">
        <w:rPr>
          <w:rtl/>
          <w:lang w:val="ar-SA"/>
        </w:rPr>
        <w:t xml:space="preserve">. </w:t>
      </w:r>
      <w:r w:rsidR="00A73676" w:rsidRPr="00A73676">
        <w:rPr>
          <w:rtl/>
          <w:lang w:val="ar-SA"/>
        </w:rPr>
        <w:t>وكان ذلك أساس حفاظ الاتحاد على وحدته ومواصلة</w:t>
      </w:r>
      <w:r w:rsidR="004B6B61">
        <w:rPr>
          <w:rFonts w:hint="cs"/>
          <w:rtl/>
          <w:lang w:val="ar-SA"/>
        </w:rPr>
        <w:t xml:space="preserve"> </w:t>
      </w:r>
      <w:r w:rsidR="00A73676">
        <w:rPr>
          <w:rFonts w:hint="cs"/>
          <w:rtl/>
          <w:lang w:val="ar-SA"/>
        </w:rPr>
        <w:t>تقدمه</w:t>
      </w:r>
      <w:r w:rsidR="004B6B61" w:rsidRPr="004B6B61">
        <w:rPr>
          <w:rtl/>
          <w:lang w:val="ar-SA"/>
        </w:rPr>
        <w:t xml:space="preserve">. </w:t>
      </w:r>
      <w:r w:rsidR="00A73676">
        <w:rPr>
          <w:rFonts w:hint="cs"/>
          <w:rtl/>
          <w:lang w:val="ar-SA"/>
        </w:rPr>
        <w:t>وقد قرر</w:t>
      </w:r>
      <w:r w:rsidR="004B6B61" w:rsidRPr="004B6B61">
        <w:rPr>
          <w:rtl/>
          <w:lang w:val="ar-SA"/>
        </w:rPr>
        <w:t xml:space="preserve"> المجلس </w:t>
      </w:r>
      <w:r w:rsidR="00A73676">
        <w:rPr>
          <w:rFonts w:hint="cs"/>
          <w:rtl/>
          <w:lang w:val="ar-SA"/>
        </w:rPr>
        <w:t xml:space="preserve">أن تستضيف </w:t>
      </w:r>
      <w:r w:rsidR="004B6B61" w:rsidRPr="004B6B61">
        <w:rPr>
          <w:rtl/>
          <w:lang w:val="ar-SA"/>
        </w:rPr>
        <w:t xml:space="preserve">الصين </w:t>
      </w:r>
      <w:r w:rsidR="00A73676">
        <w:rPr>
          <w:rFonts w:hint="cs"/>
          <w:rtl/>
          <w:lang w:val="ar-SA"/>
        </w:rPr>
        <w:t>ا</w:t>
      </w:r>
      <w:r w:rsidR="004B6B61" w:rsidRPr="004B6B61">
        <w:rPr>
          <w:rtl/>
          <w:lang w:val="ar-SA"/>
        </w:rPr>
        <w:t xml:space="preserve">لجمعية </w:t>
      </w:r>
      <w:r w:rsidR="004B6B61" w:rsidRPr="004B6B61">
        <w:rPr>
          <w:cs/>
          <w:lang w:val="ar-SA"/>
        </w:rPr>
        <w:t>‎</w:t>
      </w:r>
      <w:r w:rsidR="004B6B61" w:rsidRPr="004B6B61">
        <w:rPr>
          <w:lang w:val="ar-SA"/>
        </w:rPr>
        <w:t>RA-27</w:t>
      </w:r>
      <w:r w:rsidR="004B6B61" w:rsidRPr="004B6B61">
        <w:rPr>
          <w:rtl/>
          <w:lang w:val="ar-SA"/>
        </w:rPr>
        <w:t xml:space="preserve"> ‏والمؤتمر </w:t>
      </w:r>
      <w:r w:rsidR="004B6B61" w:rsidRPr="004B6B61">
        <w:rPr>
          <w:cs/>
          <w:lang w:val="ar-SA"/>
        </w:rPr>
        <w:t>‎</w:t>
      </w:r>
      <w:r w:rsidR="004B6B61" w:rsidRPr="004B6B61">
        <w:rPr>
          <w:lang w:val="ar-SA"/>
        </w:rPr>
        <w:t>WRC-27</w:t>
      </w:r>
      <w:r w:rsidR="004B6B61" w:rsidRPr="004B6B61">
        <w:rPr>
          <w:rtl/>
          <w:lang w:val="ar-SA"/>
        </w:rPr>
        <w:t>. ‏</w:t>
      </w:r>
      <w:r w:rsidR="004B6B61">
        <w:rPr>
          <w:rFonts w:hint="cs"/>
          <w:rtl/>
          <w:lang w:val="ar-SA"/>
        </w:rPr>
        <w:t>و</w:t>
      </w:r>
      <w:r w:rsidR="004B6B61" w:rsidRPr="004B6B61">
        <w:rPr>
          <w:rtl/>
          <w:lang w:val="ar-SA"/>
        </w:rPr>
        <w:t xml:space="preserve">كما أكد المستشار القانوني، </w:t>
      </w:r>
      <w:r w:rsidR="00A73676">
        <w:rPr>
          <w:rFonts w:hint="cs"/>
          <w:rtl/>
          <w:lang w:val="ar-SA"/>
        </w:rPr>
        <w:t>ستشرع</w:t>
      </w:r>
      <w:r w:rsidR="004B6B61" w:rsidRPr="004B6B61">
        <w:rPr>
          <w:rtl/>
          <w:lang w:val="ar-SA"/>
        </w:rPr>
        <w:t xml:space="preserve"> الأمانة </w:t>
      </w:r>
      <w:r w:rsidR="00A73676">
        <w:rPr>
          <w:rFonts w:hint="cs"/>
          <w:rtl/>
          <w:lang w:val="ar-SA"/>
        </w:rPr>
        <w:t xml:space="preserve">في إجراء </w:t>
      </w:r>
      <w:r w:rsidR="004B6B61" w:rsidRPr="004B6B61">
        <w:rPr>
          <w:rtl/>
          <w:lang w:val="ar-SA"/>
        </w:rPr>
        <w:t xml:space="preserve">مشاورة بالمراسلة مع جميع الدول الأعضاء البالغ عددها </w:t>
      </w:r>
      <w:r w:rsidR="004B6B61" w:rsidRPr="004B6B61">
        <w:rPr>
          <w:cs/>
          <w:lang w:val="ar-SA"/>
        </w:rPr>
        <w:t>‎</w:t>
      </w:r>
      <w:r w:rsidR="004B6B61" w:rsidRPr="004B6B61">
        <w:rPr>
          <w:lang w:val="ar-SA"/>
        </w:rPr>
        <w:t>194</w:t>
      </w:r>
      <w:r w:rsidR="004B6B61" w:rsidRPr="004B6B61">
        <w:rPr>
          <w:rtl/>
          <w:lang w:val="ar-SA"/>
        </w:rPr>
        <w:t xml:space="preserve"> ‏دولة. ودعت جميع الزملاء إلى مواصلة العمل معا</w:t>
      </w:r>
      <w:r w:rsidR="004B6B61">
        <w:rPr>
          <w:rFonts w:hint="cs"/>
          <w:rtl/>
          <w:lang w:val="ar-SA"/>
        </w:rPr>
        <w:t>ً</w:t>
      </w:r>
      <w:r w:rsidR="004B6B61" w:rsidRPr="004B6B61">
        <w:rPr>
          <w:rtl/>
          <w:lang w:val="ar-SA"/>
        </w:rPr>
        <w:t xml:space="preserve"> لدعم نجاح المؤتمر </w:t>
      </w:r>
      <w:r w:rsidR="004B6B61" w:rsidRPr="004B6B61">
        <w:rPr>
          <w:cs/>
          <w:lang w:val="ar-SA"/>
        </w:rPr>
        <w:t>‎</w:t>
      </w:r>
      <w:r w:rsidR="004B6B61" w:rsidRPr="004B6B61">
        <w:rPr>
          <w:lang w:val="ar-SA"/>
        </w:rPr>
        <w:t>WRC-27</w:t>
      </w:r>
      <w:r w:rsidR="004B6B61">
        <w:rPr>
          <w:rFonts w:hint="cs"/>
          <w:rtl/>
          <w:lang w:val="ar-SA"/>
        </w:rPr>
        <w:t>.</w:t>
      </w:r>
    </w:p>
    <w:p w14:paraId="6C539E3A" w14:textId="2A3114B5" w:rsidR="00280A83" w:rsidRPr="00280A83" w:rsidRDefault="00FD0891" w:rsidP="00280A83">
      <w:pPr>
        <w:rPr>
          <w:lang w:val="ar-SA" w:bidi="ar-EG"/>
        </w:rPr>
      </w:pPr>
      <w:r>
        <w:t>1</w:t>
      </w:r>
      <w:r w:rsidR="004B6B61">
        <w:t>5</w:t>
      </w:r>
      <w:r>
        <w:t>.1</w:t>
      </w:r>
      <w:r w:rsidR="00280A83" w:rsidRPr="00280A83">
        <w:rPr>
          <w:rtl/>
        </w:rPr>
        <w:tab/>
        <w:t>وبالعودة إلى الاقتراح الوارد في المساهمة المقدمة من الولايات المتحدة</w:t>
      </w:r>
      <w:r w:rsidR="0099259C">
        <w:rPr>
          <w:rFonts w:hint="cs"/>
          <w:rtl/>
        </w:rPr>
        <w:t xml:space="preserve"> </w:t>
      </w:r>
      <w:r w:rsidR="00280A83" w:rsidRPr="00280A83">
        <w:rPr>
          <w:rtl/>
        </w:rPr>
        <w:t>(الوثيقة C25/101)، بشأن ‏ضرورة وضع عملية رسمية وتعاونية وشفافة لتقديم عروض لاستضافة مؤتمرات الاتحاد المقبلة والاختيار من بين عروض متعددة، اقترحت الرئيسة تكليف فريق العمل التابع للمجلس والمعني بالموارد المالية والبشرية بتولي هذه المهمة.</w:t>
      </w:r>
    </w:p>
    <w:p w14:paraId="5EEA0716" w14:textId="39F5A570" w:rsidR="00280A83" w:rsidRPr="00280A83" w:rsidRDefault="005579E4" w:rsidP="00280A83">
      <w:pPr>
        <w:rPr>
          <w:lang w:val="ar-SA" w:bidi="ar-EG"/>
        </w:rPr>
      </w:pPr>
      <w:r>
        <w:t>16</w:t>
      </w:r>
      <w:r w:rsidR="00FD0891">
        <w:t>.1</w:t>
      </w:r>
      <w:r w:rsidR="00280A83" w:rsidRPr="00280A83">
        <w:rPr>
          <w:rtl/>
        </w:rPr>
        <w:tab/>
      </w:r>
      <w:r w:rsidR="00280A83" w:rsidRPr="00280A83">
        <w:rPr>
          <w:b/>
          <w:bCs/>
          <w:rtl/>
        </w:rPr>
        <w:t xml:space="preserve">واتُّفق </w:t>
      </w:r>
      <w:r w:rsidR="00280A83" w:rsidRPr="00280A83">
        <w:rPr>
          <w:rtl/>
        </w:rPr>
        <w:t>على ذلك.</w:t>
      </w:r>
    </w:p>
    <w:p w14:paraId="531EC61C" w14:textId="7DEFF087" w:rsidR="00280A83" w:rsidRPr="00280A83" w:rsidRDefault="00280A83" w:rsidP="00FD0891">
      <w:pPr>
        <w:pStyle w:val="Heading1"/>
        <w:rPr>
          <w:lang w:val="ar-SA" w:bidi="ar-EG"/>
        </w:rPr>
      </w:pPr>
      <w:r w:rsidRPr="00280A83">
        <w:rPr>
          <w:rtl/>
        </w:rPr>
        <w:lastRenderedPageBreak/>
        <w:t>2</w:t>
      </w:r>
      <w:r w:rsidRPr="00280A83">
        <w:rPr>
          <w:rtl/>
        </w:rPr>
        <w:tab/>
      </w:r>
      <w:r w:rsidR="0060230C" w:rsidRPr="0060230C">
        <w:rPr>
          <w:rtl/>
        </w:rPr>
        <w:t>أنشطة الاتحاد الدولي للاتصالات لتعزيز دوره في بناء الثقة والأمن في استخدام تكنولوجيا المعلومات والاتصالات</w:t>
      </w:r>
      <w:r w:rsidRPr="00280A83">
        <w:rPr>
          <w:rtl/>
        </w:rPr>
        <w:t xml:space="preserve"> (الوثيقتان </w:t>
      </w:r>
      <w:hyperlink r:id="rId20" w:history="1">
        <w:r w:rsidRPr="00FD0891">
          <w:rPr>
            <w:rStyle w:val="Hyperlink"/>
            <w:noProof w:val="0"/>
            <w:rtl/>
            <w:lang w:val="en-US" w:eastAsia="zh-CN"/>
          </w:rPr>
          <w:t>C22/18</w:t>
        </w:r>
      </w:hyperlink>
      <w:r w:rsidRPr="00280A83">
        <w:rPr>
          <w:rtl/>
        </w:rPr>
        <w:t xml:space="preserve"> و</w:t>
      </w:r>
      <w:hyperlink r:id="rId21" w:history="1">
        <w:r w:rsidRPr="00FD0891">
          <w:rPr>
            <w:rStyle w:val="Hyperlink"/>
            <w:noProof w:val="0"/>
            <w:rtl/>
            <w:lang w:val="en-US" w:eastAsia="zh-CN"/>
          </w:rPr>
          <w:t>C25/81</w:t>
        </w:r>
      </w:hyperlink>
      <w:r w:rsidR="00FD0891">
        <w:rPr>
          <w:rFonts w:hint="cs"/>
          <w:rtl/>
          <w:lang w:bidi="ar-EG"/>
        </w:rPr>
        <w:t>)</w:t>
      </w:r>
    </w:p>
    <w:p w14:paraId="5EA30852" w14:textId="46696E31" w:rsidR="00280A83" w:rsidRPr="00280A83" w:rsidRDefault="00FD0891" w:rsidP="00280A83">
      <w:pPr>
        <w:rPr>
          <w:lang w:val="ar-SA" w:bidi="ar-EG"/>
        </w:rPr>
      </w:pPr>
      <w:r>
        <w:t>1.2</w:t>
      </w:r>
      <w:r w:rsidR="00280A83" w:rsidRPr="00280A83">
        <w:rPr>
          <w:rtl/>
        </w:rPr>
        <w:tab/>
        <w:t>قدم ممثل الأمانة العامة التقرير الوارد في الوثيقة C25/18 الذي يلخص أنشطة الاتحاد في تنفيذ القرار</w:t>
      </w:r>
      <w:r w:rsidR="006B5F53">
        <w:rPr>
          <w:rFonts w:hint="cs"/>
          <w:rtl/>
        </w:rPr>
        <w:t> </w:t>
      </w:r>
      <w:r w:rsidR="00280A83" w:rsidRPr="00280A83">
        <w:rPr>
          <w:rtl/>
        </w:rPr>
        <w:t>130</w:t>
      </w:r>
      <w:r w:rsidR="006B5F53">
        <w:rPr>
          <w:rFonts w:hint="cs"/>
          <w:rtl/>
        </w:rPr>
        <w:t> </w:t>
      </w:r>
      <w:r w:rsidR="00280A83" w:rsidRPr="00280A83">
        <w:rPr>
          <w:rtl/>
        </w:rPr>
        <w:t>(المراج</w:t>
      </w:r>
      <w:r>
        <w:rPr>
          <w:rFonts w:hint="cs"/>
          <w:rtl/>
        </w:rPr>
        <w:t>َ</w:t>
      </w:r>
      <w:r w:rsidR="00280A83" w:rsidRPr="00280A83">
        <w:rPr>
          <w:rtl/>
        </w:rPr>
        <w:t>ع في بوخارست، 2022) لمؤتمر المندوبين المفوضين (</w:t>
      </w:r>
      <w:r w:rsidR="00280A83" w:rsidRPr="00280A83">
        <w:rPr>
          <w:lang w:bidi="ar-EG"/>
        </w:rPr>
        <w:t>PP</w:t>
      </w:r>
      <w:r w:rsidR="00280A83" w:rsidRPr="00280A83">
        <w:rPr>
          <w:rtl/>
        </w:rPr>
        <w:t xml:space="preserve">)، بشأن تعزيز دور الاتحاد في </w:t>
      </w:r>
      <w:r w:rsidR="006B5F53">
        <w:rPr>
          <w:rFonts w:hint="cs"/>
          <w:rtl/>
        </w:rPr>
        <w:t xml:space="preserve">مجال </w:t>
      </w:r>
      <w:r w:rsidR="00280A83" w:rsidRPr="00280A83">
        <w:rPr>
          <w:rtl/>
        </w:rPr>
        <w:t>بناء الثقة والأمن في</w:t>
      </w:r>
      <w:r w:rsidR="0099259C">
        <w:rPr>
          <w:rFonts w:hint="cs"/>
          <w:rtl/>
        </w:rPr>
        <w:t> </w:t>
      </w:r>
      <w:r w:rsidR="00280A83" w:rsidRPr="00280A83">
        <w:rPr>
          <w:rtl/>
        </w:rPr>
        <w:t>استخدام تكنولوجيا المعلومات والاتصالات، وفي دوره كجهة التسهيل الوحيدة لخط العمل جيم5 للقمة العالمية لمجتمع المعلومات (</w:t>
      </w:r>
      <w:r w:rsidR="00280A83" w:rsidRPr="00280A83">
        <w:rPr>
          <w:lang w:bidi="ar-EG"/>
        </w:rPr>
        <w:t>WSIS</w:t>
      </w:r>
      <w:r w:rsidR="00280A83" w:rsidRPr="00280A83">
        <w:rPr>
          <w:rtl/>
        </w:rPr>
        <w:t>)، وكذلك بشأن بناء الثقة والأمن في استخدام تكنولوجيا المعلومات والاتصالات. وشملت الأنشطة تدابير قانونية وتقنية وإجرائية وتطوير الهياكل التنظيمية وبناء القدرات والتعاون الدولي وجهود حماية الأطفال على الإنترنت.</w:t>
      </w:r>
    </w:p>
    <w:p w14:paraId="2F831E10" w14:textId="54D5BFAB" w:rsidR="00280A83" w:rsidRPr="00280A83" w:rsidRDefault="00FD0891" w:rsidP="00280A83">
      <w:pPr>
        <w:rPr>
          <w:lang w:val="ar-SA" w:bidi="ar-EG"/>
        </w:rPr>
      </w:pPr>
      <w:r>
        <w:t>2.2</w:t>
      </w:r>
      <w:r w:rsidR="00280A83" w:rsidRPr="00280A83">
        <w:rPr>
          <w:rtl/>
        </w:rPr>
        <w:tab/>
        <w:t xml:space="preserve">قدم عضو المجلس من نيجيريا مساهمة بلده الواردة في الوثيقة C25/81، التي تقدم معلومات محدثة عن إنشاء الهيئة الاستشارية الدولية المعنية بصمود </w:t>
      </w:r>
      <w:proofErr w:type="spellStart"/>
      <w:r w:rsidR="00280A83" w:rsidRPr="00280A83">
        <w:rPr>
          <w:rtl/>
        </w:rPr>
        <w:t>الكبلات</w:t>
      </w:r>
      <w:proofErr w:type="spellEnd"/>
      <w:r w:rsidR="00280A83" w:rsidRPr="00280A83">
        <w:rPr>
          <w:rtl/>
        </w:rPr>
        <w:t xml:space="preserve"> البحرية وأنشطتها اللاحقة، وأشار إلى عقد القمة الدولية لصمود </w:t>
      </w:r>
      <w:proofErr w:type="spellStart"/>
      <w:r w:rsidR="00280A83" w:rsidRPr="00280A83">
        <w:rPr>
          <w:rtl/>
        </w:rPr>
        <w:t>الكبلات</w:t>
      </w:r>
      <w:proofErr w:type="spellEnd"/>
      <w:r w:rsidR="00280A83" w:rsidRPr="00280A83">
        <w:rPr>
          <w:rtl/>
        </w:rPr>
        <w:t xml:space="preserve"> البحرية لعام 2025 في أبوجا، نيجيريا. وهناك حاجة ماسة للعمل والتعاون في هذا المجال، إذ تشكل </w:t>
      </w:r>
      <w:proofErr w:type="spellStart"/>
      <w:r w:rsidR="00280A83" w:rsidRPr="00280A83">
        <w:rPr>
          <w:rtl/>
        </w:rPr>
        <w:t>الكبلات</w:t>
      </w:r>
      <w:proofErr w:type="spellEnd"/>
      <w:r w:rsidR="00280A83" w:rsidRPr="00280A83">
        <w:rPr>
          <w:rtl/>
        </w:rPr>
        <w:t xml:space="preserve"> البحرية العمود الفقري للاتصالات الرقمية، إلا أن تقادم البنية التحتية وتأثير الصناعة يشكلان مخاطر نظامية.</w:t>
      </w:r>
    </w:p>
    <w:p w14:paraId="54251158" w14:textId="04FB1B2C" w:rsidR="00280A83" w:rsidRPr="00280A83" w:rsidRDefault="00FD0891" w:rsidP="00280A83">
      <w:pPr>
        <w:rPr>
          <w:lang w:val="ar-SA" w:bidi="ar-EG"/>
        </w:rPr>
      </w:pPr>
      <w:r>
        <w:t>3.2</w:t>
      </w:r>
      <w:r w:rsidR="00280A83" w:rsidRPr="00280A83">
        <w:rPr>
          <w:rtl/>
        </w:rPr>
        <w:tab/>
        <w:t xml:space="preserve">رحب العديد من أعضاء المجلس ومراقب بالجهود التي يبذلها الاتحاد لبناء الثقة والأمن في استعمال تكنولوجيا المعلومات والاتصالات، ولا سيما تلك التي تلبي الاحتياجات المتطورة للأمن السيبراني وكذلك تلك المتعلقة بصمود </w:t>
      </w:r>
      <w:proofErr w:type="spellStart"/>
      <w:r w:rsidR="00280A83" w:rsidRPr="00280A83">
        <w:rPr>
          <w:rtl/>
        </w:rPr>
        <w:t>كبلات</w:t>
      </w:r>
      <w:proofErr w:type="spellEnd"/>
      <w:r w:rsidR="00280A83" w:rsidRPr="00280A83">
        <w:rPr>
          <w:rtl/>
        </w:rPr>
        <w:t xml:space="preserve"> الاتصالات البحرية. واضطلع الاتحاد بدور قيادي مهم في تعزيز التعاون الدولي بشأن الأمن السيبراني وبناء قدرات قيّمة من خلال التدريبات السيبرانية العالمية والإقليمية. وهناك حاجة إلى التعاون متعدد الأطراف للنهوض بالأمن السيبراني على الصعيدين الوطني والإقليمي. وسلط العديد من أعضاء المجلس الضوء على الأحداث والمبادرات الوطنية والإقليمية، التي استفاد بعضها من المشاركة المباشرة للاتحاد، بما في ذلك حلقة دراسية نظمها اتحاد الاتصالات الكاريبي بشأن تعزيز صمود </w:t>
      </w:r>
      <w:proofErr w:type="spellStart"/>
      <w:r w:rsidR="00280A83" w:rsidRPr="00280A83">
        <w:rPr>
          <w:rtl/>
        </w:rPr>
        <w:t>الكبلات</w:t>
      </w:r>
      <w:proofErr w:type="spellEnd"/>
      <w:r w:rsidR="00280A83" w:rsidRPr="00280A83">
        <w:rPr>
          <w:rtl/>
        </w:rPr>
        <w:t xml:space="preserve"> البحرية، شارك فيها نائب الأمينة العامة.</w:t>
      </w:r>
    </w:p>
    <w:p w14:paraId="2D174C63" w14:textId="031BCD20" w:rsidR="00280A83" w:rsidRPr="00280A83" w:rsidRDefault="00FD0891" w:rsidP="00280A83">
      <w:pPr>
        <w:rPr>
          <w:lang w:val="ar-SA" w:bidi="ar-EG"/>
        </w:rPr>
      </w:pPr>
      <w:r>
        <w:t>4.2</w:t>
      </w:r>
      <w:r w:rsidR="00280A83" w:rsidRPr="00280A83">
        <w:rPr>
          <w:rtl/>
        </w:rPr>
        <w:tab/>
        <w:t>أعرب أحد أعضاء المجلس عن أمله في أن يواصل الاتحاد عمله لمساعدة البلدان النامية على تطوير بنية تحتية قادرة على الصمود لتكنولوجيا المعلومات والاتصالات، ولا سيما من خلال العمل التقني على مستوى لجان الدراسات ووضع معايير عملية استشرافية.</w:t>
      </w:r>
    </w:p>
    <w:p w14:paraId="5FEFE183" w14:textId="77777777" w:rsidR="00DF37B5" w:rsidRDefault="00FD0891" w:rsidP="00280A83">
      <w:pPr>
        <w:rPr>
          <w:rtl/>
        </w:rPr>
      </w:pPr>
      <w:r>
        <w:t>5.2</w:t>
      </w:r>
      <w:r w:rsidR="00280A83" w:rsidRPr="00280A83">
        <w:rPr>
          <w:rtl/>
        </w:rPr>
        <w:tab/>
        <w:t>ورحب أحد أعضاء المجلس بتوجيهات الاتحاد بشأن حماية الأطفال على الإنترنت، مشيراً إلى أن حكومته أتاحت هذه التوجيهات بلغتها الوطنية. ورحب عضو آخر في المجلس بالإصدار الخامس من الرقم القياسي العالمي للأمن السيبراني للاتحاد وأعرب عن أمله في أن تتضمن الطبعة السادسة بيانات من عدد أكبر من البلدان.</w:t>
      </w:r>
    </w:p>
    <w:p w14:paraId="177AB048" w14:textId="4C53934B" w:rsidR="00DF37B5" w:rsidRDefault="00FD0891" w:rsidP="00280A83">
      <w:pPr>
        <w:rPr>
          <w:rtl/>
        </w:rPr>
      </w:pPr>
      <w:r>
        <w:t>6.2</w:t>
      </w:r>
      <w:r w:rsidR="00280A83" w:rsidRPr="00280A83">
        <w:rPr>
          <w:rtl/>
        </w:rPr>
        <w:tab/>
        <w:t xml:space="preserve">أشاد أعضاء المجلس بنيجيريا لاستضافتها القمة الدولية الناجحة للغاية بشأن صمود </w:t>
      </w:r>
      <w:proofErr w:type="spellStart"/>
      <w:r w:rsidR="00280A83" w:rsidRPr="00280A83">
        <w:rPr>
          <w:rtl/>
        </w:rPr>
        <w:t>الكبلات</w:t>
      </w:r>
      <w:proofErr w:type="spellEnd"/>
      <w:r w:rsidR="00280A83" w:rsidRPr="00280A83">
        <w:rPr>
          <w:rtl/>
        </w:rPr>
        <w:t xml:space="preserve"> البحرية، وأعربوا</w:t>
      </w:r>
      <w:r w:rsidR="0099259C">
        <w:rPr>
          <w:rFonts w:hint="cs"/>
          <w:rtl/>
        </w:rPr>
        <w:t> </w:t>
      </w:r>
      <w:r w:rsidR="00280A83" w:rsidRPr="00280A83">
        <w:rPr>
          <w:rtl/>
        </w:rPr>
        <w:t xml:space="preserve">عن تطلعهم إلى تنفيذ إعلان أبوجا الصادر عنها. وأكدوا دعمهم للهيئة الاستشارية الدولية المعنية بصمود </w:t>
      </w:r>
      <w:proofErr w:type="spellStart"/>
      <w:r w:rsidR="00280A83" w:rsidRPr="00280A83">
        <w:rPr>
          <w:rtl/>
        </w:rPr>
        <w:t>الكبلات</w:t>
      </w:r>
      <w:proofErr w:type="spellEnd"/>
      <w:r w:rsidR="00280A83" w:rsidRPr="00280A83">
        <w:rPr>
          <w:rtl/>
        </w:rPr>
        <w:t xml:space="preserve"> البحرية، وأشاروا إلى الحاجة الماسة لحماية تلك البنية التحتية الحيوية التي تدعم الأنشطة عبر العديد من القطاعات الاجتماعية</w:t>
      </w:r>
      <w:r w:rsidR="0099259C">
        <w:rPr>
          <w:rFonts w:hint="cs"/>
          <w:rtl/>
        </w:rPr>
        <w:t> </w:t>
      </w:r>
      <w:r w:rsidR="00280A83" w:rsidRPr="00280A83">
        <w:rPr>
          <w:rtl/>
        </w:rPr>
        <w:t>والاقتصادية.</w:t>
      </w:r>
    </w:p>
    <w:p w14:paraId="70EA401D" w14:textId="060EB1CD" w:rsidR="00280A83" w:rsidRPr="00280A83" w:rsidRDefault="00FD0891" w:rsidP="00280A83">
      <w:pPr>
        <w:rPr>
          <w:lang w:val="ar-SA" w:bidi="ar-EG"/>
        </w:rPr>
      </w:pPr>
      <w:r>
        <w:t>7.2</w:t>
      </w:r>
      <w:r w:rsidR="00280A83" w:rsidRPr="00280A83">
        <w:rPr>
          <w:rtl/>
        </w:rPr>
        <w:tab/>
        <w:t>ورداً على سؤال طرحه أحد أعضاء المجلس، أكد ممثل الأمانة العامة أن السيد أوتا لا يزال جهة الاتصال في</w:t>
      </w:r>
      <w:r w:rsidR="000C1483">
        <w:rPr>
          <w:rFonts w:hint="cs"/>
          <w:rtl/>
        </w:rPr>
        <w:t> </w:t>
      </w:r>
      <w:r w:rsidR="00280A83" w:rsidRPr="00280A83">
        <w:rPr>
          <w:rtl/>
        </w:rPr>
        <w:t xml:space="preserve">الأمانة بشأن المسائل المتعلقة بمعايير </w:t>
      </w:r>
      <w:proofErr w:type="spellStart"/>
      <w:r w:rsidR="00280A83" w:rsidRPr="00280A83">
        <w:rPr>
          <w:rtl/>
        </w:rPr>
        <w:t>الكبلات</w:t>
      </w:r>
      <w:proofErr w:type="spellEnd"/>
      <w:r w:rsidR="00280A83" w:rsidRPr="00280A83">
        <w:rPr>
          <w:rtl/>
        </w:rPr>
        <w:t xml:space="preserve"> البحرية، وأن السيد </w:t>
      </w:r>
      <w:proofErr w:type="spellStart"/>
      <w:r w:rsidR="00280A83" w:rsidRPr="00280A83">
        <w:rPr>
          <w:rtl/>
        </w:rPr>
        <w:t>مالور</w:t>
      </w:r>
      <w:proofErr w:type="spellEnd"/>
      <w:r w:rsidR="00280A83" w:rsidRPr="00280A83">
        <w:rPr>
          <w:rtl/>
        </w:rPr>
        <w:t xml:space="preserve"> هو جهة الاتصال الرئيسية للهيئة الاستشارية الدولية المعنية بصمود </w:t>
      </w:r>
      <w:proofErr w:type="spellStart"/>
      <w:r w:rsidR="00280A83" w:rsidRPr="00280A83">
        <w:rPr>
          <w:rtl/>
        </w:rPr>
        <w:t>الكبلات</w:t>
      </w:r>
      <w:proofErr w:type="spellEnd"/>
      <w:r w:rsidR="00280A83" w:rsidRPr="00280A83">
        <w:rPr>
          <w:rtl/>
        </w:rPr>
        <w:t xml:space="preserve"> البحرية، والتي يدعمها فريق أمانة مشترك بين القطاعات.</w:t>
      </w:r>
    </w:p>
    <w:p w14:paraId="65AA80D5" w14:textId="4774744D" w:rsidR="00280A83" w:rsidRPr="00280A83" w:rsidRDefault="00FD0891" w:rsidP="00280A83">
      <w:pPr>
        <w:rPr>
          <w:lang w:val="ar-SA" w:bidi="ar-EG"/>
        </w:rPr>
      </w:pPr>
      <w:r>
        <w:t>8.2</w:t>
      </w:r>
      <w:r w:rsidR="00280A83" w:rsidRPr="00280A83">
        <w:rPr>
          <w:rtl/>
        </w:rPr>
        <w:tab/>
        <w:t>أدلى عضو المجلس من أوكرانيا بالبيان المشترك التالي نيابة عن 44 دولة عضواً</w:t>
      </w:r>
      <w:r w:rsidR="00280A83" w:rsidRPr="00280A83">
        <w:rPr>
          <w:lang w:bidi="ar-EG"/>
        </w:rPr>
        <w:t>:</w:t>
      </w:r>
      <w:r w:rsidR="00280A83" w:rsidRPr="00280A83">
        <w:rPr>
          <w:rtl/>
        </w:rPr>
        <w:t xml:space="preserve"> </w:t>
      </w:r>
      <w:r w:rsidR="006B5CEF">
        <w:rPr>
          <w:rtl/>
        </w:rPr>
        <w:tab/>
      </w:r>
      <w:r w:rsidR="006B5CEF">
        <w:rPr>
          <w:rtl/>
        </w:rPr>
        <w:br/>
      </w:r>
      <w:hyperlink r:id="rId22" w:history="1">
        <w:r w:rsidR="006B5CEF" w:rsidRPr="00E33430">
          <w:rPr>
            <w:rStyle w:val="Hyperlink"/>
            <w:rFonts w:eastAsia="Calibri"/>
          </w:rPr>
          <w:t>http://council.itu.int/2025/wp-content/uploads/sites/5/2025/07/Statement_France-and-co-countries_260625-e.pdf</w:t>
        </w:r>
      </w:hyperlink>
      <w:r w:rsidR="00280A83" w:rsidRPr="00280A83">
        <w:rPr>
          <w:rtl/>
        </w:rPr>
        <w:t>.</w:t>
      </w:r>
      <w:hyperlink r:id="rId23" w:history="1"/>
    </w:p>
    <w:p w14:paraId="591D6596" w14:textId="6051D8BA" w:rsidR="00280A83" w:rsidRPr="006B5CEF" w:rsidRDefault="00FD0891" w:rsidP="00280A83">
      <w:pPr>
        <w:rPr>
          <w:spacing w:val="-4"/>
          <w:lang w:val="ar-SA" w:bidi="ar-EG"/>
        </w:rPr>
      </w:pPr>
      <w:r>
        <w:t>9.2</w:t>
      </w:r>
      <w:r w:rsidR="00280A83" w:rsidRPr="00280A83">
        <w:rPr>
          <w:rtl/>
        </w:rPr>
        <w:tab/>
        <w:t>وأدلى المراقب عن الاتحاد الروسي بالبيان التالي</w:t>
      </w:r>
      <w:r w:rsidR="00280A83" w:rsidRPr="00280A83">
        <w:rPr>
          <w:lang w:bidi="ar-EG"/>
        </w:rPr>
        <w:t>:</w:t>
      </w:r>
      <w:r w:rsidR="006B5CEF">
        <w:rPr>
          <w:rtl/>
          <w:lang w:bidi="ar-EG"/>
        </w:rPr>
        <w:tab/>
      </w:r>
      <w:r w:rsidR="006B5CEF">
        <w:rPr>
          <w:rtl/>
        </w:rPr>
        <w:br/>
      </w:r>
      <w:hyperlink r:id="rId24" w:history="1">
        <w:r w:rsidRPr="006B5CEF">
          <w:rPr>
            <w:rStyle w:val="Hyperlink"/>
            <w:rFonts w:eastAsia="Calibri"/>
            <w:spacing w:val="-4"/>
          </w:rPr>
          <w:t>http://council.itu.int/2025/wp-content/uploads/sites/5/2025/07/Statement_Russia_260625-e.pdf</w:t>
        </w:r>
      </w:hyperlink>
      <w:r w:rsidR="00280A83" w:rsidRPr="006B5CEF">
        <w:rPr>
          <w:spacing w:val="-4"/>
          <w:rtl/>
        </w:rPr>
        <w:t>.</w:t>
      </w:r>
      <w:hyperlink r:id="rId25" w:history="1"/>
    </w:p>
    <w:p w14:paraId="57CF0F25" w14:textId="397176CF" w:rsidR="00280A83" w:rsidRPr="00280A83" w:rsidRDefault="00FD0891" w:rsidP="00280A83">
      <w:pPr>
        <w:rPr>
          <w:lang w:val="ar-SA" w:bidi="ar-EG"/>
        </w:rPr>
      </w:pPr>
      <w:r>
        <w:t>10.2</w:t>
      </w:r>
      <w:r w:rsidR="00280A83" w:rsidRPr="00280A83">
        <w:rPr>
          <w:rtl/>
        </w:rPr>
        <w:tab/>
        <w:t xml:space="preserve">دعا المراقب عن جمهورية إيران الإسلامية الاتحاد والأمينة العامة إلى الإدانة الصريحة للعمل العدواني الأخير الذي ارتكبه النظام الإسرائيلي والذي استهدف البنية التحتية الحيوية لتكنولوجيا المعلومات والاتصالات وهيئة الإذاعة العامة في بلده. وقال إن الهجمات على أنظمة الإذاعة العامة تشكل حرباً معلوماتية تهدف إلى إسكات وسائل الإعلام المدنية وتهديد الاتصالات العالمية. وشدد على أهمية الحفاظ على سلامة أنظمة الاتصالات العالمية، وإدانة العمل العدواني </w:t>
      </w:r>
      <w:r w:rsidR="00280A83" w:rsidRPr="00280A83">
        <w:rPr>
          <w:rtl/>
        </w:rPr>
        <w:lastRenderedPageBreak/>
        <w:t>ضد البنية التحتية الحيوية، ودعم التدابير الرامية إلى ضمان صمود وأمن شبكات تكنولوجيا المعلومات والاتصالات في</w:t>
      </w:r>
      <w:r w:rsidR="006B5CEF">
        <w:rPr>
          <w:rFonts w:hint="cs"/>
          <w:rtl/>
        </w:rPr>
        <w:t> </w:t>
      </w:r>
      <w:r w:rsidR="00280A83" w:rsidRPr="00280A83">
        <w:rPr>
          <w:rtl/>
        </w:rPr>
        <w:t>جميع أنحاء العالم.‎</w:t>
      </w:r>
    </w:p>
    <w:p w14:paraId="3D84EE9C" w14:textId="423EE470" w:rsidR="00280A83" w:rsidRPr="00280A83" w:rsidRDefault="00FD0891" w:rsidP="00280A83">
      <w:pPr>
        <w:rPr>
          <w:lang w:val="ar-SA" w:bidi="ar-EG"/>
        </w:rPr>
      </w:pPr>
      <w:r>
        <w:t>11.2</w:t>
      </w:r>
      <w:r w:rsidR="00280A83" w:rsidRPr="00280A83">
        <w:rPr>
          <w:rtl/>
        </w:rPr>
        <w:tab/>
        <w:t>ودحضت المراقبة عن إسرائيل الاتهامات التي وجهها المراقب عن جمهورية إيران الإسلامية. وقالت إن حكومتها استهدفت بنية تحتية عسكرية مشروعة. وأوضحت أن المبنى الذي كانت تستخدمه هيئة الإذاعة قد استخدمته القوات المسلحة الإيرانية في أنشطة عسكرية؛ وقد استُهدف هذا المبنى بدقة عالية مع الالتزام الصارم بالقانون الدولي، ومع اتخاذ جميع الاحتياطات الممكنة للحد من الأضرار المدنية. وشددت على أنه خلافاً للعمليات العسكرية لجمهورية إيران الإسلامية، فإن العمليات الإسرائيلية تستهدف حصرياً أهدافاً مشروعة تشكّل تهديداً لإسرائيل ولسكانها المدنيين.</w:t>
      </w:r>
    </w:p>
    <w:p w14:paraId="2FC2AD4A" w14:textId="4DA40D8F" w:rsidR="00280A83" w:rsidRPr="00280A83" w:rsidRDefault="00FD0891" w:rsidP="00280A83">
      <w:pPr>
        <w:rPr>
          <w:lang w:val="ar-SA" w:bidi="ar-EG"/>
        </w:rPr>
      </w:pPr>
      <w:r>
        <w:t>12.2</w:t>
      </w:r>
      <w:r w:rsidR="00280A83" w:rsidRPr="00280A83">
        <w:rPr>
          <w:rtl/>
        </w:rPr>
        <w:tab/>
      </w:r>
      <w:r w:rsidR="00280A83" w:rsidRPr="000C1483">
        <w:rPr>
          <w:b/>
          <w:bCs/>
          <w:rtl/>
        </w:rPr>
        <w:t>وأحاط</w:t>
      </w:r>
      <w:r w:rsidR="00280A83" w:rsidRPr="00280A83">
        <w:rPr>
          <w:rtl/>
        </w:rPr>
        <w:t xml:space="preserve"> المجلس </w:t>
      </w:r>
      <w:r w:rsidR="00280A83" w:rsidRPr="00280A83">
        <w:rPr>
          <w:b/>
          <w:bCs/>
          <w:rtl/>
        </w:rPr>
        <w:t xml:space="preserve">علماً </w:t>
      </w:r>
      <w:r w:rsidR="00280A83" w:rsidRPr="00280A83">
        <w:rPr>
          <w:rtl/>
        </w:rPr>
        <w:t>بالتقريرين الواردين في الوثيقتين C25/18 وC25/81.</w:t>
      </w:r>
    </w:p>
    <w:p w14:paraId="5A7EC8D2" w14:textId="3531F11E" w:rsidR="00280A83" w:rsidRPr="00282591" w:rsidRDefault="00280A83" w:rsidP="00A24A72">
      <w:pPr>
        <w:pStyle w:val="Heading1"/>
        <w:rPr>
          <w:lang w:val="ar-SA" w:bidi="ar-EG"/>
        </w:rPr>
      </w:pPr>
      <w:r w:rsidRPr="00282591">
        <w:rPr>
          <w:rtl/>
        </w:rPr>
        <w:t>3</w:t>
      </w:r>
      <w:r w:rsidRPr="00282591">
        <w:rPr>
          <w:rtl/>
        </w:rPr>
        <w:tab/>
      </w:r>
      <w:r w:rsidR="0060230C" w:rsidRPr="00282591">
        <w:rPr>
          <w:rtl/>
        </w:rPr>
        <w:t xml:space="preserve">المشاركة الفعالة للشباب والمبادرات المتعلقة بهم في الاتحاد الدولي للاتصالات </w:t>
      </w:r>
      <w:r w:rsidRPr="00282591">
        <w:rPr>
          <w:rtl/>
        </w:rPr>
        <w:t>(الوثيقة</w:t>
      </w:r>
      <w:r w:rsidR="00282591">
        <w:rPr>
          <w:rFonts w:hint="cs"/>
          <w:rtl/>
        </w:rPr>
        <w:t> </w:t>
      </w:r>
      <w:hyperlink r:id="rId26" w:history="1">
        <w:r w:rsidRPr="00282591">
          <w:rPr>
            <w:rStyle w:val="Hyperlink"/>
            <w:noProof w:val="0"/>
            <w:rtl/>
            <w:lang w:val="en-US" w:eastAsia="zh-CN"/>
          </w:rPr>
          <w:t>C25/32</w:t>
        </w:r>
      </w:hyperlink>
      <w:r w:rsidR="00A24A72" w:rsidRPr="00282591">
        <w:rPr>
          <w:rFonts w:hint="cs"/>
          <w:rtl/>
          <w:lang w:bidi="ar-EG"/>
        </w:rPr>
        <w:t>)</w:t>
      </w:r>
    </w:p>
    <w:p w14:paraId="4CEB116E" w14:textId="5C438D1F" w:rsidR="00280A83" w:rsidRPr="00061BAB" w:rsidRDefault="00061BAB" w:rsidP="00280A83">
      <w:pPr>
        <w:rPr>
          <w:spacing w:val="-2"/>
          <w:lang w:val="ar-SA" w:bidi="ar-EG"/>
        </w:rPr>
      </w:pPr>
      <w:r w:rsidRPr="00061BAB">
        <w:rPr>
          <w:spacing w:val="-2"/>
        </w:rPr>
        <w:t>3.1</w:t>
      </w:r>
      <w:r w:rsidR="00280A83" w:rsidRPr="00061BAB">
        <w:rPr>
          <w:spacing w:val="-2"/>
          <w:rtl/>
        </w:rPr>
        <w:tab/>
        <w:t>قدمت ممثلة الأمانة العامة الوثيقة C25/32 التي تلخص مشاركة الاتحاد في مبادرات الشباب والتقدم المحرز في تنفيذ القرار 198 (المراج</w:t>
      </w:r>
      <w:r w:rsidRPr="00061BAB">
        <w:rPr>
          <w:rFonts w:hint="cs"/>
          <w:spacing w:val="-2"/>
          <w:rtl/>
        </w:rPr>
        <w:t>َ</w:t>
      </w:r>
      <w:r w:rsidR="00280A83" w:rsidRPr="00061BAB">
        <w:rPr>
          <w:spacing w:val="-2"/>
          <w:rtl/>
        </w:rPr>
        <w:t>ع في بوخارست، 2022) لمؤتمر المندوبين المفوضين بشأن تمكين الشباب من خلال تكنولوجيا المعلومات والاتصالات. ويتناول التقرير تمكين الشباب داخل الاتحاد والدعوة الخارجية، بما في ذلك إشراك الشباب من خلال أحداث الاتحاد، مثل قمة الذكاء الاصطناعي من أجل المصلحة العامة والجمعية العالمية لتقييس الاتصالات لعام</w:t>
      </w:r>
      <w:r>
        <w:rPr>
          <w:rFonts w:hint="cs"/>
          <w:spacing w:val="-2"/>
          <w:rtl/>
        </w:rPr>
        <w:t> </w:t>
      </w:r>
      <w:r w:rsidR="00280A83" w:rsidRPr="00061BAB">
        <w:rPr>
          <w:spacing w:val="-2"/>
          <w:rtl/>
        </w:rPr>
        <w:t>2024 (WTSA-24). وأشارت إلى زيادة تمثيل الشباب بين موظفي الاتحاد، حيث بلغت نسبة من تقل أعمارهم عن</w:t>
      </w:r>
      <w:r w:rsidR="002C66F8">
        <w:rPr>
          <w:rFonts w:hint="cs"/>
          <w:spacing w:val="-2"/>
          <w:rtl/>
        </w:rPr>
        <w:t> </w:t>
      </w:r>
      <w:r w:rsidR="00280A83" w:rsidRPr="00061BAB">
        <w:rPr>
          <w:spacing w:val="-2"/>
          <w:rtl/>
        </w:rPr>
        <w:t>30 عاماً 4,3 في المائة، وقدمت أربعة موظفين تم توظيفهم في إطار برنامج المهنيين الشباب بالاتحاد (</w:t>
      </w:r>
      <w:r w:rsidR="00280A83" w:rsidRPr="00061BAB">
        <w:rPr>
          <w:spacing w:val="-2"/>
          <w:lang w:bidi="ar-EG"/>
        </w:rPr>
        <w:t>ITU-YPP</w:t>
      </w:r>
      <w:r w:rsidR="00280A83" w:rsidRPr="00061BAB">
        <w:rPr>
          <w:spacing w:val="-2"/>
          <w:rtl/>
        </w:rPr>
        <w:t>).</w:t>
      </w:r>
    </w:p>
    <w:p w14:paraId="71088D70" w14:textId="2689335B" w:rsidR="00280A83" w:rsidRPr="00280A83" w:rsidRDefault="00061BAB" w:rsidP="00280A83">
      <w:pPr>
        <w:rPr>
          <w:lang w:val="ar-SA" w:bidi="ar-EG"/>
        </w:rPr>
      </w:pPr>
      <w:r>
        <w:t>3.2</w:t>
      </w:r>
      <w:r w:rsidR="00280A83" w:rsidRPr="00280A83">
        <w:rPr>
          <w:rtl/>
        </w:rPr>
        <w:tab/>
        <w:t>ورحب أعضاء المجلس بالموظفين المعيّنين في إطار برنامج المهنيين الشباب بالاتحاد. وعضو المجلس من اليابان، الذي ساهم بلده في صندوق برنامج المهنيين الشباب بالاتحاد، أعرب عن ارتياحه لاجتذاب البرنامج مهنيين شباب يتمتعون بدرجة عالية من الحماس والكفاءة.</w:t>
      </w:r>
    </w:p>
    <w:p w14:paraId="7026F1C7" w14:textId="1CFB28F6" w:rsidR="00280A83" w:rsidRPr="00280A83" w:rsidRDefault="00252D45" w:rsidP="00280A83">
      <w:pPr>
        <w:rPr>
          <w:lang w:val="ar-SA" w:bidi="ar-EG"/>
        </w:rPr>
      </w:pPr>
      <w:r>
        <w:t>3.3</w:t>
      </w:r>
      <w:r w:rsidR="00280A83" w:rsidRPr="00280A83">
        <w:rPr>
          <w:rtl/>
        </w:rPr>
        <w:tab/>
        <w:t>أشاد أعضاء المجلس والمراقبون بالتقدم المحرز في النهوض بمشاركة الشباب بموجب القرار 198 (المراج</w:t>
      </w:r>
      <w:r>
        <w:rPr>
          <w:rFonts w:hint="cs"/>
          <w:rtl/>
        </w:rPr>
        <w:t>َ</w:t>
      </w:r>
      <w:r w:rsidR="00280A83" w:rsidRPr="00280A83">
        <w:rPr>
          <w:rtl/>
        </w:rPr>
        <w:t>ع في بوخارست، 2022) لمؤتمر المندوبين المفوضين، ولا سيما من خلال مكتب الاتحاد المعني بالمساواة بين الجنسين والشباب والمبعوثين الشباب لمبادرة توصيل الجيل (</w:t>
      </w:r>
      <w:r w:rsidR="00280A83" w:rsidRPr="00280A83">
        <w:rPr>
          <w:lang w:bidi="ar-EG"/>
        </w:rPr>
        <w:t>GYCE</w:t>
      </w:r>
      <w:r w:rsidR="00280A83" w:rsidRPr="00280A83">
        <w:rPr>
          <w:rtl/>
        </w:rPr>
        <w:t>) والقمة العالمية للشباب لعام 2025 (GYS-25) والمجلس الاستشاري للشباب التابع للأمينة العامة، فضلاً عن زيادة تمثيل الشباب بين موظفي الاتحاد. والمشاركة المباشرة مع الشباب على المستويين الإقليمي والعالمي أمر ضروري لتحديد الأولويات. وينبغي أن يكون الشباب أكثر من مجرد مشاركين؛ بل ينبغي أن يساهموا في رسم معالم المستقبل الرقمي. وشجع أعضاء المجلس الاتحاد على</w:t>
      </w:r>
      <w:r w:rsidR="002C1B5F">
        <w:rPr>
          <w:rFonts w:hint="cs"/>
          <w:rtl/>
        </w:rPr>
        <w:t> </w:t>
      </w:r>
      <w:r w:rsidR="00280A83" w:rsidRPr="00280A83">
        <w:rPr>
          <w:rtl/>
        </w:rPr>
        <w:t>مواصلة تعزيز التمثيل الجغرافي وإشراك المزيد من الشباب من البلدان النامية وأقل البلدان نمواً في المبادرات. وأيد العديد من أعضاء المجلس زيادة استخدام المِنح لهذا الغرض، في حين أشار أحد أعضاء المجلس إلى أن أنشطة مشاركة الشباب تُنظَّم في الغالب حضورياً، واقترح اعتماد صيغ هجينة لزيادة المشاركة.</w:t>
      </w:r>
    </w:p>
    <w:p w14:paraId="2116554F" w14:textId="61B29550" w:rsidR="00280A83" w:rsidRPr="00280A83" w:rsidRDefault="00026952" w:rsidP="00280A83">
      <w:pPr>
        <w:rPr>
          <w:lang w:val="ar-SA" w:bidi="ar-EG"/>
        </w:rPr>
      </w:pPr>
      <w:r>
        <w:t>4.3</w:t>
      </w:r>
      <w:r w:rsidR="00280A83" w:rsidRPr="00280A83">
        <w:rPr>
          <w:rtl/>
        </w:rPr>
        <w:tab/>
        <w:t>استعرض العديد من أعضاء المجلس المبادرات والفعاليات التي نُفِّذت في بلدانهم لتعزيز مشاركة الشباب في</w:t>
      </w:r>
      <w:r w:rsidR="002C1B5F">
        <w:rPr>
          <w:rFonts w:hint="cs"/>
          <w:rtl/>
        </w:rPr>
        <w:t> </w:t>
      </w:r>
      <w:r w:rsidR="00280A83" w:rsidRPr="00280A83">
        <w:rPr>
          <w:rtl/>
        </w:rPr>
        <w:t>تطوير تكنولوجيا المعلومات والاتصالات والسياسات العامة، وتعزيز التعليم الرقمي وريادة الأعمال، ليكون الشباب مشاركين فاعلين في بناء مستقبل رقمي مستدام. وأشار عضو المجلس من الهند إلى المستوى العالي لمشاركة الشباب في الجمعية WTSA-24.</w:t>
      </w:r>
    </w:p>
    <w:p w14:paraId="41F5B7BB" w14:textId="77777777" w:rsidR="00DF37B5" w:rsidRDefault="00026952" w:rsidP="00280A83">
      <w:pPr>
        <w:rPr>
          <w:rtl/>
        </w:rPr>
      </w:pPr>
      <w:r>
        <w:t>5.3</w:t>
      </w:r>
      <w:r w:rsidR="00280A83" w:rsidRPr="00280A83">
        <w:rPr>
          <w:rtl/>
        </w:rPr>
        <w:tab/>
        <w:t>وأثنى أعضاء المجلس على الأمانة وكوبا على التنظيم الناجح للقمة GYS-25. وقال عضو المجلس من كوبا إن استضافة القمة كانت شرفاً كبيراً. واقترح أحد أعضاء المجلس تمكين المشاركين في أحداث الاتحاد من اختيار تصنيف "دون سن 35 عاماً" عند التسجيل بهدف تحسين جمع البيانات وتوفير معلومات أفضل لتوجيه برامج التدريب المخصصة للوفود الشابة. وشجع أعضاء المجلس الأمانة على مواصلة تبسيط أنشطة إشراك الشباب، بما في ذلك تعزيز التعاون الفعال مع طلاب الجامعات والمؤسسات الأكاديمية.</w:t>
      </w:r>
    </w:p>
    <w:p w14:paraId="45F9E608" w14:textId="77777777" w:rsidR="00DF37B5" w:rsidRDefault="00026952" w:rsidP="00280A83">
      <w:pPr>
        <w:rPr>
          <w:rtl/>
        </w:rPr>
      </w:pPr>
      <w:r>
        <w:t>6.3</w:t>
      </w:r>
      <w:r w:rsidR="00280A83" w:rsidRPr="00280A83">
        <w:rPr>
          <w:rtl/>
        </w:rPr>
        <w:tab/>
        <w:t>وشكرت ممثلة الأمانة العامة الدول الأعضاء على دعمها وجهودها لتعزيز مشاركة الشباب على الصعيد الوطني. وستواصل الأمانة استكشاف سبل التعاون مع الهيئات الأكاديمية والطلاب وتوسيع نطاق المِنح التي تمول إلى حد كبير من خلال المساهمات الطوعية. وأعربت عن امتنانها للدول الأعضاء التي ساهمت في هذا الصدد ولكوبا على استضافة القمة GSY-25. وشجعت الدول الأعضاء على مواصلة دعم مشاركة الشباب من خلال تقديم مساهمات طوعية إضافية.</w:t>
      </w:r>
    </w:p>
    <w:p w14:paraId="0F48E07A" w14:textId="77777777" w:rsidR="00DF37B5" w:rsidRDefault="00026952" w:rsidP="00280A83">
      <w:pPr>
        <w:rPr>
          <w:rtl/>
        </w:rPr>
      </w:pPr>
      <w:r>
        <w:lastRenderedPageBreak/>
        <w:t>7.3</w:t>
      </w:r>
      <w:r w:rsidR="00280A83" w:rsidRPr="00280A83">
        <w:rPr>
          <w:rtl/>
        </w:rPr>
        <w:tab/>
      </w:r>
      <w:r w:rsidR="00280A83" w:rsidRPr="000C1483">
        <w:rPr>
          <w:b/>
          <w:bCs/>
          <w:rtl/>
        </w:rPr>
        <w:t>وأحاط</w:t>
      </w:r>
      <w:r w:rsidR="00280A83" w:rsidRPr="00280A83">
        <w:rPr>
          <w:rtl/>
        </w:rPr>
        <w:t xml:space="preserve"> المجلس </w:t>
      </w:r>
      <w:r w:rsidR="00280A83" w:rsidRPr="00280A83">
        <w:rPr>
          <w:b/>
          <w:bCs/>
          <w:rtl/>
        </w:rPr>
        <w:t xml:space="preserve">علماً </w:t>
      </w:r>
      <w:r w:rsidR="00280A83" w:rsidRPr="00280A83">
        <w:rPr>
          <w:rtl/>
        </w:rPr>
        <w:t>بالتقرير الوارد في الوثيقة C25/32.</w:t>
      </w:r>
    </w:p>
    <w:p w14:paraId="39440438" w14:textId="1EFA9C3F" w:rsidR="00280A83" w:rsidRPr="00280A83" w:rsidRDefault="00280A83" w:rsidP="00026952">
      <w:pPr>
        <w:pStyle w:val="Heading1"/>
        <w:rPr>
          <w:lang w:val="ar-SA" w:bidi="ar-EG"/>
        </w:rPr>
      </w:pPr>
      <w:r w:rsidRPr="00280A83">
        <w:rPr>
          <w:rtl/>
        </w:rPr>
        <w:t>4</w:t>
      </w:r>
      <w:r w:rsidRPr="00280A83">
        <w:rPr>
          <w:rtl/>
        </w:rPr>
        <w:tab/>
      </w:r>
      <w:r w:rsidR="0060230C" w:rsidRPr="0060230C">
        <w:rPr>
          <w:rtl/>
        </w:rPr>
        <w:t>تقرير بشأن القرار 70 (المراجَع في بوخارست، 2022) لمؤتمر المندوبين المفوضين</w:t>
      </w:r>
      <w:r w:rsidR="0060230C">
        <w:rPr>
          <w:rFonts w:hint="cs"/>
          <w:rtl/>
        </w:rPr>
        <w:t xml:space="preserve"> </w:t>
      </w:r>
      <w:r w:rsidRPr="00280A83">
        <w:rPr>
          <w:rtl/>
        </w:rPr>
        <w:t xml:space="preserve">(الوثيقة </w:t>
      </w:r>
      <w:hyperlink r:id="rId27" w:history="1">
        <w:r w:rsidRPr="00026952">
          <w:rPr>
            <w:rStyle w:val="Hyperlink"/>
            <w:noProof w:val="0"/>
            <w:rtl/>
            <w:lang w:val="en-US" w:eastAsia="zh-CN"/>
          </w:rPr>
          <w:t>C25/6</w:t>
        </w:r>
      </w:hyperlink>
      <w:r w:rsidRPr="00280A83">
        <w:rPr>
          <w:rtl/>
        </w:rPr>
        <w:t>)</w:t>
      </w:r>
      <w:hyperlink r:id="rId28" w:history="1"/>
    </w:p>
    <w:p w14:paraId="0162A154" w14:textId="0166E52A" w:rsidR="00280A83" w:rsidRPr="00280A83" w:rsidRDefault="00026952" w:rsidP="00280A83">
      <w:pPr>
        <w:rPr>
          <w:lang w:val="ar-SA" w:bidi="ar-EG"/>
        </w:rPr>
      </w:pPr>
      <w:r>
        <w:t>1.4</w:t>
      </w:r>
      <w:r w:rsidR="00280A83" w:rsidRPr="00280A83">
        <w:rPr>
          <w:rtl/>
        </w:rPr>
        <w:tab/>
        <w:t xml:space="preserve">عرضت ممثلة الأمانة العامة الوثيقة C25/6 التي تقدم تقريراً عن عمل الاتحاد في مجال المساواة بين الجنسين وتعميمها </w:t>
      </w:r>
      <w:r w:rsidR="00280A83" w:rsidRPr="00280A83">
        <w:rPr>
          <w:lang w:bidi="ar-EG"/>
        </w:rPr>
        <w:t>(GEM</w:t>
      </w:r>
      <w:r>
        <w:t>)</w:t>
      </w:r>
      <w:r w:rsidR="00280A83" w:rsidRPr="00280A83">
        <w:rPr>
          <w:rtl/>
        </w:rPr>
        <w:t xml:space="preserve"> للفترة 2024-2025. ويفصل الجزء الأول من التقرير المبادرات المحددة الأهداف لمعالجة الفجوة الرقمية بين الجنسين، في حين يتناول الجزء الثاني الجهود المبذولة لتعزيز المساواة بين الجنسين داخل الاتحاد. ومن التطورات الرئيسية التي طُلب تنفيذها بموجب المقرر 631 للمجلس (</w:t>
      </w:r>
      <w:r w:rsidR="00EC34CA" w:rsidRPr="00280A83">
        <w:rPr>
          <w:rtl/>
        </w:rPr>
        <w:t xml:space="preserve">دورة المجلس لعام </w:t>
      </w:r>
      <w:r w:rsidR="00280A83" w:rsidRPr="00280A83">
        <w:rPr>
          <w:rtl/>
        </w:rPr>
        <w:t>2023) إنشاء مكتب المساواة بين الجنسين والشباب، والذي أصبح الآن يعمل بكامل طاقته. وأعربت هي وعدد من أعضاء المجلس عن امتنانهم لكندا لدعمها لمبادرة مناصري المساواة بين الجنسين في إطار الاحتفال بالذكرى السنوية 160 لتأسيس الاتحاد.</w:t>
      </w:r>
    </w:p>
    <w:p w14:paraId="3FD3C3D8" w14:textId="102B0A5F" w:rsidR="00280A83" w:rsidRPr="00366962" w:rsidRDefault="00026952" w:rsidP="00280A83">
      <w:pPr>
        <w:rPr>
          <w:spacing w:val="-2"/>
          <w:lang w:val="ar-SA" w:bidi="ar-EG"/>
        </w:rPr>
      </w:pPr>
      <w:r w:rsidRPr="00366962">
        <w:rPr>
          <w:spacing w:val="-2"/>
        </w:rPr>
        <w:t>2.4</w:t>
      </w:r>
      <w:r w:rsidR="00280A83" w:rsidRPr="00366962">
        <w:rPr>
          <w:spacing w:val="-2"/>
          <w:rtl/>
        </w:rPr>
        <w:tab/>
        <w:t xml:space="preserve">أعرب أعضاء المجلس عن دعمهم القوي لعمل الاتحاد بشأن المساواة بين الجنسين، ولا سيما إنشاء مكتب المساواة بين الجنسين والشباب، ومبادرة مناصري المساواة بين الجنسين في إطار الاحتفال بالذكرى السنوية 160 لتأسيس الاتحاد وشبكة المرأة </w:t>
      </w:r>
      <w:r w:rsidR="00280A83" w:rsidRPr="00366962">
        <w:rPr>
          <w:spacing w:val="-2"/>
          <w:lang w:bidi="ar-EG"/>
        </w:rPr>
        <w:t>(</w:t>
      </w:r>
      <w:proofErr w:type="spellStart"/>
      <w:r w:rsidR="00280A83" w:rsidRPr="00366962">
        <w:rPr>
          <w:spacing w:val="-2"/>
          <w:lang w:bidi="ar-EG"/>
        </w:rPr>
        <w:t>NoW</w:t>
      </w:r>
      <w:proofErr w:type="spellEnd"/>
      <w:r w:rsidRPr="00366962">
        <w:rPr>
          <w:spacing w:val="-2"/>
        </w:rPr>
        <w:t>)</w:t>
      </w:r>
      <w:r w:rsidR="00280A83" w:rsidRPr="00366962">
        <w:rPr>
          <w:spacing w:val="-2"/>
          <w:rtl/>
        </w:rPr>
        <w:t xml:space="preserve"> في كل قطاع. واقتُرح أن يساعد الاتحاد الدول الأعضاء في وضع برامج مراعية للمساواة بين الجنسين تدعم مشاركة المرأة في سياسات التحول الرقمي الوطنية. فالتكافؤ بين الجنسين ليس مجرد مسألة إنصاف، بل</w:t>
      </w:r>
      <w:r w:rsidR="00607032">
        <w:rPr>
          <w:rFonts w:hint="cs"/>
          <w:spacing w:val="-2"/>
          <w:rtl/>
        </w:rPr>
        <w:t> </w:t>
      </w:r>
      <w:r w:rsidR="00280A83" w:rsidRPr="00366962">
        <w:rPr>
          <w:spacing w:val="-2"/>
          <w:rtl/>
        </w:rPr>
        <w:t>إنه يعزز الإنتاجية، ويدفع عجلة الابتكار، ويقوي الاقتصادات الرقمية، ويطلق العنان للإمكانات الكاملة للمجتمعات.</w:t>
      </w:r>
    </w:p>
    <w:p w14:paraId="7B5ABD62" w14:textId="6254A090" w:rsidR="00DF37B5" w:rsidRDefault="00026952" w:rsidP="00280A83">
      <w:pPr>
        <w:rPr>
          <w:rtl/>
        </w:rPr>
      </w:pPr>
      <w:r>
        <w:t>3.4</w:t>
      </w:r>
      <w:r w:rsidR="00280A83" w:rsidRPr="00280A83">
        <w:rPr>
          <w:rtl/>
        </w:rPr>
        <w:tab/>
        <w:t>شدد بعض أعضاء المجلس على الحاجة إلى تعزيز التوازن الإقليمي والتوسع في بناء القدرات التقنية للمرأة في</w:t>
      </w:r>
      <w:r w:rsidR="00607032">
        <w:rPr>
          <w:rFonts w:hint="cs"/>
          <w:rtl/>
        </w:rPr>
        <w:t> </w:t>
      </w:r>
      <w:r w:rsidR="00280A83" w:rsidRPr="00280A83">
        <w:rPr>
          <w:rtl/>
        </w:rPr>
        <w:t>البلدان النامية. وفي هذا الصدد، دعا أحد أعضاء المجلس إلى التركيز بشكل خاص على تعزيز محو الأمية الرقمية للمرأة في المناطق الريفية والزراعية، في حين طلب عضو آخر أن تقدم التقارير المقبلة بيانات مصنفة حسب المناطق، ودعا عضو ثالث إلى مواصلة الجهود لتحسين جمع البيانات المتعلقة بالنفاذ والمهارات الرقمية.</w:t>
      </w:r>
    </w:p>
    <w:p w14:paraId="69D0B608" w14:textId="235D2A1D" w:rsidR="00DF37B5" w:rsidRDefault="00026952" w:rsidP="00280A83">
      <w:pPr>
        <w:rPr>
          <w:rtl/>
        </w:rPr>
      </w:pPr>
      <w:r>
        <w:t>4.4</w:t>
      </w:r>
      <w:r w:rsidR="00280A83" w:rsidRPr="00280A83">
        <w:rPr>
          <w:rtl/>
        </w:rPr>
        <w:tab/>
        <w:t>ولوحظ أنه على الرغم من الإجراءات التي اتخذها الاتحاد لتشجيع مشاركة الفتيات في مجال تكنولوجيا المعلومات والاتصالات، فإن نسبة مشاركة الإناث في اجتماعات الاتحاد ظلت مستقرة عند 32 في المائة، ولا تزال أقل في</w:t>
      </w:r>
      <w:r w:rsidR="00607032">
        <w:rPr>
          <w:rFonts w:hint="cs"/>
          <w:rtl/>
        </w:rPr>
        <w:t> </w:t>
      </w:r>
      <w:r w:rsidR="00280A83" w:rsidRPr="00280A83">
        <w:rPr>
          <w:rtl/>
        </w:rPr>
        <w:t xml:space="preserve">قطاعي الاتصالات الراديوية وتقييس الاتصالات، كما لا تزال النساء ممثلات تمثيلاً ناقصاً في المناصب القيادية في الاتحاد بينما يمثلن نسبة مرتفعة في فئة الخدمات العامة. فزيادة مشاركة الإناث أمر حاسم لإثراء المناقشات، وضمان تنوع وجهات النظر، وتعزيز المساواة بين الجنسين عبر النظام الإيكولوجي لتكنولوجيا المعلومات والاتصالات. ومع ذلك، رحّب عدد من أعضاء المجلس بالتعاون بين القطاعات، وخاصةً من خلال كل شبكة </w:t>
      </w:r>
      <w:proofErr w:type="spellStart"/>
      <w:r w:rsidR="00280A83" w:rsidRPr="00280A83">
        <w:rPr>
          <w:lang w:bidi="ar-EG"/>
        </w:rPr>
        <w:t>NoW</w:t>
      </w:r>
      <w:proofErr w:type="spellEnd"/>
      <w:r w:rsidR="00280A83" w:rsidRPr="00280A83">
        <w:rPr>
          <w:rtl/>
        </w:rPr>
        <w:t>، التي توفر منصة ممتازة يقودها الأعضاء للإرشاد الشخصي والمهني. وشجعت الأمانة على تكثيف التعاون مع الكيانات الأخرى في منظومة الأمم المتحدة لمواءمة وتعزيز استراتيجيات المساواة بين الجنسين وتعميمها وتعزيز مشاركة النساء والفتيات وتمكينهن في الاتحاد.</w:t>
      </w:r>
    </w:p>
    <w:p w14:paraId="7C3FBC6C" w14:textId="4B6D2B10" w:rsidR="00DF37B5" w:rsidRDefault="00E75208" w:rsidP="00280A83">
      <w:pPr>
        <w:rPr>
          <w:rtl/>
        </w:rPr>
      </w:pPr>
      <w:r>
        <w:t>5.4</w:t>
      </w:r>
      <w:r w:rsidR="00280A83" w:rsidRPr="00280A83">
        <w:rPr>
          <w:rtl/>
        </w:rPr>
        <w:tab/>
        <w:t>قالت ممثلة الأمانة العامة، رداً على التعليقات، إن هناك بعض التحسن في تحقيق المساواة بين الجنسين في</w:t>
      </w:r>
      <w:r w:rsidR="00607032">
        <w:rPr>
          <w:rFonts w:hint="cs"/>
          <w:rtl/>
        </w:rPr>
        <w:t> </w:t>
      </w:r>
      <w:r w:rsidR="00280A83" w:rsidRPr="00280A83">
        <w:rPr>
          <w:rtl/>
        </w:rPr>
        <w:t>المناصب القيادية</w:t>
      </w:r>
      <w:r w:rsidR="000C1483">
        <w:rPr>
          <w:rFonts w:hint="cs"/>
          <w:rtl/>
        </w:rPr>
        <w:t xml:space="preserve"> في الاتحاد</w:t>
      </w:r>
      <w:r w:rsidR="00280A83" w:rsidRPr="00280A83">
        <w:rPr>
          <w:rtl/>
        </w:rPr>
        <w:t>، ففي الوقت الحالي، يزيد عدد النساء عن عدد الرجال في الوظائف برتبة D.2. وأشارت إلى الحاجة إلى</w:t>
      </w:r>
      <w:r w:rsidR="00EC34CA">
        <w:rPr>
          <w:rFonts w:hint="cs"/>
          <w:rtl/>
        </w:rPr>
        <w:t> </w:t>
      </w:r>
      <w:r w:rsidR="00280A83" w:rsidRPr="00280A83">
        <w:rPr>
          <w:rtl/>
        </w:rPr>
        <w:t>تحسين مشاركة المرأة في الأحداث وقالت إن مكتب تنمية الاتصالات يعكف على إعداد برنامج توجيه للمندوبات من أجل تعزيز المشاركة في المؤتمر العالمي لتنمية الاتصالات لعام 2025. وتُبذل جهود أيضاً لضمان مشاركة أكبر للنساء في مؤتمر المندوبين المفوضين لعام 2026 وتحديد آلية رعاية لدعم مشاركة النساء في الأحداث. ورداً على طلب معلومات بشأن تنفيذ الفقرة 1 من "</w:t>
      </w:r>
      <w:r w:rsidR="00280A83" w:rsidRPr="00E75208">
        <w:rPr>
          <w:i/>
          <w:iCs/>
          <w:rtl/>
        </w:rPr>
        <w:t>يوصي</w:t>
      </w:r>
      <w:r w:rsidR="00280A83" w:rsidRPr="00280A83">
        <w:rPr>
          <w:rtl/>
        </w:rPr>
        <w:t>" من المقرر 631 (دورة المجلس لعام 2023)، قالت إن الأمانة تناقش مع هيئة الأمم المتحدة المعنية بالمساواة بين الجنسين وتمكين المرأة (UN Women) أفضل السبل لمعالجة العنف القائم على نوع الجنس عبر الإنترنت؛ وأعربت عن أملها في تنفيذ أنشطة مشتركة بهذا الشأن قبل نهاية العام.</w:t>
      </w:r>
    </w:p>
    <w:p w14:paraId="71BBE9D6" w14:textId="54AAC5C9" w:rsidR="00280A83" w:rsidRPr="00280A83" w:rsidRDefault="00E75208" w:rsidP="00280A83">
      <w:pPr>
        <w:rPr>
          <w:lang w:val="ar-SA" w:bidi="ar-EG"/>
        </w:rPr>
      </w:pPr>
      <w:r>
        <w:t>6.4</w:t>
      </w:r>
      <w:r w:rsidR="00280A83" w:rsidRPr="00280A83">
        <w:rPr>
          <w:rtl/>
        </w:rPr>
        <w:tab/>
      </w:r>
      <w:r w:rsidR="00280A83" w:rsidRPr="000C1483">
        <w:rPr>
          <w:b/>
          <w:bCs/>
          <w:rtl/>
        </w:rPr>
        <w:t>وأحاط</w:t>
      </w:r>
      <w:r w:rsidR="00280A83" w:rsidRPr="00280A83">
        <w:rPr>
          <w:rtl/>
        </w:rPr>
        <w:t xml:space="preserve"> المجلس </w:t>
      </w:r>
      <w:r w:rsidR="00280A83" w:rsidRPr="00280A83">
        <w:rPr>
          <w:b/>
          <w:bCs/>
          <w:rtl/>
        </w:rPr>
        <w:t xml:space="preserve">علماً </w:t>
      </w:r>
      <w:r w:rsidR="00280A83" w:rsidRPr="00280A83">
        <w:rPr>
          <w:rtl/>
        </w:rPr>
        <w:t xml:space="preserve">بالتقرير الوارد في الوثيقة </w:t>
      </w:r>
      <w:r w:rsidR="00280A83" w:rsidRPr="00280A83">
        <w:t>C</w:t>
      </w:r>
      <w:r w:rsidR="00EC34CA">
        <w:t>25/6</w:t>
      </w:r>
      <w:r w:rsidR="00280A83" w:rsidRPr="00280A83">
        <w:rPr>
          <w:rtl/>
        </w:rPr>
        <w:t>.</w:t>
      </w:r>
    </w:p>
    <w:p w14:paraId="5106AB41" w14:textId="123658A3" w:rsidR="00280A83" w:rsidRPr="00280A83" w:rsidRDefault="00280A83" w:rsidP="00E75208">
      <w:pPr>
        <w:pStyle w:val="Heading1"/>
        <w:rPr>
          <w:lang w:val="ar-SA" w:bidi="ar-EG"/>
        </w:rPr>
      </w:pPr>
      <w:r w:rsidRPr="00280A83">
        <w:rPr>
          <w:rtl/>
        </w:rPr>
        <w:lastRenderedPageBreak/>
        <w:t>5</w:t>
      </w:r>
      <w:r w:rsidRPr="00280A83">
        <w:rPr>
          <w:rtl/>
        </w:rPr>
        <w:tab/>
      </w:r>
      <w:r w:rsidR="0060230C" w:rsidRPr="0060230C">
        <w:rPr>
          <w:rtl/>
        </w:rPr>
        <w:t>رسالة من إدارة الهند بشأن مؤتمر المندوبين المفوضين لعام 2030 (</w:t>
      </w:r>
      <w:r w:rsidR="0060230C" w:rsidRPr="0060230C">
        <w:t>PP-30</w:t>
      </w:r>
      <w:r w:rsidR="0060230C" w:rsidRPr="0060230C">
        <w:rPr>
          <w:rtl/>
        </w:rPr>
        <w:t xml:space="preserve">) </w:t>
      </w:r>
      <w:proofErr w:type="gramStart"/>
      <w:r w:rsidR="0060230C" w:rsidRPr="0060230C">
        <w:rPr>
          <w:rtl/>
        </w:rPr>
        <w:t xml:space="preserve">( </w:t>
      </w:r>
      <w:r w:rsidR="0060230C" w:rsidRPr="00284783">
        <w:rPr>
          <w:i/>
          <w:iCs/>
          <w:rtl/>
        </w:rPr>
        <w:t>تابع</w:t>
      </w:r>
      <w:proofErr w:type="gramEnd"/>
      <w:r w:rsidR="0060230C" w:rsidRPr="0060230C">
        <w:rPr>
          <w:rtl/>
        </w:rPr>
        <w:t>)</w:t>
      </w:r>
      <w:r w:rsidRPr="00280A83">
        <w:rPr>
          <w:rtl/>
        </w:rPr>
        <w:t xml:space="preserve"> (الوثيقتان </w:t>
      </w:r>
      <w:hyperlink r:id="rId29" w:history="1">
        <w:r w:rsidRPr="00E75208">
          <w:rPr>
            <w:rStyle w:val="Hyperlink"/>
            <w:noProof w:val="0"/>
            <w:rtl/>
            <w:lang w:val="en-US" w:eastAsia="zh-CN"/>
          </w:rPr>
          <w:t>C25/19</w:t>
        </w:r>
      </w:hyperlink>
      <w:r w:rsidRPr="00280A83">
        <w:rPr>
          <w:rtl/>
        </w:rPr>
        <w:t xml:space="preserve"> و</w:t>
      </w:r>
      <w:hyperlink r:id="rId30" w:history="1">
        <w:r w:rsidRPr="00E75208">
          <w:rPr>
            <w:rStyle w:val="Hyperlink"/>
            <w:noProof w:val="0"/>
            <w:rtl/>
            <w:lang w:val="en-US" w:eastAsia="zh-CN"/>
          </w:rPr>
          <w:t>C25/73</w:t>
        </w:r>
      </w:hyperlink>
      <w:r w:rsidRPr="00280A83">
        <w:rPr>
          <w:rtl/>
        </w:rPr>
        <w:t xml:space="preserve">) </w:t>
      </w:r>
      <w:hyperlink r:id="rId31" w:history="1"/>
      <w:hyperlink r:id="rId32" w:history="1"/>
    </w:p>
    <w:p w14:paraId="2A9F1CD1" w14:textId="77777777" w:rsidR="00DF37B5" w:rsidRDefault="00284783" w:rsidP="009453F1">
      <w:pPr>
        <w:keepNext/>
        <w:keepLines/>
        <w:rPr>
          <w:rtl/>
        </w:rPr>
      </w:pPr>
      <w:r>
        <w:t>1.5</w:t>
      </w:r>
      <w:r w:rsidR="00280A83" w:rsidRPr="00280A83">
        <w:rPr>
          <w:rtl/>
        </w:rPr>
        <w:tab/>
        <w:t>ذكّرت الرئيسة بأن عضو المجلس من الهند قدم الوثيقة C25/19 التي تبيّن إعراب إدارته عن اهتمامها باستضافة مؤتمر المندوبين المفوضين لعام 2030 (PP-30).</w:t>
      </w:r>
    </w:p>
    <w:p w14:paraId="58B58874" w14:textId="77777777" w:rsidR="00DF37B5" w:rsidRDefault="00284783" w:rsidP="00280A83">
      <w:pPr>
        <w:rPr>
          <w:rtl/>
        </w:rPr>
      </w:pPr>
      <w:r>
        <w:t>2.5</w:t>
      </w:r>
      <w:r w:rsidR="00280A83" w:rsidRPr="00280A83">
        <w:rPr>
          <w:rtl/>
        </w:rPr>
        <w:tab/>
        <w:t>رحب أعضاء المجلس بالدعوة الكريمة الموجهة من حكومة الهند وأشادوا باستضافتها الناجحة للغاية للجمعية العالمية لتقييس الاتصالات لعام 2024. وأعرب عضوان في المجلس عن تأييدهما للموافقة على استضافة الهند لمؤتمر المندوبين المفوضين لعام 2030. غير أن عدداً من أعضاء المجلس الآخرين قالوا، في ضوء المناقشات التي جرت بشأن مكان انعقاد المؤتمر WRC-27 والأحداث المرتبطة به وقرار المجلس بوضع عملية رسمية وتعاونية وشفافة لتقديم عروض لاستضافة مؤتمرات الاتحاد المقبلة والاختيار من بين عروض متعددة، إنه ينبغي للمجلس أن ينتظر حتى اعتماد هذه العملية قبل قبول دعوة الهند. ومن شأن ذلك أيضاً أن يتيح فرصة للنظر في كيفية خفض التكاليف التي تتحملها البلدان المضيفة وابتكار أساليب مثل الاستضافة المشتركة أو الرعاية المشتركة.</w:t>
      </w:r>
    </w:p>
    <w:p w14:paraId="1A0FD59F" w14:textId="77777777" w:rsidR="00DF37B5" w:rsidRDefault="00284783" w:rsidP="00280A83">
      <w:pPr>
        <w:rPr>
          <w:rtl/>
        </w:rPr>
      </w:pPr>
      <w:r>
        <w:t>3.5</w:t>
      </w:r>
      <w:r w:rsidR="00280A83" w:rsidRPr="00280A83">
        <w:rPr>
          <w:rtl/>
        </w:rPr>
        <w:tab/>
        <w:t>اقترحت الرئيسة أن يشكر المجلس حكومة الهند على اقتراحها الكريم باستضافة مؤتمر المندوبين المفوضين لعام 2030 وأن يدعوها إلى تقديم مقترح رسمي بمجرد الانتهاء من عملية تقديم العروض واعتمادها.</w:t>
      </w:r>
    </w:p>
    <w:p w14:paraId="749E6322" w14:textId="77777777" w:rsidR="00DF37B5" w:rsidRDefault="00284783" w:rsidP="00280A83">
      <w:pPr>
        <w:rPr>
          <w:rtl/>
        </w:rPr>
      </w:pPr>
      <w:r>
        <w:t>4.5</w:t>
      </w:r>
      <w:r w:rsidR="00280A83" w:rsidRPr="00280A83">
        <w:rPr>
          <w:rtl/>
        </w:rPr>
        <w:tab/>
        <w:t>قال عضو المجلس من الهند إن الظروف المحيطة بالمؤتمر WRC-27 استثنائية وينبغي عدم الخلط بينها وبين دعوة الهند لاستضافة مؤتمر المندوبين المفوضين لعام 2030. ولدى الهند خبرة عميقة وثرية في استضافة أحداث الأمم المتحدة؛ وتمتلك البنية التحتية المناسبة وهي على استعداد تام لاستقبال ممثلي جميع الدول الأعضاء. ومع ذلك، يلزم اتخاذ قرار في الوقت المناسب لضمان الوقت الكافي للأعمال التحضيرية.</w:t>
      </w:r>
    </w:p>
    <w:p w14:paraId="793C746C" w14:textId="7D5FF732" w:rsidR="00DF37B5" w:rsidRDefault="00284783" w:rsidP="00280A83">
      <w:pPr>
        <w:rPr>
          <w:rtl/>
        </w:rPr>
      </w:pPr>
      <w:r>
        <w:t>5.5</w:t>
      </w:r>
      <w:r w:rsidR="00280A83" w:rsidRPr="00280A83">
        <w:rPr>
          <w:rtl/>
        </w:rPr>
        <w:tab/>
      </w:r>
      <w:r w:rsidR="007E0A19" w:rsidRPr="007E0A19">
        <w:rPr>
          <w:rFonts w:hint="cs"/>
          <w:b/>
          <w:bCs/>
          <w:rtl/>
        </w:rPr>
        <w:t>و</w:t>
      </w:r>
      <w:r w:rsidR="00280A83" w:rsidRPr="007E0A19">
        <w:rPr>
          <w:b/>
          <w:bCs/>
          <w:rtl/>
        </w:rPr>
        <w:t>أحاط</w:t>
      </w:r>
      <w:r w:rsidR="00280A83" w:rsidRPr="00280A83">
        <w:rPr>
          <w:rtl/>
        </w:rPr>
        <w:t xml:space="preserve"> المجلس </w:t>
      </w:r>
      <w:r w:rsidR="00280A83" w:rsidRPr="00280A83">
        <w:rPr>
          <w:b/>
          <w:bCs/>
          <w:rtl/>
        </w:rPr>
        <w:t xml:space="preserve">علماً </w:t>
      </w:r>
      <w:r w:rsidR="00280A83" w:rsidRPr="00280A83">
        <w:rPr>
          <w:rtl/>
        </w:rPr>
        <w:t>بالدعوة الموجهة من حكومة الهند لاستضافة مؤتمر المندوبين المفوضين لعام 2030، على النحو الوارد في الوثيقة C25/19.</w:t>
      </w:r>
    </w:p>
    <w:p w14:paraId="23E11A95" w14:textId="7B4DF853" w:rsidR="00280A83" w:rsidRPr="00280A83" w:rsidRDefault="00280A83" w:rsidP="00284783">
      <w:pPr>
        <w:pStyle w:val="Heading1"/>
        <w:rPr>
          <w:lang w:val="ar-SA" w:bidi="ar-EG"/>
        </w:rPr>
      </w:pPr>
      <w:r w:rsidRPr="00280A83">
        <w:rPr>
          <w:rtl/>
        </w:rPr>
        <w:t>6</w:t>
      </w:r>
      <w:r w:rsidRPr="00280A83">
        <w:rPr>
          <w:rtl/>
        </w:rPr>
        <w:tab/>
      </w:r>
      <w:r w:rsidR="0060230C" w:rsidRPr="0060230C">
        <w:rPr>
          <w:rtl/>
        </w:rPr>
        <w:t xml:space="preserve">المواعيد والمدة المقترحة لدورات المجلس للأعوام 2026 و2027 و2028 إلى جانب المواعيد المقترحة لمجموعات أفرقة العمل وأفرقة الخبراء التابعة للمجلس خلال الفترة نفسها </w:t>
      </w:r>
      <w:r w:rsidRPr="00280A83">
        <w:rPr>
          <w:rtl/>
        </w:rPr>
        <w:t xml:space="preserve">(الوثيقة </w:t>
      </w:r>
      <w:hyperlink r:id="rId33" w:history="1">
        <w:r w:rsidRPr="00284783">
          <w:rPr>
            <w:rStyle w:val="Hyperlink"/>
            <w:noProof w:val="0"/>
            <w:rtl/>
            <w:lang w:val="en-US" w:eastAsia="zh-CN"/>
          </w:rPr>
          <w:t>C25/2</w:t>
        </w:r>
      </w:hyperlink>
      <w:r w:rsidRPr="00280A83">
        <w:rPr>
          <w:rtl/>
          <w:lang w:bidi="ar-EG"/>
        </w:rPr>
        <w:t>)</w:t>
      </w:r>
      <w:hyperlink r:id="rId34" w:history="1"/>
    </w:p>
    <w:p w14:paraId="0DC58D9E" w14:textId="6277EF52" w:rsidR="00280A83" w:rsidRPr="00280A83" w:rsidRDefault="00284783" w:rsidP="00280A83">
      <w:pPr>
        <w:rPr>
          <w:lang w:val="ar-SA" w:bidi="ar-EG"/>
        </w:rPr>
      </w:pPr>
      <w:r>
        <w:t>1.6</w:t>
      </w:r>
      <w:r w:rsidR="00280A83" w:rsidRPr="00280A83">
        <w:rPr>
          <w:rtl/>
        </w:rPr>
        <w:tab/>
        <w:t>قدمت أمينة الجلسة العامة الوثيقة C25/2 التي تتضمن مشروع مقرر جديداً كي يوافق عليه المجلس بشأن مواعيد ومدد دورات المجلس للأعوام 2026 و2027 و2028 ومجموعات اجتماعات أفرقة العمل</w:t>
      </w:r>
      <w:r w:rsidR="007E0A19">
        <w:rPr>
          <w:rFonts w:hint="cs"/>
          <w:rtl/>
        </w:rPr>
        <w:t> </w:t>
      </w:r>
      <w:r w:rsidR="007E0A19">
        <w:t>(CWG)</w:t>
      </w:r>
      <w:r w:rsidR="00280A83" w:rsidRPr="00280A83">
        <w:rPr>
          <w:rtl/>
        </w:rPr>
        <w:t xml:space="preserve"> وأفرقة الخبراء</w:t>
      </w:r>
      <w:r w:rsidR="007E0A19">
        <w:rPr>
          <w:rFonts w:hint="cs"/>
          <w:rtl/>
        </w:rPr>
        <w:t> </w:t>
      </w:r>
      <w:r w:rsidR="007E0A19">
        <w:t>(EG)</w:t>
      </w:r>
      <w:r w:rsidR="007E0A19">
        <w:rPr>
          <w:rFonts w:hint="cs"/>
          <w:rtl/>
          <w:lang w:bidi="ar-EG"/>
        </w:rPr>
        <w:t xml:space="preserve"> </w:t>
      </w:r>
      <w:r w:rsidR="00280A83" w:rsidRPr="00280A83">
        <w:rPr>
          <w:rtl/>
        </w:rPr>
        <w:t>التابعة للمجلس خلال الفترة نفسها، وفقاً للقرار 77 (المراج</w:t>
      </w:r>
      <w:r w:rsidR="00BC6B0E">
        <w:rPr>
          <w:rFonts w:hint="cs"/>
          <w:rtl/>
        </w:rPr>
        <w:t>َ</w:t>
      </w:r>
      <w:r w:rsidR="00280A83" w:rsidRPr="00280A83">
        <w:rPr>
          <w:rtl/>
        </w:rPr>
        <w:t>ع في بوخارست، 2022) لمؤتمر المندوبين المفوضين. وأشارت إلى</w:t>
      </w:r>
      <w:r w:rsidR="00096B9A">
        <w:rPr>
          <w:rFonts w:hint="cs"/>
          <w:rtl/>
        </w:rPr>
        <w:t> </w:t>
      </w:r>
      <w:r w:rsidR="00280A83" w:rsidRPr="00280A83">
        <w:rPr>
          <w:rtl/>
        </w:rPr>
        <w:t xml:space="preserve">أنه من المخطط عقد اجتماعات دورة المجلس لعام 2028 في مركز </w:t>
      </w:r>
      <w:proofErr w:type="spellStart"/>
      <w:r w:rsidR="00280A83" w:rsidRPr="00280A83">
        <w:rPr>
          <w:rtl/>
        </w:rPr>
        <w:t>بالكسبو</w:t>
      </w:r>
      <w:proofErr w:type="spellEnd"/>
      <w:r w:rsidR="00280A83" w:rsidRPr="00280A83">
        <w:rPr>
          <w:rtl/>
        </w:rPr>
        <w:t>.</w:t>
      </w:r>
    </w:p>
    <w:p w14:paraId="6ED69573" w14:textId="79F76025" w:rsidR="00280A83" w:rsidRPr="00280A83" w:rsidRDefault="00284783" w:rsidP="00280A83">
      <w:pPr>
        <w:rPr>
          <w:lang w:val="ar-SA" w:bidi="ar-EG"/>
        </w:rPr>
      </w:pPr>
      <w:r>
        <w:t>2.6</w:t>
      </w:r>
      <w:r w:rsidR="00280A83" w:rsidRPr="00280A83">
        <w:rPr>
          <w:rtl/>
        </w:rPr>
        <w:tab/>
        <w:t>طلب أحد أعضاء المجلس عدم جدولة المجموعة الأولى من اجتماعات أفرقة العمل/أفرقة الخبراء التابعة للمجلس في يناير، باستثناء سنوات انعقاد مؤتمر المندوبين المفوضين، لأن السنة المالية تبدأ في يناير في العديد من البلدان، مما يجعل السفر لحضور الاجتماعات أمراً صعباً. وسألت أيضاً عما إذا كانت هناك أي مرونة لتغيير مواعيد دورة المجلس لعام 2026 (المجلس 2026) نظراً لتزامنها حالياً مع عدد من الأعياد الوطنية والدينية.</w:t>
      </w:r>
    </w:p>
    <w:p w14:paraId="24C4A45B" w14:textId="16E12BCA" w:rsidR="00DF37B5" w:rsidRDefault="00284783" w:rsidP="00280A83">
      <w:pPr>
        <w:rPr>
          <w:rtl/>
        </w:rPr>
      </w:pPr>
      <w:r>
        <w:t>3.6</w:t>
      </w:r>
      <w:r w:rsidR="00280A83" w:rsidRPr="00280A83">
        <w:rPr>
          <w:rtl/>
        </w:rPr>
        <w:tab/>
        <w:t>تعهدت أمينة الجلسة العامة باستعراض مواعيد انعقاد دورة المجلس لعام 2026 وتقديم تقرير عنها في</w:t>
      </w:r>
      <w:r w:rsidR="00B5151E">
        <w:rPr>
          <w:rFonts w:hint="cs"/>
          <w:rtl/>
        </w:rPr>
        <w:t> </w:t>
      </w:r>
      <w:r w:rsidR="00280A83" w:rsidRPr="00280A83">
        <w:rPr>
          <w:rtl/>
        </w:rPr>
        <w:t>الجلسة العامة التالية.</w:t>
      </w:r>
    </w:p>
    <w:p w14:paraId="0FD35647" w14:textId="1F4B3F35" w:rsidR="00280A83" w:rsidRPr="00280A83" w:rsidRDefault="00284783" w:rsidP="00280A83">
      <w:pPr>
        <w:rPr>
          <w:lang w:val="ar-SA" w:bidi="ar-EG"/>
        </w:rPr>
      </w:pPr>
      <w:r>
        <w:t>4.6</w:t>
      </w:r>
      <w:r w:rsidR="00280A83" w:rsidRPr="00280A83">
        <w:rPr>
          <w:rtl/>
        </w:rPr>
        <w:tab/>
        <w:t>واقترحت الرئيسة أن يُنظر في هذا البند مرة أخرى في الجلسة العامة التالية.</w:t>
      </w:r>
    </w:p>
    <w:p w14:paraId="39A1A0E2" w14:textId="0B81314B" w:rsidR="00280A83" w:rsidRPr="00280A83" w:rsidRDefault="00284783" w:rsidP="00280A83">
      <w:pPr>
        <w:rPr>
          <w:lang w:val="ar-SA" w:bidi="ar-EG"/>
        </w:rPr>
      </w:pPr>
      <w:r>
        <w:t>5.6</w:t>
      </w:r>
      <w:r w:rsidR="00280A83" w:rsidRPr="00280A83">
        <w:rPr>
          <w:rtl/>
        </w:rPr>
        <w:tab/>
      </w:r>
      <w:r w:rsidR="00280A83" w:rsidRPr="00280A83">
        <w:rPr>
          <w:b/>
          <w:bCs/>
          <w:rtl/>
        </w:rPr>
        <w:t>واتُّفق</w:t>
      </w:r>
      <w:r w:rsidR="00280A83" w:rsidRPr="00280A83">
        <w:rPr>
          <w:rtl/>
        </w:rPr>
        <w:t xml:space="preserve"> على ذلك.</w:t>
      </w:r>
    </w:p>
    <w:p w14:paraId="08A5D5B2" w14:textId="3416643E" w:rsidR="00280A83" w:rsidRPr="00280A83" w:rsidRDefault="00280A83" w:rsidP="00BC6B0E">
      <w:pPr>
        <w:pStyle w:val="Heading1"/>
        <w:rPr>
          <w:lang w:val="ar-SA" w:bidi="ar-EG"/>
        </w:rPr>
      </w:pPr>
      <w:r w:rsidRPr="00280A83">
        <w:rPr>
          <w:rtl/>
        </w:rPr>
        <w:lastRenderedPageBreak/>
        <w:t>7</w:t>
      </w:r>
      <w:r w:rsidRPr="00280A83">
        <w:rPr>
          <w:rtl/>
        </w:rPr>
        <w:tab/>
      </w:r>
      <w:r w:rsidR="0060230C" w:rsidRPr="0060230C">
        <w:rPr>
          <w:rtl/>
        </w:rPr>
        <w:t xml:space="preserve">الجدول الزمني لمؤتمرات الاتحاد وجمعياته واجتماعاته المقبلة: 2025-2028 </w:t>
      </w:r>
      <w:r w:rsidRPr="00280A83">
        <w:rPr>
          <w:rtl/>
        </w:rPr>
        <w:t>(الوثيقة</w:t>
      </w:r>
      <w:r w:rsidR="00BC6B0E">
        <w:rPr>
          <w:rFonts w:hint="eastAsia"/>
          <w:rtl/>
        </w:rPr>
        <w:t> </w:t>
      </w:r>
      <w:hyperlink r:id="rId35" w:history="1">
        <w:r w:rsidRPr="00BC6B0E">
          <w:rPr>
            <w:rStyle w:val="Hyperlink"/>
            <w:noProof w:val="0"/>
            <w:rtl/>
            <w:lang w:val="en-US" w:eastAsia="zh-CN"/>
          </w:rPr>
          <w:t>C25/37</w:t>
        </w:r>
      </w:hyperlink>
      <w:r w:rsidRPr="00280A83">
        <w:rPr>
          <w:rtl/>
        </w:rPr>
        <w:t>)</w:t>
      </w:r>
      <w:hyperlink r:id="rId36" w:history="1"/>
    </w:p>
    <w:p w14:paraId="5D03CE1A" w14:textId="658600B4" w:rsidR="00280A83" w:rsidRPr="00280A83" w:rsidRDefault="00BC6B0E" w:rsidP="009453F1">
      <w:pPr>
        <w:keepNext/>
        <w:keepLines/>
        <w:rPr>
          <w:lang w:bidi="en-GB"/>
        </w:rPr>
      </w:pPr>
      <w:r>
        <w:t>1.7</w:t>
      </w:r>
      <w:r w:rsidR="00280A83" w:rsidRPr="00280A83">
        <w:rPr>
          <w:rtl/>
        </w:rPr>
        <w:tab/>
        <w:t>قدم ممثل عن الأمانة العامة الوثيقة C25/37 التي تتضمن قائمة بمؤتمرات الاتحاد وجمعياته واجتماعاته المخططة لفترة السنوات الأربع 2025-2028، تماشياً مع الجدول الزمني لأنشطة القطاعات والأمانة العامة. وفي</w:t>
      </w:r>
      <w:r w:rsidR="00033117">
        <w:rPr>
          <w:rFonts w:hint="cs"/>
          <w:rtl/>
        </w:rPr>
        <w:t> </w:t>
      </w:r>
      <w:r w:rsidR="00280A83" w:rsidRPr="00280A83">
        <w:rPr>
          <w:rtl/>
        </w:rPr>
        <w:t>بعض</w:t>
      </w:r>
      <w:r w:rsidR="00033117">
        <w:rPr>
          <w:rFonts w:hint="cs"/>
          <w:rtl/>
        </w:rPr>
        <w:t> </w:t>
      </w:r>
      <w:r w:rsidR="00280A83" w:rsidRPr="00280A83">
        <w:rPr>
          <w:rtl/>
        </w:rPr>
        <w:t>الحالات، ظلت المواعيد والفترات المقترحة إرشادية وقد تخضع للتغيير، نظراً لطول الإطار الزمني ودورات لجان الدراسات التابعة للقطاعات.</w:t>
      </w:r>
    </w:p>
    <w:p w14:paraId="76069D60" w14:textId="659B3F35" w:rsidR="00280A83" w:rsidRPr="00280A83" w:rsidRDefault="00BC6B0E" w:rsidP="00280A83">
      <w:pPr>
        <w:rPr>
          <w:lang w:val="ar-SA" w:bidi="ar-EG"/>
        </w:rPr>
      </w:pPr>
      <w:r>
        <w:t>2.7</w:t>
      </w:r>
      <w:r w:rsidR="00280A83" w:rsidRPr="00280A83">
        <w:rPr>
          <w:rtl/>
        </w:rPr>
        <w:tab/>
      </w:r>
      <w:r w:rsidR="007E0A19" w:rsidRPr="007E0A19">
        <w:rPr>
          <w:rFonts w:hint="cs"/>
          <w:b/>
          <w:bCs/>
          <w:rtl/>
        </w:rPr>
        <w:t>و</w:t>
      </w:r>
      <w:r w:rsidR="00280A83" w:rsidRPr="007E0A19">
        <w:rPr>
          <w:b/>
          <w:bCs/>
          <w:rtl/>
        </w:rPr>
        <w:t>أحاط</w:t>
      </w:r>
      <w:r w:rsidR="00280A83" w:rsidRPr="00280A83">
        <w:rPr>
          <w:rtl/>
        </w:rPr>
        <w:t xml:space="preserve"> المجلس </w:t>
      </w:r>
      <w:r w:rsidR="00280A83" w:rsidRPr="00280A83">
        <w:rPr>
          <w:b/>
          <w:bCs/>
          <w:rtl/>
        </w:rPr>
        <w:t xml:space="preserve">علماً </w:t>
      </w:r>
      <w:r w:rsidR="00280A83" w:rsidRPr="00280A83">
        <w:rPr>
          <w:rtl/>
        </w:rPr>
        <w:t>بالجدول الزمني لمؤتمرات الاتحاد وجمعياته وأحداثه المقبلة، على النحو الوارد في</w:t>
      </w:r>
      <w:r w:rsidR="00E67BF3">
        <w:rPr>
          <w:rFonts w:hint="cs"/>
          <w:rtl/>
        </w:rPr>
        <w:t> </w:t>
      </w:r>
      <w:r w:rsidR="00280A83" w:rsidRPr="00280A83">
        <w:rPr>
          <w:rtl/>
        </w:rPr>
        <w:t>الوثيقة</w:t>
      </w:r>
      <w:r>
        <w:rPr>
          <w:rFonts w:hint="cs"/>
          <w:rtl/>
        </w:rPr>
        <w:t> </w:t>
      </w:r>
      <w:r w:rsidR="00280A83" w:rsidRPr="00280A83">
        <w:rPr>
          <w:rtl/>
        </w:rPr>
        <w:t>C25/37.</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0C18" w:rsidRPr="002A0750" w14:paraId="7E6B46B6" w14:textId="77777777" w:rsidTr="00A5087F">
        <w:trPr>
          <w:trHeight w:val="1554"/>
        </w:trPr>
        <w:tc>
          <w:tcPr>
            <w:tcW w:w="4530" w:type="dxa"/>
          </w:tcPr>
          <w:p w14:paraId="26B858B3" w14:textId="77777777" w:rsidR="007D0C18" w:rsidRPr="002A0750" w:rsidRDefault="007D0C18" w:rsidP="004F600A">
            <w:pPr>
              <w:tabs>
                <w:tab w:val="clear" w:pos="794"/>
              </w:tabs>
              <w:spacing w:before="600"/>
              <w:rPr>
                <w:rtl/>
              </w:rPr>
            </w:pPr>
            <w:r w:rsidRPr="002A0750">
              <w:rPr>
                <w:rtl/>
              </w:rPr>
              <w:t>الأمينة العامة:</w:t>
            </w:r>
          </w:p>
          <w:p w14:paraId="3B1F2D49" w14:textId="092F8A32" w:rsidR="007D0C18" w:rsidRPr="002A0750" w:rsidRDefault="007D0C18" w:rsidP="004F600A">
            <w:pPr>
              <w:rPr>
                <w:rtl/>
              </w:rPr>
            </w:pPr>
            <w:r w:rsidRPr="002A0750">
              <w:rPr>
                <w:rtl/>
              </w:rPr>
              <w:t xml:space="preserve">دورين </w:t>
            </w:r>
            <w:proofErr w:type="spellStart"/>
            <w:r w:rsidRPr="002A0750">
              <w:rPr>
                <w:rtl/>
              </w:rPr>
              <w:t>بوغدان</w:t>
            </w:r>
            <w:proofErr w:type="spellEnd"/>
            <w:r w:rsidRPr="002A0750">
              <w:rPr>
                <w:rtl/>
              </w:rPr>
              <w:t>-مارتن</w:t>
            </w:r>
          </w:p>
        </w:tc>
        <w:tc>
          <w:tcPr>
            <w:tcW w:w="4531" w:type="dxa"/>
          </w:tcPr>
          <w:p w14:paraId="70C7E0CF" w14:textId="77777777" w:rsidR="007D0C18" w:rsidRPr="002A0750" w:rsidRDefault="007D0C18" w:rsidP="004F600A">
            <w:pPr>
              <w:tabs>
                <w:tab w:val="clear" w:pos="794"/>
              </w:tabs>
              <w:spacing w:before="600"/>
              <w:rPr>
                <w:lang w:val="ar-SA" w:bidi="ar-EG"/>
              </w:rPr>
            </w:pPr>
            <w:r w:rsidRPr="002A0750">
              <w:rPr>
                <w:rtl/>
              </w:rPr>
              <w:t>الرئيسة:</w:t>
            </w:r>
          </w:p>
          <w:p w14:paraId="361929F4" w14:textId="3F085C43" w:rsidR="007D0C18" w:rsidRPr="002A0750" w:rsidRDefault="007D0C18" w:rsidP="004F600A">
            <w:pPr>
              <w:rPr>
                <w:lang w:val="ar-SA" w:bidi="ar-EG"/>
              </w:rPr>
            </w:pPr>
            <w:r w:rsidRPr="002A0750">
              <w:rPr>
                <w:rtl/>
              </w:rPr>
              <w:t xml:space="preserve">كريستيانا </w:t>
            </w:r>
            <w:proofErr w:type="spellStart"/>
            <w:r w:rsidRPr="002A0750">
              <w:rPr>
                <w:rtl/>
              </w:rPr>
              <w:t>فلوتور</w:t>
            </w:r>
            <w:proofErr w:type="spellEnd"/>
          </w:p>
        </w:tc>
      </w:tr>
    </w:tbl>
    <w:p w14:paraId="5D6C22E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7"/>
      <w:headerReference w:type="first" r:id="rId38"/>
      <w:footerReference w:type="first" r:id="rId39"/>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3989" w14:textId="77777777" w:rsidR="00296D33" w:rsidRDefault="00296D33" w:rsidP="006C3242">
      <w:pPr>
        <w:spacing w:before="0" w:line="240" w:lineRule="auto"/>
      </w:pPr>
      <w:r>
        <w:separator/>
      </w:r>
    </w:p>
  </w:endnote>
  <w:endnote w:type="continuationSeparator" w:id="0">
    <w:p w14:paraId="38C01037" w14:textId="77777777" w:rsidR="00296D33" w:rsidRDefault="00296D3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0D076FB" w14:textId="77777777" w:rsidTr="00A67F05">
      <w:trPr>
        <w:jc w:val="center"/>
      </w:trPr>
      <w:tc>
        <w:tcPr>
          <w:tcW w:w="868" w:type="pct"/>
          <w:vAlign w:val="center"/>
        </w:tcPr>
        <w:p w14:paraId="655392B2" w14:textId="650E2380" w:rsidR="00F50E3F" w:rsidRPr="007B0AA0" w:rsidRDefault="000D654F"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D654F">
            <w:rPr>
              <w:rFonts w:ascii="Calibri" w:hAnsi="Calibri" w:cs="Arial"/>
              <w:sz w:val="18"/>
              <w:szCs w:val="14"/>
            </w:rPr>
            <w:t>2501687</w:t>
          </w:r>
        </w:p>
      </w:tc>
      <w:tc>
        <w:tcPr>
          <w:tcW w:w="3912" w:type="pct"/>
        </w:tcPr>
        <w:p w14:paraId="522F9B97" w14:textId="46DD298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0D654F">
            <w:rPr>
              <w:rFonts w:ascii="Calibri" w:hAnsi="Calibri" w:cs="Arial"/>
              <w:bCs/>
              <w:color w:val="7F7F7F"/>
              <w:sz w:val="18"/>
            </w:rPr>
            <w:t>113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770E366"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871342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59777A7" w14:textId="77777777" w:rsidTr="00A67F05">
      <w:trPr>
        <w:jc w:val="center"/>
      </w:trPr>
      <w:tc>
        <w:tcPr>
          <w:tcW w:w="1013" w:type="pct"/>
          <w:vAlign w:val="center"/>
        </w:tcPr>
        <w:p w14:paraId="13FECF9C" w14:textId="77777777" w:rsidR="007B0AA0" w:rsidRPr="0096716C"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Pr="0096716C">
              <w:rPr>
                <w:rStyle w:val="Hyperlink"/>
                <w:sz w:val="18"/>
                <w:szCs w:val="18"/>
                <w:u w:val="none"/>
              </w:rPr>
              <w:t>council.itu.int/2025</w:t>
            </w:r>
          </w:hyperlink>
        </w:p>
      </w:tc>
      <w:tc>
        <w:tcPr>
          <w:tcW w:w="3768" w:type="pct"/>
        </w:tcPr>
        <w:p w14:paraId="316F57A2" w14:textId="218496B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0D654F">
            <w:rPr>
              <w:rFonts w:ascii="Calibri" w:hAnsi="Calibri" w:cs="Arial"/>
              <w:bCs/>
              <w:color w:val="7F7F7F"/>
              <w:sz w:val="18"/>
            </w:rPr>
            <w:t>113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781B20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ED63BF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BC93" w14:textId="77777777" w:rsidR="00296D33" w:rsidRDefault="00296D33" w:rsidP="006C3242">
      <w:pPr>
        <w:spacing w:before="0" w:line="240" w:lineRule="auto"/>
      </w:pPr>
      <w:r>
        <w:separator/>
      </w:r>
    </w:p>
  </w:footnote>
  <w:footnote w:type="continuationSeparator" w:id="0">
    <w:p w14:paraId="787BAAFE" w14:textId="77777777" w:rsidR="00296D33" w:rsidRDefault="00296D33" w:rsidP="006C3242">
      <w:pPr>
        <w:spacing w:before="0" w:line="240" w:lineRule="auto"/>
      </w:pPr>
      <w:r>
        <w:continuationSeparator/>
      </w:r>
    </w:p>
  </w:footnote>
  <w:footnote w:id="1">
    <w:p w14:paraId="2451C3BE" w14:textId="0FCEAFAD" w:rsidR="00280A83" w:rsidRPr="00FD0891" w:rsidRDefault="00280A83" w:rsidP="00FD0891">
      <w:pPr>
        <w:pStyle w:val="FootnoteText"/>
      </w:pPr>
      <w:r w:rsidRPr="00FD0891">
        <w:rPr>
          <w:rStyle w:val="FootnoteReference"/>
          <w:position w:val="0"/>
          <w:rtl/>
        </w:rPr>
        <w:footnoteRef/>
      </w:r>
      <w:r w:rsidR="00DF37B5">
        <w:rPr>
          <w:rtl/>
        </w:rPr>
        <w:tab/>
      </w:r>
      <w:r w:rsidRPr="00FD0891">
        <w:rPr>
          <w:rtl/>
        </w:rPr>
        <w:t xml:space="preserve">في إطار البند 10.3 من جدول الأعمال (انظر الفقرتين 1.7 و2.7 من هذا المحضر الموجز)، أخذ المجلس علماً بمواعيد انعقاد اجتماعات جمعية الاتصالات الراديوية لعام 2027، والمؤتمر العالمي للاتصالات الراديوية لعام 2027، والدورة الأولى للاجتماع التحضيري للمؤتمر (CPM31-1) في الفترة من 11 </w:t>
      </w:r>
      <w:r w:rsidR="00FD0891">
        <w:rPr>
          <w:rFonts w:hint="cs"/>
          <w:rtl/>
        </w:rPr>
        <w:t>أ</w:t>
      </w:r>
      <w:r w:rsidRPr="00FD0891">
        <w:rPr>
          <w:rtl/>
        </w:rPr>
        <w:t>كتوبر إلى 16 نوفمبر 2027 على النحو الوارد في الوثيقة C25/37. ونظراً لعدم وجود خلاف بشأن المواعيد المقترحة، اقتصر التصويت على مكان انعقاد الأحداث الثلاثة.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696"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E15DCE1" wp14:editId="57C7A25E">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F6E5B"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20ACC917" wp14:editId="1FAB4223">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3024040">
    <w:abstractNumId w:val="9"/>
  </w:num>
  <w:num w:numId="2" w16cid:durableId="872301416">
    <w:abstractNumId w:val="7"/>
  </w:num>
  <w:num w:numId="3" w16cid:durableId="999698121">
    <w:abstractNumId w:val="6"/>
  </w:num>
  <w:num w:numId="4" w16cid:durableId="2076780365">
    <w:abstractNumId w:val="5"/>
  </w:num>
  <w:num w:numId="5" w16cid:durableId="1445424431">
    <w:abstractNumId w:val="4"/>
  </w:num>
  <w:num w:numId="6" w16cid:durableId="1910536756">
    <w:abstractNumId w:val="8"/>
  </w:num>
  <w:num w:numId="7" w16cid:durableId="2003662059">
    <w:abstractNumId w:val="3"/>
  </w:num>
  <w:num w:numId="8" w16cid:durableId="324942086">
    <w:abstractNumId w:val="2"/>
  </w:num>
  <w:num w:numId="9" w16cid:durableId="1297639315">
    <w:abstractNumId w:val="1"/>
  </w:num>
  <w:num w:numId="10" w16cid:durableId="476723666">
    <w:abstractNumId w:val="0"/>
  </w:num>
  <w:num w:numId="11" w16cid:durableId="926573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8D"/>
    <w:rsid w:val="00004494"/>
    <w:rsid w:val="00026952"/>
    <w:rsid w:val="00033117"/>
    <w:rsid w:val="0003406E"/>
    <w:rsid w:val="00061BAB"/>
    <w:rsid w:val="0006468A"/>
    <w:rsid w:val="00077A58"/>
    <w:rsid w:val="00090574"/>
    <w:rsid w:val="00096B9A"/>
    <w:rsid w:val="000B06F1"/>
    <w:rsid w:val="000C1483"/>
    <w:rsid w:val="000C1C0E"/>
    <w:rsid w:val="000C548A"/>
    <w:rsid w:val="000D654F"/>
    <w:rsid w:val="000E17F5"/>
    <w:rsid w:val="00121F0E"/>
    <w:rsid w:val="00191059"/>
    <w:rsid w:val="001B6E2B"/>
    <w:rsid w:val="001C0169"/>
    <w:rsid w:val="001C0C21"/>
    <w:rsid w:val="001D1D50"/>
    <w:rsid w:val="001D64C7"/>
    <w:rsid w:val="001D6745"/>
    <w:rsid w:val="001E446E"/>
    <w:rsid w:val="001E46EF"/>
    <w:rsid w:val="002154EE"/>
    <w:rsid w:val="00224644"/>
    <w:rsid w:val="002276D2"/>
    <w:rsid w:val="0022778D"/>
    <w:rsid w:val="0023283D"/>
    <w:rsid w:val="00241FA1"/>
    <w:rsid w:val="00252D45"/>
    <w:rsid w:val="00254393"/>
    <w:rsid w:val="0026373E"/>
    <w:rsid w:val="00271C43"/>
    <w:rsid w:val="00280A83"/>
    <w:rsid w:val="00282591"/>
    <w:rsid w:val="00284783"/>
    <w:rsid w:val="00284FE0"/>
    <w:rsid w:val="00290728"/>
    <w:rsid w:val="00291C23"/>
    <w:rsid w:val="00296D33"/>
    <w:rsid w:val="002978F4"/>
    <w:rsid w:val="002A0750"/>
    <w:rsid w:val="002B028D"/>
    <w:rsid w:val="002B02EE"/>
    <w:rsid w:val="002C1B5F"/>
    <w:rsid w:val="002C3F32"/>
    <w:rsid w:val="002C66F8"/>
    <w:rsid w:val="002D0C9F"/>
    <w:rsid w:val="002E6541"/>
    <w:rsid w:val="00334924"/>
    <w:rsid w:val="003409BC"/>
    <w:rsid w:val="00357185"/>
    <w:rsid w:val="00366962"/>
    <w:rsid w:val="003746EF"/>
    <w:rsid w:val="00375A19"/>
    <w:rsid w:val="00383829"/>
    <w:rsid w:val="003D758C"/>
    <w:rsid w:val="003F4B29"/>
    <w:rsid w:val="00410B26"/>
    <w:rsid w:val="004116E6"/>
    <w:rsid w:val="00420F8A"/>
    <w:rsid w:val="0042686F"/>
    <w:rsid w:val="004317D8"/>
    <w:rsid w:val="0043260A"/>
    <w:rsid w:val="00434183"/>
    <w:rsid w:val="004437B4"/>
    <w:rsid w:val="00443869"/>
    <w:rsid w:val="00444D15"/>
    <w:rsid w:val="00447F32"/>
    <w:rsid w:val="00451674"/>
    <w:rsid w:val="00491BA9"/>
    <w:rsid w:val="00494119"/>
    <w:rsid w:val="004A4701"/>
    <w:rsid w:val="004A60BA"/>
    <w:rsid w:val="004B6B61"/>
    <w:rsid w:val="004B7334"/>
    <w:rsid w:val="004E11DC"/>
    <w:rsid w:val="004F5B21"/>
    <w:rsid w:val="005130DE"/>
    <w:rsid w:val="00513157"/>
    <w:rsid w:val="00525DDD"/>
    <w:rsid w:val="005409AC"/>
    <w:rsid w:val="005434E0"/>
    <w:rsid w:val="00552220"/>
    <w:rsid w:val="005546CF"/>
    <w:rsid w:val="0055516A"/>
    <w:rsid w:val="005579E4"/>
    <w:rsid w:val="00560FFF"/>
    <w:rsid w:val="005674C1"/>
    <w:rsid w:val="0058491B"/>
    <w:rsid w:val="00592EA5"/>
    <w:rsid w:val="0059604E"/>
    <w:rsid w:val="005A3170"/>
    <w:rsid w:val="005C7E78"/>
    <w:rsid w:val="005F1BEC"/>
    <w:rsid w:val="0060230C"/>
    <w:rsid w:val="00607032"/>
    <w:rsid w:val="0065444D"/>
    <w:rsid w:val="00657019"/>
    <w:rsid w:val="00660DEA"/>
    <w:rsid w:val="00677396"/>
    <w:rsid w:val="00683F16"/>
    <w:rsid w:val="0069200F"/>
    <w:rsid w:val="006A65CB"/>
    <w:rsid w:val="006B12E5"/>
    <w:rsid w:val="006B5CEF"/>
    <w:rsid w:val="006B5F53"/>
    <w:rsid w:val="006C3242"/>
    <w:rsid w:val="006C6136"/>
    <w:rsid w:val="006C7CC0"/>
    <w:rsid w:val="006D1826"/>
    <w:rsid w:val="006E26D7"/>
    <w:rsid w:val="006F363C"/>
    <w:rsid w:val="006F63F7"/>
    <w:rsid w:val="007025C7"/>
    <w:rsid w:val="00706D7A"/>
    <w:rsid w:val="00722F0D"/>
    <w:rsid w:val="00726A16"/>
    <w:rsid w:val="007345C5"/>
    <w:rsid w:val="00735081"/>
    <w:rsid w:val="00740D6A"/>
    <w:rsid w:val="0074420E"/>
    <w:rsid w:val="007648A6"/>
    <w:rsid w:val="0077110E"/>
    <w:rsid w:val="00783E26"/>
    <w:rsid w:val="007A6684"/>
    <w:rsid w:val="007B0AA0"/>
    <w:rsid w:val="007C3BC7"/>
    <w:rsid w:val="007C3BCD"/>
    <w:rsid w:val="007D0C18"/>
    <w:rsid w:val="007D4ACF"/>
    <w:rsid w:val="007E0A19"/>
    <w:rsid w:val="007F0787"/>
    <w:rsid w:val="00810B7B"/>
    <w:rsid w:val="0082358A"/>
    <w:rsid w:val="008235CD"/>
    <w:rsid w:val="008247DE"/>
    <w:rsid w:val="008339C0"/>
    <w:rsid w:val="00840B10"/>
    <w:rsid w:val="008513CB"/>
    <w:rsid w:val="0085760D"/>
    <w:rsid w:val="00874E9F"/>
    <w:rsid w:val="0087539D"/>
    <w:rsid w:val="00887020"/>
    <w:rsid w:val="008930FA"/>
    <w:rsid w:val="008A7F84"/>
    <w:rsid w:val="008C725E"/>
    <w:rsid w:val="008E2BFE"/>
    <w:rsid w:val="009067D1"/>
    <w:rsid w:val="00912B57"/>
    <w:rsid w:val="0091702E"/>
    <w:rsid w:val="00923B0C"/>
    <w:rsid w:val="00924F46"/>
    <w:rsid w:val="009316ED"/>
    <w:rsid w:val="00935AAC"/>
    <w:rsid w:val="0093725D"/>
    <w:rsid w:val="0094021C"/>
    <w:rsid w:val="009453F1"/>
    <w:rsid w:val="00952F86"/>
    <w:rsid w:val="00957C3E"/>
    <w:rsid w:val="0096716C"/>
    <w:rsid w:val="00982B28"/>
    <w:rsid w:val="00985846"/>
    <w:rsid w:val="0099259C"/>
    <w:rsid w:val="00994FA0"/>
    <w:rsid w:val="009D313F"/>
    <w:rsid w:val="00A117E4"/>
    <w:rsid w:val="00A24A72"/>
    <w:rsid w:val="00A47A5A"/>
    <w:rsid w:val="00A60A8C"/>
    <w:rsid w:val="00A63AE6"/>
    <w:rsid w:val="00A6683B"/>
    <w:rsid w:val="00A67F05"/>
    <w:rsid w:val="00A73676"/>
    <w:rsid w:val="00A73F7B"/>
    <w:rsid w:val="00A97F94"/>
    <w:rsid w:val="00AA71CE"/>
    <w:rsid w:val="00AA7EA2"/>
    <w:rsid w:val="00AB5A56"/>
    <w:rsid w:val="00AB6C45"/>
    <w:rsid w:val="00AE1AD4"/>
    <w:rsid w:val="00B03099"/>
    <w:rsid w:val="00B05BC8"/>
    <w:rsid w:val="00B074FE"/>
    <w:rsid w:val="00B17769"/>
    <w:rsid w:val="00B30F5E"/>
    <w:rsid w:val="00B35362"/>
    <w:rsid w:val="00B5151E"/>
    <w:rsid w:val="00B64B47"/>
    <w:rsid w:val="00B95654"/>
    <w:rsid w:val="00B97F32"/>
    <w:rsid w:val="00BA04B2"/>
    <w:rsid w:val="00BA2633"/>
    <w:rsid w:val="00BB54F2"/>
    <w:rsid w:val="00BB71C8"/>
    <w:rsid w:val="00BC6B0E"/>
    <w:rsid w:val="00C002DE"/>
    <w:rsid w:val="00C04B96"/>
    <w:rsid w:val="00C0602B"/>
    <w:rsid w:val="00C224DA"/>
    <w:rsid w:val="00C53BF8"/>
    <w:rsid w:val="00C55230"/>
    <w:rsid w:val="00C66157"/>
    <w:rsid w:val="00C674FE"/>
    <w:rsid w:val="00C67501"/>
    <w:rsid w:val="00C75425"/>
    <w:rsid w:val="00C75633"/>
    <w:rsid w:val="00C949A9"/>
    <w:rsid w:val="00CA43E7"/>
    <w:rsid w:val="00CA588E"/>
    <w:rsid w:val="00CE2EE1"/>
    <w:rsid w:val="00CE3349"/>
    <w:rsid w:val="00CE36E5"/>
    <w:rsid w:val="00CE4360"/>
    <w:rsid w:val="00CF27F5"/>
    <w:rsid w:val="00CF3FFD"/>
    <w:rsid w:val="00D009B6"/>
    <w:rsid w:val="00D010DA"/>
    <w:rsid w:val="00D10CCF"/>
    <w:rsid w:val="00D13941"/>
    <w:rsid w:val="00D21587"/>
    <w:rsid w:val="00D21BB5"/>
    <w:rsid w:val="00D23F5F"/>
    <w:rsid w:val="00D43F7D"/>
    <w:rsid w:val="00D63735"/>
    <w:rsid w:val="00D63ADF"/>
    <w:rsid w:val="00D75DE2"/>
    <w:rsid w:val="00D77D0F"/>
    <w:rsid w:val="00D92D59"/>
    <w:rsid w:val="00DA1CF0"/>
    <w:rsid w:val="00DC0D63"/>
    <w:rsid w:val="00DC1E02"/>
    <w:rsid w:val="00DC24B4"/>
    <w:rsid w:val="00DC5FB0"/>
    <w:rsid w:val="00DF0E99"/>
    <w:rsid w:val="00DF16DC"/>
    <w:rsid w:val="00DF37B5"/>
    <w:rsid w:val="00E12CAC"/>
    <w:rsid w:val="00E2607E"/>
    <w:rsid w:val="00E45211"/>
    <w:rsid w:val="00E473C5"/>
    <w:rsid w:val="00E515A0"/>
    <w:rsid w:val="00E61BE8"/>
    <w:rsid w:val="00E67BF3"/>
    <w:rsid w:val="00E75208"/>
    <w:rsid w:val="00E83FF1"/>
    <w:rsid w:val="00E92863"/>
    <w:rsid w:val="00E93242"/>
    <w:rsid w:val="00E979B2"/>
    <w:rsid w:val="00EA1224"/>
    <w:rsid w:val="00EA19DE"/>
    <w:rsid w:val="00EB796D"/>
    <w:rsid w:val="00EC34CA"/>
    <w:rsid w:val="00EF5816"/>
    <w:rsid w:val="00F058DC"/>
    <w:rsid w:val="00F24FC4"/>
    <w:rsid w:val="00F2676C"/>
    <w:rsid w:val="00F34F4D"/>
    <w:rsid w:val="00F363FE"/>
    <w:rsid w:val="00F50E3F"/>
    <w:rsid w:val="00F56B32"/>
    <w:rsid w:val="00F618CD"/>
    <w:rsid w:val="00F6687C"/>
    <w:rsid w:val="00F71FC2"/>
    <w:rsid w:val="00F84366"/>
    <w:rsid w:val="00F85089"/>
    <w:rsid w:val="00F93BFA"/>
    <w:rsid w:val="00F974C5"/>
    <w:rsid w:val="00FA3763"/>
    <w:rsid w:val="00FA4931"/>
    <w:rsid w:val="00FA6F46"/>
    <w:rsid w:val="00FC0E94"/>
    <w:rsid w:val="00FC4592"/>
    <w:rsid w:val="00FD0891"/>
    <w:rsid w:val="00FD527F"/>
    <w:rsid w:val="00FE5872"/>
    <w:rsid w:val="00FE7FCA"/>
    <w:rsid w:val="00FF00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E131C"/>
  <w15:chartTrackingRefBased/>
  <w15:docId w15:val="{5A5003A3-D7AB-47BC-9D27-7A405FE4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FD0891"/>
    <w:pPr>
      <w:spacing w:before="60" w:after="60" w:line="168" w:lineRule="auto"/>
      <w:ind w:left="340" w:hanging="340"/>
    </w:pPr>
    <w:rPr>
      <w:sz w:val="18"/>
      <w:szCs w:val="18"/>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FD0891"/>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E515A0"/>
    <w:rPr>
      <w:color w:val="954F72" w:themeColor="followedHyperlink"/>
      <w:u w:val="single"/>
    </w:rPr>
  </w:style>
  <w:style w:type="paragraph" w:styleId="Revision">
    <w:name w:val="Revision"/>
    <w:hidden/>
    <w:uiPriority w:val="99"/>
    <w:semiHidden/>
    <w:rsid w:val="003746EF"/>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9/en" TargetMode="External"/><Relationship Id="rId18" Type="http://schemas.openxmlformats.org/officeDocument/2006/relationships/hyperlink" Target="http://www.itu.int/md/S25-CL-C-0101/en" TargetMode="External"/><Relationship Id="rId26" Type="http://schemas.openxmlformats.org/officeDocument/2006/relationships/hyperlink" Target="https://www.itu.int/md/S25-CL-C-0032/en" TargetMode="External"/><Relationship Id="rId39" Type="http://schemas.openxmlformats.org/officeDocument/2006/relationships/footer" Target="footer2.xml"/><Relationship Id="rId21" Type="http://schemas.openxmlformats.org/officeDocument/2006/relationships/hyperlink" Target="https://www.itu.int/md/S25-CL-C-0081/en" TargetMode="External"/><Relationship Id="rId34" Type="http://schemas.openxmlformats.org/officeDocument/2006/relationships/hyperlink" Target="https://www.itu.int/md/S25-CL-C-0002/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L-C-0037/en" TargetMode="External"/><Relationship Id="rId20" Type="http://schemas.openxmlformats.org/officeDocument/2006/relationships/hyperlink" Target="https://www.itu.int/md/S25-CL-C-0018/en" TargetMode="External"/><Relationship Id="rId29" Type="http://schemas.openxmlformats.org/officeDocument/2006/relationships/hyperlink" Target="https://www.itu.int/md/S25-CL-C-0019/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32/en" TargetMode="External"/><Relationship Id="rId24" Type="http://schemas.openxmlformats.org/officeDocument/2006/relationships/hyperlink" Target="http://council.itu.int/2025/wp-content/uploads/sites/5/2025/07/Statement_Russia_260625-e.pdf" TargetMode="External"/><Relationship Id="rId32" Type="http://schemas.openxmlformats.org/officeDocument/2006/relationships/hyperlink" Target="https://www.itu.int/md/S25-CL-C-0073/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L-C-0002/en" TargetMode="External"/><Relationship Id="rId23" Type="http://schemas.openxmlformats.org/officeDocument/2006/relationships/hyperlink" Target="http://council.itu.int/2025/wp-content/uploads/sites/5/2025/07/Statement_France-and-co-countries_260625-e.pdf" TargetMode="External"/><Relationship Id="rId28" Type="http://schemas.openxmlformats.org/officeDocument/2006/relationships/hyperlink" Target="https://www.itu.int/md/S25-CL-C-0006/en" TargetMode="External"/><Relationship Id="rId36" Type="http://schemas.openxmlformats.org/officeDocument/2006/relationships/hyperlink" Target="https://www.itu.int/md/S25-CL-C-0037/en" TargetMode="External"/><Relationship Id="rId10" Type="http://schemas.openxmlformats.org/officeDocument/2006/relationships/hyperlink" Target="https://www.itu.int/md/S25-CL-C-0081/en" TargetMode="External"/><Relationship Id="rId19" Type="http://schemas.openxmlformats.org/officeDocument/2006/relationships/hyperlink" Target="http://council.itu.int/2025/wp-content/uploads/sites/5/2025/08/Statement_United-States-26062025.pdf" TargetMode="External"/><Relationship Id="rId31" Type="http://schemas.openxmlformats.org/officeDocument/2006/relationships/hyperlink" Target="https://www.itu.int/md/S25-CL-C-0019/en" TargetMode="External"/><Relationship Id="rId4" Type="http://schemas.openxmlformats.org/officeDocument/2006/relationships/settings" Target="settings.xml"/><Relationship Id="rId9" Type="http://schemas.openxmlformats.org/officeDocument/2006/relationships/hyperlink" Target="https://www.itu.int/md/S25-CL-C-0018/en" TargetMode="External"/><Relationship Id="rId14" Type="http://schemas.openxmlformats.org/officeDocument/2006/relationships/hyperlink" Target="https://www.itu.int/md/S25-CL-C-0073/en" TargetMode="External"/><Relationship Id="rId22" Type="http://schemas.openxmlformats.org/officeDocument/2006/relationships/hyperlink" Target="http://council.itu.int/2025/wp-content/uploads/sites/5/2025/07/Statement_France-and-co-countries_260625-e.pdf" TargetMode="External"/><Relationship Id="rId27" Type="http://schemas.openxmlformats.org/officeDocument/2006/relationships/hyperlink" Target="https://www.itu.int/md/S25-CL-C-0006/en" TargetMode="External"/><Relationship Id="rId30" Type="http://schemas.openxmlformats.org/officeDocument/2006/relationships/hyperlink" Target="https://www.itu.int/md/S25-CL-C-0073/en" TargetMode="External"/><Relationship Id="rId35" Type="http://schemas.openxmlformats.org/officeDocument/2006/relationships/hyperlink" Target="https://www.itu.int/md/S25-CL-C-0037/en" TargetMode="External"/><Relationship Id="rId8" Type="http://schemas.openxmlformats.org/officeDocument/2006/relationships/hyperlink" Target="http://www.itu.int/md/S25-CL-C-0101/en" TargetMode="External"/><Relationship Id="rId3" Type="http://schemas.openxmlformats.org/officeDocument/2006/relationships/styles" Target="styles.xml"/><Relationship Id="rId12" Type="http://schemas.openxmlformats.org/officeDocument/2006/relationships/hyperlink" Target="https://www.itu.int/md/S25-CL-C-0006/en" TargetMode="External"/><Relationship Id="rId17" Type="http://schemas.openxmlformats.org/officeDocument/2006/relationships/hyperlink" Target="http://www.itu.int/md/S25-CL-C-0058/en" TargetMode="External"/><Relationship Id="rId25" Type="http://schemas.openxmlformats.org/officeDocument/2006/relationships/hyperlink" Target="http://council.itu.int/2025/wp-content/uploads/sites/5/2025/07/Statement_Russia_260625-e.pdf" TargetMode="External"/><Relationship Id="rId33" Type="http://schemas.openxmlformats.org/officeDocument/2006/relationships/hyperlink" Target="https://www.itu.int/md/S25-CL-C-0002/en"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8</Pages>
  <Words>3302</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Council-25: Summary record of the seventh Plenary meeting</dc:title>
  <dc:subject>Council 2024</dc:subject>
  <dc:creator>GBS</dc:creator>
  <cp:keywords>C2025, C25, Council-25</cp:keywords>
  <dc:description/>
  <cp:lastModifiedBy>GBS</cp:lastModifiedBy>
  <cp:revision>2</cp:revision>
  <dcterms:created xsi:type="dcterms:W3CDTF">2025-08-29T10:33:00Z</dcterms:created>
  <dcterms:modified xsi:type="dcterms:W3CDTF">2025-08-29T10:33:00Z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