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tblpY="1"/>
        <w:tblOverlap w:val="never"/>
        <w:tblW w:w="9214" w:type="dxa"/>
        <w:tblLayout w:type="fixed"/>
        <w:tblLook w:val="0000" w:firstRow="0" w:lastRow="0" w:firstColumn="0" w:lastColumn="0" w:noHBand="0" w:noVBand="0"/>
      </w:tblPr>
      <w:tblGrid>
        <w:gridCol w:w="3969"/>
        <w:gridCol w:w="5245"/>
      </w:tblGrid>
      <w:tr w:rsidR="003C1802" w:rsidRPr="00411576" w14:paraId="775DC796" w14:textId="77777777" w:rsidTr="00DA770A">
        <w:trPr>
          <w:cantSplit/>
          <w:trHeight w:val="23"/>
        </w:trPr>
        <w:tc>
          <w:tcPr>
            <w:tcW w:w="3969" w:type="dxa"/>
            <w:vMerge w:val="restart"/>
            <w:tcMar>
              <w:left w:w="0" w:type="dxa"/>
            </w:tcMar>
          </w:tcPr>
          <w:p w14:paraId="202FBDFA" w14:textId="245A11DE" w:rsidR="003C1802" w:rsidRPr="00411576" w:rsidRDefault="003C1802" w:rsidP="003C1802">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p>
        </w:tc>
        <w:tc>
          <w:tcPr>
            <w:tcW w:w="5245" w:type="dxa"/>
          </w:tcPr>
          <w:p w14:paraId="6297DF48" w14:textId="3739DFE4" w:rsidR="003C1802" w:rsidRPr="00411576" w:rsidRDefault="003C1802" w:rsidP="003C1802">
            <w:pPr>
              <w:tabs>
                <w:tab w:val="left" w:pos="851"/>
              </w:tabs>
              <w:spacing w:before="0" w:line="240" w:lineRule="atLeast"/>
              <w:jc w:val="right"/>
              <w:rPr>
                <w:b/>
                <w:lang w:val="ru-RU"/>
              </w:rPr>
            </w:pPr>
            <w:r w:rsidRPr="00411576">
              <w:rPr>
                <w:b/>
                <w:bCs/>
                <w:color w:val="000000"/>
                <w:lang w:val="ru-RU"/>
              </w:rPr>
              <w:t>Документ C25/112-R</w:t>
            </w:r>
          </w:p>
        </w:tc>
      </w:tr>
      <w:tr w:rsidR="003C1802" w:rsidRPr="00411576" w14:paraId="0854DEA9" w14:textId="77777777" w:rsidTr="00DA770A">
        <w:trPr>
          <w:cantSplit/>
        </w:trPr>
        <w:tc>
          <w:tcPr>
            <w:tcW w:w="3969" w:type="dxa"/>
            <w:vMerge/>
          </w:tcPr>
          <w:p w14:paraId="63BEBE0D" w14:textId="77777777" w:rsidR="003C1802" w:rsidRPr="00411576" w:rsidRDefault="003C1802" w:rsidP="003C1802">
            <w:pPr>
              <w:tabs>
                <w:tab w:val="left" w:pos="851"/>
              </w:tabs>
              <w:spacing w:line="240" w:lineRule="atLeast"/>
              <w:rPr>
                <w:b/>
                <w:lang w:val="ru-RU"/>
              </w:rPr>
            </w:pPr>
            <w:bookmarkStart w:id="3" w:name="ddate" w:colFirst="1" w:colLast="1"/>
            <w:bookmarkEnd w:id="0"/>
            <w:bookmarkEnd w:id="1"/>
          </w:p>
        </w:tc>
        <w:tc>
          <w:tcPr>
            <w:tcW w:w="5245" w:type="dxa"/>
          </w:tcPr>
          <w:p w14:paraId="278DDC9B" w14:textId="081B8D57" w:rsidR="003C1802" w:rsidRPr="00411576" w:rsidRDefault="000C144D" w:rsidP="003C1802">
            <w:pPr>
              <w:tabs>
                <w:tab w:val="left" w:pos="851"/>
              </w:tabs>
              <w:spacing w:before="0"/>
              <w:jc w:val="right"/>
              <w:rPr>
                <w:b/>
                <w:lang w:val="ru-RU"/>
              </w:rPr>
            </w:pPr>
            <w:r w:rsidRPr="00411576">
              <w:rPr>
                <w:b/>
                <w:bCs/>
                <w:color w:val="000000"/>
                <w:lang w:val="ru-RU"/>
              </w:rPr>
              <w:t>9 сентября</w:t>
            </w:r>
            <w:r w:rsidR="003C1802" w:rsidRPr="00411576">
              <w:rPr>
                <w:b/>
                <w:bCs/>
                <w:color w:val="000000"/>
                <w:lang w:val="ru-RU"/>
              </w:rPr>
              <w:t xml:space="preserve"> 2025 года</w:t>
            </w:r>
          </w:p>
        </w:tc>
      </w:tr>
      <w:bookmarkEnd w:id="3"/>
      <w:tr w:rsidR="003C1802" w:rsidRPr="00411576" w14:paraId="0D05E1B6" w14:textId="77777777" w:rsidTr="00DA770A">
        <w:trPr>
          <w:cantSplit/>
          <w:trHeight w:val="23"/>
        </w:trPr>
        <w:tc>
          <w:tcPr>
            <w:tcW w:w="3969" w:type="dxa"/>
            <w:vMerge/>
          </w:tcPr>
          <w:p w14:paraId="3AEE9D49" w14:textId="77777777" w:rsidR="003C1802" w:rsidRPr="00411576" w:rsidRDefault="003C1802" w:rsidP="003C1802">
            <w:pPr>
              <w:tabs>
                <w:tab w:val="left" w:pos="851"/>
              </w:tabs>
              <w:spacing w:line="240" w:lineRule="atLeast"/>
              <w:rPr>
                <w:b/>
                <w:lang w:val="ru-RU"/>
              </w:rPr>
            </w:pPr>
          </w:p>
        </w:tc>
        <w:tc>
          <w:tcPr>
            <w:tcW w:w="5245" w:type="dxa"/>
          </w:tcPr>
          <w:p w14:paraId="6F14D395" w14:textId="2800B9E3" w:rsidR="003C1802" w:rsidRPr="00411576" w:rsidRDefault="003C1802" w:rsidP="003C1802">
            <w:pPr>
              <w:tabs>
                <w:tab w:val="left" w:pos="851"/>
              </w:tabs>
              <w:spacing w:before="0" w:line="240" w:lineRule="atLeast"/>
              <w:jc w:val="right"/>
              <w:rPr>
                <w:b/>
                <w:lang w:val="ru-RU"/>
              </w:rPr>
            </w:pPr>
            <w:r w:rsidRPr="00411576">
              <w:rPr>
                <w:b/>
                <w:bCs/>
                <w:color w:val="000000"/>
                <w:lang w:val="ru-RU"/>
              </w:rPr>
              <w:t>Оригинал: английский</w:t>
            </w:r>
          </w:p>
        </w:tc>
      </w:tr>
      <w:tr w:rsidR="00796BD3" w:rsidRPr="00411576" w14:paraId="6D07D0CD" w14:textId="77777777" w:rsidTr="00DA770A">
        <w:trPr>
          <w:cantSplit/>
          <w:trHeight w:val="23"/>
        </w:trPr>
        <w:tc>
          <w:tcPr>
            <w:tcW w:w="3969" w:type="dxa"/>
          </w:tcPr>
          <w:p w14:paraId="35B0A9DB" w14:textId="77777777" w:rsidR="00796BD3" w:rsidRPr="00411576" w:rsidRDefault="00796BD3" w:rsidP="00DA770A">
            <w:pPr>
              <w:tabs>
                <w:tab w:val="left" w:pos="851"/>
              </w:tabs>
              <w:spacing w:line="240" w:lineRule="atLeast"/>
              <w:rPr>
                <w:b/>
                <w:lang w:val="ru-RU"/>
              </w:rPr>
            </w:pPr>
            <w:bookmarkStart w:id="4" w:name="dorlang" w:colFirst="1" w:colLast="1"/>
          </w:p>
        </w:tc>
        <w:tc>
          <w:tcPr>
            <w:tcW w:w="5245" w:type="dxa"/>
          </w:tcPr>
          <w:p w14:paraId="55710CE0" w14:textId="77777777" w:rsidR="00796BD3" w:rsidRPr="00411576" w:rsidRDefault="00796BD3" w:rsidP="00DA770A">
            <w:pPr>
              <w:tabs>
                <w:tab w:val="left" w:pos="851"/>
              </w:tabs>
              <w:spacing w:before="0" w:line="240" w:lineRule="atLeast"/>
              <w:jc w:val="right"/>
              <w:rPr>
                <w:b/>
                <w:lang w:val="ru-RU"/>
              </w:rPr>
            </w:pPr>
          </w:p>
        </w:tc>
      </w:tr>
      <w:tr w:rsidR="00796BD3" w:rsidRPr="00E837D6" w14:paraId="07418437" w14:textId="77777777" w:rsidTr="00DA770A">
        <w:trPr>
          <w:cantSplit/>
        </w:trPr>
        <w:tc>
          <w:tcPr>
            <w:tcW w:w="9214" w:type="dxa"/>
            <w:gridSpan w:val="2"/>
            <w:tcMar>
              <w:left w:w="0" w:type="dxa"/>
            </w:tcMar>
          </w:tcPr>
          <w:p w14:paraId="22F15F09" w14:textId="77777777" w:rsidR="002749F2" w:rsidRPr="00411576" w:rsidRDefault="002749F2" w:rsidP="002749F2">
            <w:pPr>
              <w:pStyle w:val="Title1"/>
              <w:spacing w:before="480"/>
              <w:rPr>
                <w:lang w:val="ru-RU"/>
              </w:rPr>
            </w:pPr>
            <w:bookmarkStart w:id="5" w:name="dsource" w:colFirst="0" w:colLast="0"/>
            <w:bookmarkEnd w:id="4"/>
            <w:r w:rsidRPr="00411576">
              <w:rPr>
                <w:lang w:val="ru-RU"/>
              </w:rPr>
              <w:t>КРАТКИЙ ОТЧЕТ</w:t>
            </w:r>
          </w:p>
          <w:p w14:paraId="5FE24A19" w14:textId="0F17030D" w:rsidR="00796BD3" w:rsidRPr="00411576" w:rsidRDefault="002749F2" w:rsidP="002749F2">
            <w:pPr>
              <w:tabs>
                <w:tab w:val="clear" w:pos="794"/>
                <w:tab w:val="clear" w:pos="1191"/>
                <w:tab w:val="clear" w:pos="1588"/>
                <w:tab w:val="clear" w:pos="1985"/>
              </w:tabs>
              <w:overflowPunct/>
              <w:autoSpaceDE/>
              <w:autoSpaceDN/>
              <w:adjustRightInd/>
              <w:jc w:val="center"/>
              <w:textAlignment w:val="auto"/>
              <w:rPr>
                <w:b/>
                <w:bCs/>
                <w:color w:val="000000"/>
                <w:sz w:val="26"/>
                <w:szCs w:val="26"/>
                <w:lang w:val="ru-RU"/>
              </w:rPr>
            </w:pPr>
            <w:r w:rsidRPr="00411576">
              <w:rPr>
                <w:sz w:val="26"/>
                <w:szCs w:val="26"/>
                <w:lang w:val="ru-RU"/>
              </w:rPr>
              <w:t>О ШЕСТОМ ПЛЕНАРНОМ ЗАСЕДАНИИ</w:t>
            </w:r>
          </w:p>
        </w:tc>
      </w:tr>
      <w:tr w:rsidR="00796BD3" w:rsidRPr="00E837D6" w14:paraId="1C2D969E" w14:textId="77777777" w:rsidTr="00DA770A">
        <w:trPr>
          <w:cantSplit/>
        </w:trPr>
        <w:tc>
          <w:tcPr>
            <w:tcW w:w="9214" w:type="dxa"/>
            <w:gridSpan w:val="2"/>
            <w:tcMar>
              <w:left w:w="0" w:type="dxa"/>
            </w:tcMar>
          </w:tcPr>
          <w:p w14:paraId="08009F26" w14:textId="77777777" w:rsidR="003C1802" w:rsidRPr="00411576" w:rsidRDefault="003C1802" w:rsidP="00EF5DF1">
            <w:pPr>
              <w:tabs>
                <w:tab w:val="clear" w:pos="794"/>
                <w:tab w:val="clear" w:pos="1191"/>
                <w:tab w:val="clear" w:pos="1588"/>
                <w:tab w:val="clear" w:pos="1985"/>
              </w:tabs>
              <w:overflowPunct/>
              <w:autoSpaceDE/>
              <w:autoSpaceDN/>
              <w:adjustRightInd/>
              <w:spacing w:before="240"/>
              <w:jc w:val="center"/>
              <w:textAlignment w:val="auto"/>
              <w:rPr>
                <w:szCs w:val="22"/>
                <w:lang w:val="ru-RU"/>
              </w:rPr>
            </w:pPr>
            <w:bookmarkStart w:id="6" w:name="dtitle1" w:colFirst="0" w:colLast="0"/>
            <w:bookmarkEnd w:id="5"/>
            <w:r w:rsidRPr="00411576">
              <w:rPr>
                <w:color w:val="000000"/>
                <w:szCs w:val="22"/>
                <w:lang w:val="ru-RU"/>
              </w:rPr>
              <w:t>Среда, 25 июня 2025 года, 14 час. 30 мин. − 18 час. 00 мин.</w:t>
            </w:r>
          </w:p>
          <w:p w14:paraId="7779F15E" w14:textId="1AE62AD5" w:rsidR="00796BD3" w:rsidRPr="00411576" w:rsidRDefault="003C1802" w:rsidP="002749F2">
            <w:pPr>
              <w:pStyle w:val="Subtitle"/>
              <w:framePr w:hSpace="0" w:wrap="auto" w:hAnchor="text" w:xAlign="left" w:yAlign="inline"/>
              <w:spacing w:after="0"/>
              <w:jc w:val="center"/>
              <w:rPr>
                <w:sz w:val="22"/>
                <w:szCs w:val="22"/>
                <w:lang w:val="ru-RU"/>
              </w:rPr>
            </w:pPr>
            <w:r w:rsidRPr="00411576">
              <w:rPr>
                <w:b/>
                <w:color w:val="000000"/>
                <w:sz w:val="22"/>
                <w:szCs w:val="22"/>
                <w:lang w:val="ru-RU"/>
              </w:rPr>
              <w:t>Председатель</w:t>
            </w:r>
            <w:r w:rsidRPr="00411576">
              <w:rPr>
                <w:color w:val="000000"/>
                <w:sz w:val="22"/>
                <w:szCs w:val="22"/>
                <w:lang w:val="ru-RU"/>
              </w:rPr>
              <w:t xml:space="preserve">: г-жа К. </w:t>
            </w:r>
            <w:proofErr w:type="spellStart"/>
            <w:r w:rsidRPr="00411576">
              <w:rPr>
                <w:color w:val="000000"/>
                <w:sz w:val="22"/>
                <w:szCs w:val="22"/>
                <w:lang w:val="ru-RU"/>
              </w:rPr>
              <w:t>Флутур</w:t>
            </w:r>
            <w:proofErr w:type="spellEnd"/>
            <w:r w:rsidRPr="00411576">
              <w:rPr>
                <w:color w:val="000000"/>
                <w:sz w:val="22"/>
                <w:szCs w:val="22"/>
                <w:lang w:val="ru-RU"/>
              </w:rPr>
              <w:t xml:space="preserve"> (Румыния)</w:t>
            </w:r>
          </w:p>
        </w:tc>
      </w:tr>
      <w:bookmarkEnd w:id="2"/>
      <w:bookmarkEnd w:id="6"/>
    </w:tbl>
    <w:p w14:paraId="6EB9976D" w14:textId="77777777" w:rsidR="00796BD3" w:rsidRPr="00411576" w:rsidRDefault="00796BD3" w:rsidP="00796BD3">
      <w:pPr>
        <w:rPr>
          <w:szCs w:val="22"/>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379"/>
        <w:gridCol w:w="2115"/>
      </w:tblGrid>
      <w:tr w:rsidR="003C1802" w:rsidRPr="00411576" w14:paraId="0D9258DE" w14:textId="77777777" w:rsidTr="003C1802">
        <w:tc>
          <w:tcPr>
            <w:tcW w:w="567" w:type="dxa"/>
          </w:tcPr>
          <w:p w14:paraId="43EAF340" w14:textId="7C559AAA" w:rsidR="003C1802" w:rsidRPr="00411576" w:rsidRDefault="003C1802" w:rsidP="003C1802">
            <w:pPr>
              <w:jc w:val="center"/>
              <w:rPr>
                <w:lang w:val="ru-RU"/>
              </w:rPr>
            </w:pPr>
            <w:r w:rsidRPr="00411576">
              <w:rPr>
                <w:color w:val="000000"/>
                <w:lang w:val="ru-RU"/>
              </w:rPr>
              <w:br w:type="page"/>
            </w:r>
            <w:r w:rsidRPr="00411576">
              <w:rPr>
                <w:color w:val="000000"/>
                <w:lang w:val="ru-RU"/>
              </w:rPr>
              <w:br w:type="page"/>
            </w:r>
          </w:p>
        </w:tc>
        <w:tc>
          <w:tcPr>
            <w:tcW w:w="6379" w:type="dxa"/>
          </w:tcPr>
          <w:p w14:paraId="2782C7E7" w14:textId="7B1B7074" w:rsidR="003C1802" w:rsidRPr="00411576" w:rsidRDefault="003C1802" w:rsidP="002749F2">
            <w:pPr>
              <w:jc w:val="center"/>
              <w:rPr>
                <w:lang w:val="ru-RU"/>
              </w:rPr>
            </w:pPr>
            <w:r w:rsidRPr="00411576">
              <w:rPr>
                <w:b/>
                <w:bCs/>
                <w:color w:val="000000"/>
                <w:lang w:val="ru-RU"/>
              </w:rPr>
              <w:t>Обсуждаемые вопросы</w:t>
            </w:r>
          </w:p>
        </w:tc>
        <w:tc>
          <w:tcPr>
            <w:tcW w:w="2115" w:type="dxa"/>
          </w:tcPr>
          <w:p w14:paraId="5F3BA0BD" w14:textId="66B6065A" w:rsidR="003C1802" w:rsidRPr="00411576" w:rsidRDefault="003C1802" w:rsidP="002749F2">
            <w:pPr>
              <w:jc w:val="center"/>
              <w:rPr>
                <w:lang w:val="ru-RU"/>
              </w:rPr>
            </w:pPr>
            <w:r w:rsidRPr="00411576">
              <w:rPr>
                <w:b/>
                <w:bCs/>
                <w:color w:val="000000"/>
                <w:lang w:val="ru-RU"/>
              </w:rPr>
              <w:t>Документы</w:t>
            </w:r>
          </w:p>
        </w:tc>
      </w:tr>
      <w:tr w:rsidR="003C1802" w:rsidRPr="00411576" w14:paraId="27371315" w14:textId="77777777" w:rsidTr="003C1802">
        <w:tc>
          <w:tcPr>
            <w:tcW w:w="567" w:type="dxa"/>
          </w:tcPr>
          <w:p w14:paraId="4267E6D5" w14:textId="701EA068" w:rsidR="003C1802" w:rsidRPr="00411576" w:rsidRDefault="003C1802" w:rsidP="003C1802">
            <w:pPr>
              <w:jc w:val="center"/>
              <w:rPr>
                <w:lang w:val="ru-RU"/>
              </w:rPr>
            </w:pPr>
            <w:r w:rsidRPr="00411576">
              <w:rPr>
                <w:color w:val="000000"/>
                <w:lang w:val="ru-RU"/>
              </w:rPr>
              <w:t>1</w:t>
            </w:r>
          </w:p>
        </w:tc>
        <w:tc>
          <w:tcPr>
            <w:tcW w:w="6379" w:type="dxa"/>
          </w:tcPr>
          <w:p w14:paraId="270F5D56" w14:textId="61FC9D55" w:rsidR="003C1802" w:rsidRPr="00411576" w:rsidRDefault="003C1802" w:rsidP="003C1802">
            <w:pPr>
              <w:rPr>
                <w:lang w:val="ru-RU"/>
              </w:rPr>
            </w:pPr>
            <w:r w:rsidRPr="00411576">
              <w:rPr>
                <w:color w:val="000000"/>
                <w:lang w:val="ru-RU"/>
              </w:rPr>
              <w:t>Деятельность МСЭ в области интернета: Резолюции 101, 102, 133, 180 и 206 Полномочной конференции (</w:t>
            </w:r>
            <w:r w:rsidRPr="00411576">
              <w:rPr>
                <w:i/>
                <w:color w:val="000000"/>
                <w:lang w:val="ru-RU"/>
              </w:rPr>
              <w:t>продолжение</w:t>
            </w:r>
            <w:r w:rsidRPr="00411576">
              <w:rPr>
                <w:color w:val="000000"/>
                <w:lang w:val="ru-RU"/>
              </w:rPr>
              <w:t>)</w:t>
            </w:r>
          </w:p>
        </w:tc>
        <w:bookmarkStart w:id="7" w:name="_Hlk201829834"/>
        <w:tc>
          <w:tcPr>
            <w:tcW w:w="2115" w:type="dxa"/>
          </w:tcPr>
          <w:p w14:paraId="137C6B8F" w14:textId="332CA0EB" w:rsidR="003C1802" w:rsidRPr="00411576" w:rsidRDefault="003C1802" w:rsidP="002749F2">
            <w:pPr>
              <w:jc w:val="center"/>
              <w:rPr>
                <w:lang w:val="ru-RU"/>
              </w:rPr>
            </w:pPr>
            <w:r w:rsidRPr="00411576">
              <w:rPr>
                <w:rFonts w:eastAsia="Times New Roman"/>
              </w:rPr>
              <w:fldChar w:fldCharType="begin"/>
            </w:r>
            <w:r w:rsidRPr="00411576">
              <w:rPr>
                <w:lang w:val="ru-RU"/>
              </w:rPr>
              <w:instrText xml:space="preserve"> HYPERLINK "http://www.itu.int/md/S25-CL-C-0033/en" </w:instrText>
            </w:r>
            <w:r w:rsidRPr="00411576">
              <w:rPr>
                <w:rFonts w:eastAsia="Times New Roman"/>
              </w:rPr>
              <w:fldChar w:fldCharType="separate"/>
            </w:r>
            <w:r w:rsidRPr="00411576">
              <w:rPr>
                <w:rStyle w:val="Hyperlink"/>
                <w:rFonts w:asciiTheme="minorHAnsi" w:eastAsiaTheme="majorEastAsia" w:hAnsiTheme="minorHAnsi"/>
                <w:lang w:val="ru-RU"/>
              </w:rPr>
              <w:t>C25/33</w:t>
            </w:r>
            <w:r w:rsidRPr="00411576">
              <w:rPr>
                <w:rStyle w:val="Hyperlink"/>
                <w:rFonts w:asciiTheme="minorHAnsi" w:eastAsiaTheme="majorEastAsia" w:hAnsiTheme="minorHAnsi"/>
                <w:lang w:val="ru-RU"/>
              </w:rPr>
              <w:fldChar w:fldCharType="end"/>
            </w:r>
            <w:r w:rsidRPr="00411576">
              <w:rPr>
                <w:rFonts w:asciiTheme="minorHAnsi" w:hAnsiTheme="minorHAnsi"/>
                <w:lang w:val="ru-RU"/>
              </w:rPr>
              <w:t xml:space="preserve">, </w:t>
            </w:r>
            <w:hyperlink r:id="rId7" w:history="1">
              <w:r w:rsidRPr="00411576">
                <w:rPr>
                  <w:rStyle w:val="Hyperlink"/>
                  <w:rFonts w:asciiTheme="minorHAnsi" w:hAnsiTheme="minorHAnsi"/>
                  <w:lang w:val="ru-RU"/>
                </w:rPr>
                <w:t>C25/DT/4</w:t>
              </w:r>
            </w:hyperlink>
            <w:bookmarkEnd w:id="7"/>
          </w:p>
        </w:tc>
      </w:tr>
      <w:tr w:rsidR="003C1802" w:rsidRPr="00411576" w14:paraId="361BA980" w14:textId="77777777" w:rsidTr="003C1802">
        <w:tc>
          <w:tcPr>
            <w:tcW w:w="567" w:type="dxa"/>
          </w:tcPr>
          <w:p w14:paraId="641AD91B" w14:textId="52262572" w:rsidR="003C1802" w:rsidRPr="00411576" w:rsidRDefault="003C1802" w:rsidP="003C1802">
            <w:pPr>
              <w:jc w:val="center"/>
              <w:rPr>
                <w:lang w:val="ru-RU"/>
              </w:rPr>
            </w:pPr>
            <w:r w:rsidRPr="00411576">
              <w:rPr>
                <w:color w:val="000000"/>
                <w:lang w:val="ru-RU"/>
              </w:rPr>
              <w:t>2</w:t>
            </w:r>
          </w:p>
        </w:tc>
        <w:tc>
          <w:tcPr>
            <w:tcW w:w="6379" w:type="dxa"/>
          </w:tcPr>
          <w:p w14:paraId="7507C6C8" w14:textId="1C776A98" w:rsidR="003C1802" w:rsidRPr="00411576" w:rsidRDefault="003C1802" w:rsidP="003C1802">
            <w:pPr>
              <w:rPr>
                <w:lang w:val="ru-RU"/>
              </w:rPr>
            </w:pPr>
            <w:r w:rsidRPr="00411576">
              <w:rPr>
                <w:color w:val="000000"/>
                <w:lang w:val="ru-RU"/>
              </w:rPr>
              <w:t>Отчет о предлагаемых местах проведения АР-27, ВКР-27 и ПСК31-1 (</w:t>
            </w:r>
            <w:r w:rsidRPr="00411576">
              <w:rPr>
                <w:i/>
                <w:iCs/>
                <w:color w:val="000000"/>
                <w:lang w:val="ru-RU"/>
              </w:rPr>
              <w:t>продолжение</w:t>
            </w:r>
            <w:r w:rsidRPr="00411576">
              <w:rPr>
                <w:color w:val="000000"/>
                <w:lang w:val="ru-RU"/>
              </w:rPr>
              <w:t>)</w:t>
            </w:r>
          </w:p>
        </w:tc>
        <w:tc>
          <w:tcPr>
            <w:tcW w:w="2115" w:type="dxa"/>
          </w:tcPr>
          <w:p w14:paraId="4661EF07" w14:textId="2DEE7F70" w:rsidR="003C1802" w:rsidRPr="00411576" w:rsidRDefault="003C1802" w:rsidP="002749F2">
            <w:pPr>
              <w:jc w:val="center"/>
              <w:rPr>
                <w:lang w:val="ru-RU"/>
              </w:rPr>
            </w:pPr>
            <w:hyperlink r:id="rId8">
              <w:r w:rsidRPr="00411576">
                <w:rPr>
                  <w:rStyle w:val="Hyperlink"/>
                  <w:rFonts w:asciiTheme="minorHAnsi" w:eastAsiaTheme="majorEastAsia" w:hAnsiTheme="minorHAnsi"/>
                  <w:lang w:val="ru-RU"/>
                </w:rPr>
                <w:t>C25/58 + Add.1, 2</w:t>
              </w:r>
            </w:hyperlink>
            <w:r w:rsidRPr="00411576">
              <w:rPr>
                <w:rFonts w:asciiTheme="minorHAnsi" w:hAnsiTheme="minorHAnsi"/>
                <w:lang w:val="ru-RU"/>
              </w:rPr>
              <w:t xml:space="preserve">, </w:t>
            </w:r>
            <w:hyperlink r:id="rId9" w:history="1">
              <w:r w:rsidRPr="00411576">
                <w:rPr>
                  <w:rStyle w:val="Hyperlink"/>
                  <w:rFonts w:asciiTheme="minorHAnsi" w:eastAsiaTheme="majorEastAsia" w:hAnsiTheme="minorHAnsi"/>
                  <w:lang w:val="ru-RU"/>
                </w:rPr>
                <w:t>C25/101</w:t>
              </w:r>
            </w:hyperlink>
          </w:p>
        </w:tc>
      </w:tr>
      <w:tr w:rsidR="003C1802" w:rsidRPr="00411576" w14:paraId="12706CC0" w14:textId="77777777" w:rsidTr="003C1802">
        <w:tc>
          <w:tcPr>
            <w:tcW w:w="567" w:type="dxa"/>
          </w:tcPr>
          <w:p w14:paraId="049ABB7C" w14:textId="591331D2" w:rsidR="003C1802" w:rsidRPr="00411576" w:rsidRDefault="003C1802" w:rsidP="003C1802">
            <w:pPr>
              <w:jc w:val="center"/>
              <w:rPr>
                <w:lang w:val="ru-RU"/>
              </w:rPr>
            </w:pPr>
            <w:r w:rsidRPr="00411576">
              <w:rPr>
                <w:color w:val="000000"/>
                <w:lang w:val="ru-RU"/>
              </w:rPr>
              <w:t>3</w:t>
            </w:r>
          </w:p>
        </w:tc>
        <w:tc>
          <w:tcPr>
            <w:tcW w:w="6379" w:type="dxa"/>
          </w:tcPr>
          <w:p w14:paraId="3F172491" w14:textId="506B20DA" w:rsidR="003C1802" w:rsidRPr="00411576" w:rsidRDefault="003C1802" w:rsidP="003C1802">
            <w:pPr>
              <w:rPr>
                <w:lang w:val="ru-RU"/>
              </w:rPr>
            </w:pPr>
            <w:r w:rsidRPr="00411576">
              <w:rPr>
                <w:color w:val="000000"/>
                <w:lang w:val="ru-RU"/>
              </w:rPr>
              <w:t>Деятельность МСЭ по выполнению Резолюции 1429 (C24) Совета об экологической устойчивости</w:t>
            </w:r>
          </w:p>
        </w:tc>
        <w:bookmarkStart w:id="8" w:name="_Hlk201829941"/>
        <w:tc>
          <w:tcPr>
            <w:tcW w:w="2115" w:type="dxa"/>
          </w:tcPr>
          <w:p w14:paraId="75E2A211" w14:textId="38D823B0" w:rsidR="003C1802" w:rsidRPr="00411576" w:rsidRDefault="003C1802" w:rsidP="002749F2">
            <w:pPr>
              <w:jc w:val="center"/>
              <w:rPr>
                <w:lang w:val="ru-RU"/>
              </w:rPr>
            </w:pPr>
            <w:r w:rsidRPr="00411576">
              <w:rPr>
                <w:rFonts w:asciiTheme="minorHAnsi" w:hAnsiTheme="minorHAnsi"/>
                <w:lang w:val="ru-RU"/>
              </w:rPr>
              <w:fldChar w:fldCharType="begin"/>
            </w:r>
            <w:r w:rsidRPr="00411576">
              <w:rPr>
                <w:rFonts w:asciiTheme="minorHAnsi" w:hAnsiTheme="minorHAnsi"/>
                <w:lang w:val="ru-RU"/>
              </w:rPr>
              <w:instrText>HYPERLINK "http://www.itu.int/md/S25-CL-C-0045/en"</w:instrText>
            </w:r>
            <w:r w:rsidRPr="00411576">
              <w:rPr>
                <w:rFonts w:asciiTheme="minorHAnsi" w:hAnsiTheme="minorHAnsi"/>
                <w:lang w:val="ru-RU"/>
              </w:rPr>
            </w:r>
            <w:r w:rsidRPr="00411576">
              <w:rPr>
                <w:rFonts w:asciiTheme="minorHAnsi" w:hAnsiTheme="minorHAnsi"/>
                <w:lang w:val="ru-RU"/>
              </w:rPr>
              <w:fldChar w:fldCharType="separate"/>
            </w:r>
            <w:r w:rsidRPr="00411576">
              <w:rPr>
                <w:rStyle w:val="Hyperlink"/>
                <w:rFonts w:asciiTheme="minorHAnsi" w:eastAsiaTheme="majorEastAsia" w:hAnsiTheme="minorHAnsi"/>
                <w:lang w:val="ru-RU"/>
              </w:rPr>
              <w:t>C25/45</w:t>
            </w:r>
            <w:r w:rsidRPr="00411576">
              <w:rPr>
                <w:rFonts w:asciiTheme="minorHAnsi" w:hAnsiTheme="minorHAnsi"/>
                <w:lang w:val="ru-RU"/>
              </w:rPr>
              <w:fldChar w:fldCharType="end"/>
            </w:r>
            <w:bookmarkEnd w:id="8"/>
          </w:p>
        </w:tc>
      </w:tr>
      <w:tr w:rsidR="003C1802" w:rsidRPr="00411576" w14:paraId="3FB69B91" w14:textId="77777777" w:rsidTr="003C1802">
        <w:tc>
          <w:tcPr>
            <w:tcW w:w="567" w:type="dxa"/>
          </w:tcPr>
          <w:p w14:paraId="2F562CFF" w14:textId="56DDDE45" w:rsidR="003C1802" w:rsidRPr="00411576" w:rsidRDefault="003C1802" w:rsidP="003C1802">
            <w:pPr>
              <w:jc w:val="center"/>
              <w:rPr>
                <w:lang w:val="ru-RU"/>
              </w:rPr>
            </w:pPr>
            <w:r w:rsidRPr="00411576">
              <w:rPr>
                <w:color w:val="000000"/>
                <w:lang w:val="ru-RU"/>
              </w:rPr>
              <w:t>4</w:t>
            </w:r>
          </w:p>
        </w:tc>
        <w:tc>
          <w:tcPr>
            <w:tcW w:w="6379" w:type="dxa"/>
          </w:tcPr>
          <w:p w14:paraId="180903A3" w14:textId="18A4D3E9" w:rsidR="003C1802" w:rsidRPr="00411576" w:rsidRDefault="003C1802" w:rsidP="003C1802">
            <w:pPr>
              <w:rPr>
                <w:lang w:val="ru-RU"/>
              </w:rPr>
            </w:pPr>
            <w:r w:rsidRPr="00411576">
              <w:rPr>
                <w:color w:val="000000"/>
                <w:lang w:val="ru-RU"/>
              </w:rPr>
              <w:t>Деятельность в поддержку восстановления инфраструктуры в заинтересованных странах</w:t>
            </w:r>
          </w:p>
        </w:tc>
        <w:bookmarkStart w:id="9" w:name="_Hlk201830001"/>
        <w:tc>
          <w:tcPr>
            <w:tcW w:w="2115" w:type="dxa"/>
          </w:tcPr>
          <w:p w14:paraId="2CDD4541" w14:textId="06625921" w:rsidR="003C1802" w:rsidRPr="00411576" w:rsidRDefault="003C1802" w:rsidP="002749F2">
            <w:pPr>
              <w:jc w:val="center"/>
              <w:rPr>
                <w:lang w:val="ru-RU"/>
              </w:rPr>
            </w:pPr>
            <w:r w:rsidRPr="00411576">
              <w:rPr>
                <w:rFonts w:asciiTheme="minorHAnsi" w:hAnsiTheme="minorHAnsi"/>
                <w:lang w:val="ru-RU"/>
              </w:rPr>
              <w:fldChar w:fldCharType="begin"/>
            </w:r>
            <w:r w:rsidRPr="00411576">
              <w:rPr>
                <w:rFonts w:asciiTheme="minorHAnsi" w:hAnsiTheme="minorHAnsi"/>
                <w:lang w:val="ru-RU"/>
              </w:rPr>
              <w:instrText>HYPERLINK "http://www.itu.int/md/S25-CL-C-0072/en"</w:instrText>
            </w:r>
            <w:r w:rsidRPr="00411576">
              <w:rPr>
                <w:rFonts w:asciiTheme="minorHAnsi" w:hAnsiTheme="minorHAnsi"/>
                <w:lang w:val="ru-RU"/>
              </w:rPr>
            </w:r>
            <w:r w:rsidRPr="00411576">
              <w:rPr>
                <w:rFonts w:asciiTheme="minorHAnsi" w:hAnsiTheme="minorHAnsi"/>
                <w:lang w:val="ru-RU"/>
              </w:rPr>
              <w:fldChar w:fldCharType="separate"/>
            </w:r>
            <w:r w:rsidRPr="00411576">
              <w:rPr>
                <w:rStyle w:val="Hyperlink"/>
                <w:rFonts w:asciiTheme="minorHAnsi" w:eastAsiaTheme="majorEastAsia" w:hAnsiTheme="minorHAnsi"/>
                <w:lang w:val="ru-RU"/>
              </w:rPr>
              <w:t>C25/72</w:t>
            </w:r>
            <w:r w:rsidRPr="00411576">
              <w:rPr>
                <w:rFonts w:asciiTheme="minorHAnsi" w:hAnsiTheme="minorHAnsi"/>
                <w:lang w:val="ru-RU"/>
              </w:rPr>
              <w:fldChar w:fldCharType="end"/>
            </w:r>
            <w:bookmarkEnd w:id="9"/>
          </w:p>
        </w:tc>
      </w:tr>
      <w:tr w:rsidR="003C1802" w:rsidRPr="00411576" w14:paraId="515F9C26" w14:textId="77777777" w:rsidTr="003C1802">
        <w:tc>
          <w:tcPr>
            <w:tcW w:w="567" w:type="dxa"/>
          </w:tcPr>
          <w:p w14:paraId="56A9CDEF" w14:textId="06020568" w:rsidR="003C1802" w:rsidRPr="00411576" w:rsidRDefault="003C1802" w:rsidP="003C1802">
            <w:pPr>
              <w:jc w:val="center"/>
              <w:rPr>
                <w:lang w:val="ru-RU"/>
              </w:rPr>
            </w:pPr>
            <w:r w:rsidRPr="00411576">
              <w:rPr>
                <w:color w:val="000000"/>
                <w:lang w:val="ru-RU"/>
              </w:rPr>
              <w:t>5</w:t>
            </w:r>
          </w:p>
        </w:tc>
        <w:tc>
          <w:tcPr>
            <w:tcW w:w="6379" w:type="dxa"/>
          </w:tcPr>
          <w:p w14:paraId="4B4E247D" w14:textId="16962606" w:rsidR="003C1802" w:rsidRPr="00411576" w:rsidRDefault="003C1802" w:rsidP="003C1802">
            <w:pPr>
              <w:rPr>
                <w:lang w:val="ru-RU"/>
              </w:rPr>
            </w:pPr>
            <w:r w:rsidRPr="00411576">
              <w:rPr>
                <w:color w:val="000000"/>
                <w:lang w:val="ru-RU"/>
              </w:rPr>
              <w:t>Отчет о состоянии дел с оказанием помощи и поддержки Палестине</w:t>
            </w:r>
          </w:p>
        </w:tc>
        <w:tc>
          <w:tcPr>
            <w:tcW w:w="2115" w:type="dxa"/>
          </w:tcPr>
          <w:p w14:paraId="0FDAA103" w14:textId="193D7359" w:rsidR="003C1802" w:rsidRPr="00411576" w:rsidRDefault="003C1802" w:rsidP="002749F2">
            <w:pPr>
              <w:jc w:val="center"/>
              <w:rPr>
                <w:lang w:val="ru-RU"/>
              </w:rPr>
            </w:pPr>
            <w:hyperlink r:id="rId10">
              <w:r w:rsidRPr="00411576">
                <w:rPr>
                  <w:rStyle w:val="Hyperlink"/>
                  <w:rFonts w:asciiTheme="minorHAnsi" w:eastAsiaTheme="majorEastAsia" w:hAnsiTheme="minorHAnsi"/>
                  <w:lang w:val="ru-RU"/>
                </w:rPr>
                <w:t>C25/71</w:t>
              </w:r>
            </w:hyperlink>
          </w:p>
        </w:tc>
      </w:tr>
      <w:tr w:rsidR="003C1802" w:rsidRPr="00411576" w14:paraId="04B27811" w14:textId="77777777" w:rsidTr="003C1802">
        <w:tc>
          <w:tcPr>
            <w:tcW w:w="567" w:type="dxa"/>
          </w:tcPr>
          <w:p w14:paraId="4CA4E58C" w14:textId="657ED587" w:rsidR="003C1802" w:rsidRPr="00411576" w:rsidRDefault="003C1802" w:rsidP="003C1802">
            <w:pPr>
              <w:jc w:val="center"/>
              <w:rPr>
                <w:lang w:val="ru-RU"/>
              </w:rPr>
            </w:pPr>
            <w:r w:rsidRPr="00411576">
              <w:rPr>
                <w:color w:val="000000"/>
                <w:lang w:val="ru-RU"/>
              </w:rPr>
              <w:t>6</w:t>
            </w:r>
          </w:p>
        </w:tc>
        <w:tc>
          <w:tcPr>
            <w:tcW w:w="6379" w:type="dxa"/>
          </w:tcPr>
          <w:p w14:paraId="6D06FE81" w14:textId="4DD27EB9" w:rsidR="003C1802" w:rsidRPr="00411576" w:rsidRDefault="003C1802" w:rsidP="003C1802">
            <w:pPr>
              <w:rPr>
                <w:lang w:val="ru-RU"/>
              </w:rPr>
            </w:pPr>
            <w:r w:rsidRPr="00411576">
              <w:rPr>
                <w:color w:val="000000"/>
                <w:lang w:val="ru-RU"/>
              </w:rPr>
              <w:t>Обновленная информация о ходе выполнения Резолюции 1408 (C22, последнее изменение C23) Совета о помощи и поддержке Украине в восстановлении ее отрасли электросвязи</w:t>
            </w:r>
          </w:p>
        </w:tc>
        <w:tc>
          <w:tcPr>
            <w:tcW w:w="2115" w:type="dxa"/>
          </w:tcPr>
          <w:p w14:paraId="405E821D" w14:textId="1F546184" w:rsidR="003C1802" w:rsidRPr="00411576" w:rsidRDefault="003C1802" w:rsidP="002749F2">
            <w:pPr>
              <w:jc w:val="center"/>
              <w:rPr>
                <w:lang w:val="ru-RU"/>
              </w:rPr>
            </w:pPr>
            <w:hyperlink r:id="rId11">
              <w:r w:rsidRPr="00411576">
                <w:rPr>
                  <w:rStyle w:val="Hyperlink"/>
                  <w:rFonts w:asciiTheme="minorHAnsi" w:eastAsiaTheme="majorEastAsia" w:hAnsiTheme="minorHAnsi"/>
                  <w:lang w:val="ru-RU"/>
                </w:rPr>
                <w:t>C25/68</w:t>
              </w:r>
            </w:hyperlink>
          </w:p>
        </w:tc>
      </w:tr>
    </w:tbl>
    <w:p w14:paraId="60F31B98" w14:textId="77777777" w:rsidR="00165D06" w:rsidRPr="00411576" w:rsidRDefault="00165D06">
      <w:pPr>
        <w:tabs>
          <w:tab w:val="clear" w:pos="794"/>
          <w:tab w:val="clear" w:pos="1191"/>
          <w:tab w:val="clear" w:pos="1588"/>
          <w:tab w:val="clear" w:pos="1985"/>
        </w:tabs>
        <w:overflowPunct/>
        <w:autoSpaceDE/>
        <w:autoSpaceDN/>
        <w:adjustRightInd/>
        <w:spacing w:before="0"/>
        <w:textAlignment w:val="auto"/>
        <w:rPr>
          <w:lang w:val="ru-RU"/>
        </w:rPr>
      </w:pPr>
      <w:r w:rsidRPr="00411576">
        <w:rPr>
          <w:lang w:val="ru-RU"/>
        </w:rPr>
        <w:br w:type="page"/>
      </w:r>
    </w:p>
    <w:p w14:paraId="69B1D8D1" w14:textId="77777777" w:rsidR="003C1802" w:rsidRPr="00411576" w:rsidRDefault="003C1802" w:rsidP="003C1802">
      <w:pPr>
        <w:pStyle w:val="Heading1"/>
        <w:rPr>
          <w:lang w:val="ru-RU"/>
        </w:rPr>
      </w:pPr>
      <w:r w:rsidRPr="00411576">
        <w:rPr>
          <w:bCs/>
          <w:lang w:val="ru-RU"/>
        </w:rPr>
        <w:lastRenderedPageBreak/>
        <w:t>1</w:t>
      </w:r>
      <w:r w:rsidRPr="00411576">
        <w:rPr>
          <w:lang w:val="ru-RU"/>
        </w:rPr>
        <w:tab/>
      </w:r>
      <w:r w:rsidRPr="00411576">
        <w:rPr>
          <w:bCs/>
          <w:lang w:val="ru-RU"/>
        </w:rPr>
        <w:t>Деятельность МСЭ в области интернета: Резолюции 101, 102, 133, 180 и 206 Полномочной конференции (</w:t>
      </w:r>
      <w:r w:rsidRPr="00411576">
        <w:rPr>
          <w:bCs/>
          <w:i/>
          <w:iCs/>
          <w:lang w:val="ru-RU"/>
        </w:rPr>
        <w:t>продолжение</w:t>
      </w:r>
      <w:r w:rsidRPr="00411576">
        <w:rPr>
          <w:bCs/>
          <w:lang w:val="ru-RU"/>
        </w:rPr>
        <w:t>) (Документы</w:t>
      </w:r>
      <w:r w:rsidRPr="00411576">
        <w:rPr>
          <w:lang w:val="ru-RU"/>
        </w:rPr>
        <w:t xml:space="preserve"> </w:t>
      </w:r>
      <w:hyperlink r:id="rId12">
        <w:r w:rsidRPr="00411576">
          <w:rPr>
            <w:rStyle w:val="Hyperlink"/>
            <w:lang w:val="ru-RU"/>
          </w:rPr>
          <w:t>C25/33</w:t>
        </w:r>
      </w:hyperlink>
      <w:r w:rsidRPr="00411576">
        <w:rPr>
          <w:lang w:val="ru-RU"/>
        </w:rPr>
        <w:t xml:space="preserve">, </w:t>
      </w:r>
      <w:hyperlink r:id="rId13">
        <w:r w:rsidRPr="00411576">
          <w:rPr>
            <w:rStyle w:val="Hyperlink"/>
            <w:lang w:val="ru-RU"/>
          </w:rPr>
          <w:t>C25/DT/4</w:t>
        </w:r>
      </w:hyperlink>
      <w:r w:rsidRPr="00411576">
        <w:rPr>
          <w:lang w:val="ru-RU"/>
        </w:rPr>
        <w:t>)</w:t>
      </w:r>
      <w:hyperlink r:id="rId14"/>
      <w:hyperlink r:id="rId15"/>
    </w:p>
    <w:p w14:paraId="66D7C1BC" w14:textId="77777777" w:rsidR="003C1802" w:rsidRPr="00411576" w:rsidRDefault="003C1802" w:rsidP="003C1802">
      <w:pPr>
        <w:rPr>
          <w:lang w:val="ru-RU"/>
        </w:rPr>
      </w:pPr>
      <w:r w:rsidRPr="00411576">
        <w:rPr>
          <w:lang w:val="ru-RU"/>
        </w:rPr>
        <w:t>1.1</w:t>
      </w:r>
      <w:r w:rsidRPr="00411576">
        <w:rPr>
          <w:lang w:val="ru-RU"/>
        </w:rPr>
        <w:tab/>
        <w:t>Председатель сообщает, что в Документе C25/DT/4 содержится пакет документов, касающихся деятельности МСЭ в области интернета согласно Резолюциям 101, 102, 133, 180 и 206 Полномочной конференции, которые будут переданы Генеральному секретарю Организации Объединенных Наций. Пакет включает отчет Генерального секретаря МСЭ сессии Совета 2025 года (Совет-25), который содержится в Документе C25/33, о деятельности Союза в соответствии с его резолюциями, касающимися интернета; письменные мнения Государств-Членов Совета; и выдержку из официального Краткого отчета о втором пленарном заседании Совета-25 по данному вопросу.</w:t>
      </w:r>
    </w:p>
    <w:p w14:paraId="7E303424" w14:textId="77777777" w:rsidR="003C1802" w:rsidRPr="00411576" w:rsidRDefault="003C1802" w:rsidP="003C1802">
      <w:pPr>
        <w:rPr>
          <w:lang w:val="ru-RU"/>
        </w:rPr>
      </w:pPr>
      <w:r w:rsidRPr="00411576">
        <w:rPr>
          <w:lang w:val="ru-RU"/>
        </w:rPr>
        <w:t>1.2</w:t>
      </w:r>
      <w:r w:rsidRPr="00411576">
        <w:rPr>
          <w:lang w:val="ru-RU"/>
        </w:rPr>
        <w:tab/>
        <w:t xml:space="preserve">Совет </w:t>
      </w:r>
      <w:r w:rsidRPr="00411576">
        <w:rPr>
          <w:b/>
          <w:bCs/>
          <w:lang w:val="ru-RU"/>
        </w:rPr>
        <w:t>принимает к сведению</w:t>
      </w:r>
      <w:r w:rsidRPr="00411576">
        <w:rPr>
          <w:lang w:val="ru-RU"/>
        </w:rPr>
        <w:t xml:space="preserve"> Документ C25/DT/4 и </w:t>
      </w:r>
      <w:r w:rsidRPr="00411576">
        <w:rPr>
          <w:b/>
          <w:lang w:val="ru-RU"/>
        </w:rPr>
        <w:t>утверждает</w:t>
      </w:r>
      <w:r w:rsidRPr="00411576">
        <w:rPr>
          <w:lang w:val="ru-RU"/>
        </w:rPr>
        <w:t xml:space="preserve"> передачу пакета документов Генеральному секретарю Организации Объединенных Наций.</w:t>
      </w:r>
    </w:p>
    <w:p w14:paraId="1A4D4A08" w14:textId="77777777" w:rsidR="003C1802" w:rsidRPr="00411576" w:rsidRDefault="003C1802" w:rsidP="003C1802">
      <w:pPr>
        <w:pStyle w:val="Heading1"/>
        <w:rPr>
          <w:lang w:val="ru-RU"/>
        </w:rPr>
      </w:pPr>
      <w:r w:rsidRPr="00411576">
        <w:rPr>
          <w:bCs/>
          <w:lang w:val="ru-RU"/>
        </w:rPr>
        <w:t>2</w:t>
      </w:r>
      <w:r w:rsidRPr="00411576">
        <w:rPr>
          <w:lang w:val="ru-RU"/>
        </w:rPr>
        <w:tab/>
      </w:r>
      <w:r w:rsidRPr="00411576">
        <w:rPr>
          <w:bCs/>
          <w:lang w:val="ru-RU"/>
        </w:rPr>
        <w:t>Отчет о предлагаемых местах проведения АР-27, ВКР-27 и ПСК31-1 (</w:t>
      </w:r>
      <w:r w:rsidRPr="00411576">
        <w:rPr>
          <w:bCs/>
          <w:i/>
          <w:iCs/>
          <w:lang w:val="ru-RU"/>
        </w:rPr>
        <w:t>продолжение</w:t>
      </w:r>
      <w:r w:rsidRPr="00411576">
        <w:rPr>
          <w:bCs/>
          <w:lang w:val="ru-RU"/>
        </w:rPr>
        <w:t>) (Документы</w:t>
      </w:r>
      <w:r w:rsidRPr="00411576">
        <w:rPr>
          <w:lang w:val="ru-RU"/>
        </w:rPr>
        <w:t xml:space="preserve"> </w:t>
      </w:r>
      <w:hyperlink r:id="rId16" w:history="1">
        <w:r w:rsidRPr="00411576">
          <w:rPr>
            <w:rStyle w:val="Hyperlink"/>
            <w:lang w:val="ru-RU"/>
          </w:rPr>
          <w:t>C25/58 и Дополнительные документы 1 и 2</w:t>
        </w:r>
      </w:hyperlink>
      <w:r w:rsidRPr="00411576">
        <w:rPr>
          <w:lang w:val="ru-RU"/>
        </w:rPr>
        <w:t xml:space="preserve">, </w:t>
      </w:r>
      <w:hyperlink r:id="rId17" w:history="1">
        <w:r w:rsidRPr="00411576">
          <w:rPr>
            <w:rStyle w:val="Hyperlink"/>
            <w:lang w:val="ru-RU"/>
          </w:rPr>
          <w:t>C25/101</w:t>
        </w:r>
      </w:hyperlink>
      <w:r w:rsidRPr="00411576">
        <w:rPr>
          <w:lang w:val="ru-RU"/>
        </w:rPr>
        <w:t>)</w:t>
      </w:r>
      <w:hyperlink r:id="rId18"/>
      <w:hyperlink r:id="rId19"/>
    </w:p>
    <w:p w14:paraId="4FE557AB" w14:textId="765CE009" w:rsidR="00DE67F7" w:rsidRPr="00411576" w:rsidRDefault="00DE67F7" w:rsidP="00DE67F7">
      <w:pPr>
        <w:rPr>
          <w:lang w:val="ru-RU"/>
        </w:rPr>
      </w:pPr>
      <w:r w:rsidRPr="00411576">
        <w:rPr>
          <w:lang w:val="ru-RU"/>
        </w:rPr>
        <w:t>2.1</w:t>
      </w:r>
      <w:r w:rsidRPr="00411576">
        <w:rPr>
          <w:lang w:val="ru-RU"/>
        </w:rPr>
        <w:tab/>
        <w:t>Председатель отмечает, что рассматриваемый вопрос является беспрецедентным для МСЭ и его членов, и подчеркивает важность уважительных, прозрачных и основанных на консенсусе обсуждений в соответствии с традициями МСЭ. Она напоминает, что проведение конференции было честью, привилегией и ответственностью. Председатель предлагает Соединенным Штатам Америки представить свое предложение о проведении ВКР-27 и разъяснить статус своего первоначального вклада (</w:t>
      </w:r>
      <w:r w:rsidR="00143C36" w:rsidRPr="00411576">
        <w:rPr>
          <w:lang w:val="ru-RU"/>
        </w:rPr>
        <w:t xml:space="preserve">Документ </w:t>
      </w:r>
      <w:r w:rsidRPr="00411576">
        <w:rPr>
          <w:lang w:val="ru-RU"/>
        </w:rPr>
        <w:t>C25/101), после чего смогут выступить Государства-Члены. Она подчеркивает необходимость избегать поспешных решений, использовать обсуждение для укрепления наследия МСЭ на основе извлеченных уроков и разработать четкий процесс для работы с подобными вопросами в будущем.</w:t>
      </w:r>
    </w:p>
    <w:p w14:paraId="221DDF9D" w14:textId="696333BA" w:rsidR="003C1802" w:rsidRPr="00411576" w:rsidRDefault="003C1802" w:rsidP="003C1802">
      <w:pPr>
        <w:rPr>
          <w:lang w:val="ru-RU"/>
        </w:rPr>
      </w:pPr>
      <w:r w:rsidRPr="00411576">
        <w:rPr>
          <w:lang w:val="ru-RU"/>
        </w:rPr>
        <w:t>2.</w:t>
      </w:r>
      <w:r w:rsidR="00DE67F7" w:rsidRPr="00411576">
        <w:rPr>
          <w:lang w:val="ru-RU"/>
        </w:rPr>
        <w:t>2</w:t>
      </w:r>
      <w:r w:rsidRPr="00411576">
        <w:rPr>
          <w:lang w:val="ru-RU"/>
        </w:rPr>
        <w:tab/>
        <w:t>Советник от Соединенных Штатов Америки представляет Дополнительный документ</w:t>
      </w:r>
      <w:r w:rsidR="000F2AF8">
        <w:t> </w:t>
      </w:r>
      <w:r w:rsidRPr="00411576">
        <w:rPr>
          <w:lang w:val="ru-RU"/>
        </w:rPr>
        <w:t xml:space="preserve">2 к Документу C25/58, в котором содержится предложение правительства </w:t>
      </w:r>
      <w:proofErr w:type="gramStart"/>
      <w:r w:rsidRPr="00411576">
        <w:rPr>
          <w:lang w:val="ru-RU"/>
        </w:rPr>
        <w:t>его страны</w:t>
      </w:r>
      <w:proofErr w:type="gramEnd"/>
      <w:r w:rsidRPr="00411576">
        <w:rPr>
          <w:lang w:val="ru-RU"/>
        </w:rPr>
        <w:t xml:space="preserve"> провести Всемирную конференцию радиосвязи 2027 года (ВКР-27) и связанные с ней мероприятия в месте, которое еще предстоит определить. Напоминая о том, что его страна имеет большой опыт проведения крупных международных мероприятий, он отмечает, что можно оперативно организовать посещение места проведения. Делегация его страны рассчитывала поддержать приглашение Руанды принять у себя ВКР-27 до того, как в последний момент это предложение было отозвано. Не имея возможности поддержать приглашение Китая, делегация его страны провела переговоры в духе доброй воли с китайской делегацией и внесла конкретные предложения, которые были отклонены. Проведение этих мероприятий в Соединенных Штатах</w:t>
      </w:r>
      <w:r w:rsidR="00030D6B" w:rsidRPr="00411576">
        <w:rPr>
          <w:lang w:val="ru-RU"/>
        </w:rPr>
        <w:t xml:space="preserve"> Америки</w:t>
      </w:r>
      <w:r w:rsidRPr="00411576">
        <w:rPr>
          <w:lang w:val="ru-RU"/>
        </w:rPr>
        <w:t xml:space="preserve"> предлагает реальный путь к консенсусу, к которому стремятся все. Если не удастся достичь консенсуса по какому-либо из приглашений, Женева должна оставаться существующим основным местом проведения мероприятий.</w:t>
      </w:r>
    </w:p>
    <w:p w14:paraId="6F18412E" w14:textId="34B0A408" w:rsidR="003C1802" w:rsidRPr="00411576" w:rsidRDefault="003C1802" w:rsidP="003C1802">
      <w:pPr>
        <w:rPr>
          <w:lang w:val="ru-RU"/>
        </w:rPr>
      </w:pPr>
      <w:r w:rsidRPr="00411576">
        <w:rPr>
          <w:lang w:val="ru-RU"/>
        </w:rPr>
        <w:t>2.</w:t>
      </w:r>
      <w:r w:rsidR="00DE67F7" w:rsidRPr="00411576">
        <w:rPr>
          <w:lang w:val="ru-RU"/>
        </w:rPr>
        <w:t>3</w:t>
      </w:r>
      <w:r w:rsidRPr="00411576">
        <w:rPr>
          <w:lang w:val="ru-RU"/>
        </w:rPr>
        <w:tab/>
        <w:t xml:space="preserve">Советник от Китая заявляет, что делегация ее страны </w:t>
      </w:r>
      <w:r w:rsidR="000C144D" w:rsidRPr="00411576">
        <w:rPr>
          <w:lang w:val="ru-RU"/>
        </w:rPr>
        <w:t>сделала все возможное для</w:t>
      </w:r>
      <w:r w:rsidR="00BD6CF1">
        <w:rPr>
          <w:lang w:val="en-US"/>
        </w:rPr>
        <w:t> </w:t>
      </w:r>
      <w:r w:rsidR="000C144D" w:rsidRPr="00411576">
        <w:rPr>
          <w:lang w:val="ru-RU"/>
        </w:rPr>
        <w:t xml:space="preserve">достижения </w:t>
      </w:r>
      <w:r w:rsidRPr="00411576">
        <w:rPr>
          <w:lang w:val="ru-RU"/>
        </w:rPr>
        <w:t>консенсуса в отношении проведения ВКР-27 и связанных с ней мероприятий в</w:t>
      </w:r>
      <w:r w:rsidR="00BD6CF1">
        <w:rPr>
          <w:lang w:val="en-US"/>
        </w:rPr>
        <w:t> </w:t>
      </w:r>
      <w:r w:rsidRPr="00411576">
        <w:rPr>
          <w:lang w:val="ru-RU"/>
        </w:rPr>
        <w:t>Шанха</w:t>
      </w:r>
      <w:r w:rsidR="000C144D" w:rsidRPr="00411576">
        <w:rPr>
          <w:lang w:val="ru-RU"/>
        </w:rPr>
        <w:t>е и провела шесть раундов консультаций с</w:t>
      </w:r>
      <w:r w:rsidRPr="00411576">
        <w:rPr>
          <w:lang w:val="ru-RU"/>
        </w:rPr>
        <w:t xml:space="preserve"> </w:t>
      </w:r>
      <w:r w:rsidR="000C144D" w:rsidRPr="00411576">
        <w:rPr>
          <w:lang w:val="ru-RU"/>
        </w:rPr>
        <w:t>де</w:t>
      </w:r>
      <w:r w:rsidRPr="00411576">
        <w:rPr>
          <w:lang w:val="ru-RU"/>
        </w:rPr>
        <w:t>легаци</w:t>
      </w:r>
      <w:r w:rsidR="000C144D" w:rsidRPr="00411576">
        <w:rPr>
          <w:lang w:val="ru-RU"/>
        </w:rPr>
        <w:t>ей</w:t>
      </w:r>
      <w:r w:rsidRPr="00411576">
        <w:rPr>
          <w:lang w:val="ru-RU"/>
        </w:rPr>
        <w:t xml:space="preserve"> Соединенных Штатов Америки</w:t>
      </w:r>
      <w:r w:rsidR="006A4CD2" w:rsidRPr="00411576">
        <w:rPr>
          <w:lang w:val="ru-RU"/>
        </w:rPr>
        <w:t xml:space="preserve">. </w:t>
      </w:r>
      <w:r w:rsidR="00214582" w:rsidRPr="00411576">
        <w:rPr>
          <w:lang w:val="ru-RU"/>
        </w:rPr>
        <w:t>Однако</w:t>
      </w:r>
      <w:r w:rsidR="00030D6B" w:rsidRPr="00411576">
        <w:rPr>
          <w:lang w:val="ru-RU"/>
        </w:rPr>
        <w:t xml:space="preserve"> делегация Соединенных Штатов Америки под </w:t>
      </w:r>
      <w:r w:rsidR="00214582" w:rsidRPr="00411576">
        <w:rPr>
          <w:lang w:val="ru-RU"/>
        </w:rPr>
        <w:t xml:space="preserve">предлогом ожидания </w:t>
      </w:r>
      <w:r w:rsidR="00030D6B" w:rsidRPr="00411576">
        <w:rPr>
          <w:lang w:val="ru-RU"/>
        </w:rPr>
        <w:t>указаний</w:t>
      </w:r>
      <w:r w:rsidR="00214582" w:rsidRPr="00411576">
        <w:rPr>
          <w:lang w:val="ru-RU"/>
        </w:rPr>
        <w:t xml:space="preserve"> от своего правительства уклонилась от поиска взаимоприемлемого решения с делегацией</w:t>
      </w:r>
      <w:r w:rsidR="00030D6B" w:rsidRPr="00411576">
        <w:rPr>
          <w:lang w:val="ru-RU"/>
        </w:rPr>
        <w:t xml:space="preserve"> оратора</w:t>
      </w:r>
      <w:r w:rsidR="00214582" w:rsidRPr="00411576">
        <w:rPr>
          <w:lang w:val="ru-RU"/>
        </w:rPr>
        <w:t>, одновременно вечером 23</w:t>
      </w:r>
      <w:r w:rsidR="00BD6CF1">
        <w:rPr>
          <w:lang w:val="en-US"/>
        </w:rPr>
        <w:t> </w:t>
      </w:r>
      <w:r w:rsidR="00214582" w:rsidRPr="00411576">
        <w:rPr>
          <w:lang w:val="ru-RU"/>
        </w:rPr>
        <w:t xml:space="preserve">июня представив </w:t>
      </w:r>
      <w:r w:rsidRPr="00411576">
        <w:rPr>
          <w:lang w:val="ru-RU"/>
        </w:rPr>
        <w:t>недоработанное предложение о проведении у</w:t>
      </w:r>
      <w:r w:rsidR="00BD6CF1">
        <w:rPr>
          <w:lang w:val="en-US"/>
        </w:rPr>
        <w:t> </w:t>
      </w:r>
      <w:r w:rsidRPr="00411576">
        <w:rPr>
          <w:lang w:val="ru-RU"/>
        </w:rPr>
        <w:t>себя этих мероприятий</w:t>
      </w:r>
      <w:r w:rsidR="00214582" w:rsidRPr="00411576">
        <w:rPr>
          <w:lang w:val="ru-RU"/>
        </w:rPr>
        <w:t>, в связи с чем китайская делегация выразила глубокое сожаление. Соединенны</w:t>
      </w:r>
      <w:r w:rsidR="008E754F" w:rsidRPr="00411576">
        <w:rPr>
          <w:lang w:val="ru-RU"/>
        </w:rPr>
        <w:t>е</w:t>
      </w:r>
      <w:r w:rsidR="00214582" w:rsidRPr="00411576">
        <w:rPr>
          <w:lang w:val="ru-RU"/>
        </w:rPr>
        <w:t xml:space="preserve"> Штат</w:t>
      </w:r>
      <w:r w:rsidR="008E754F" w:rsidRPr="00411576">
        <w:rPr>
          <w:lang w:val="ru-RU"/>
        </w:rPr>
        <w:t>ы</w:t>
      </w:r>
      <w:r w:rsidR="00030D6B" w:rsidRPr="00411576">
        <w:rPr>
          <w:lang w:val="ru-RU"/>
        </w:rPr>
        <w:t xml:space="preserve"> Америки</w:t>
      </w:r>
      <w:r w:rsidR="008E754F" w:rsidRPr="00411576">
        <w:rPr>
          <w:lang w:val="ru-RU"/>
        </w:rPr>
        <w:t xml:space="preserve"> следуют практике диктата под </w:t>
      </w:r>
      <w:r w:rsidR="00214582" w:rsidRPr="00411576">
        <w:rPr>
          <w:lang w:val="ru-RU"/>
        </w:rPr>
        <w:t>прикры</w:t>
      </w:r>
      <w:r w:rsidR="008E754F" w:rsidRPr="00411576">
        <w:rPr>
          <w:lang w:val="ru-RU"/>
        </w:rPr>
        <w:t xml:space="preserve">тием </w:t>
      </w:r>
      <w:r w:rsidR="00214582" w:rsidRPr="00411576">
        <w:rPr>
          <w:lang w:val="ru-RU"/>
        </w:rPr>
        <w:t>консенсус</w:t>
      </w:r>
      <w:r w:rsidR="008E754F" w:rsidRPr="00411576">
        <w:rPr>
          <w:lang w:val="ru-RU"/>
        </w:rPr>
        <w:t>а</w:t>
      </w:r>
      <w:r w:rsidR="00214582" w:rsidRPr="00411576">
        <w:rPr>
          <w:lang w:val="ru-RU"/>
        </w:rPr>
        <w:t xml:space="preserve"> в ущерб законным интересам всех стран ради продвижения собственной повестки</w:t>
      </w:r>
      <w:r w:rsidR="001A3E20" w:rsidRPr="00411576">
        <w:rPr>
          <w:lang w:val="ru-RU"/>
        </w:rPr>
        <w:t xml:space="preserve">, ставя </w:t>
      </w:r>
      <w:r w:rsidR="00214582" w:rsidRPr="00411576">
        <w:rPr>
          <w:lang w:val="ru-RU"/>
        </w:rPr>
        <w:t xml:space="preserve">принцип </w:t>
      </w:r>
      <w:r w:rsidR="00214582" w:rsidRPr="00411576">
        <w:rPr>
          <w:lang w:val="ru-RU"/>
        </w:rPr>
        <w:lastRenderedPageBreak/>
        <w:t>"</w:t>
      </w:r>
      <w:r w:rsidR="00214582" w:rsidRPr="00EF39C7">
        <w:rPr>
          <w:lang w:val="ru-RU"/>
        </w:rPr>
        <w:t>Америка п</w:t>
      </w:r>
      <w:r w:rsidR="00C84883" w:rsidRPr="00EF39C7">
        <w:rPr>
          <w:lang w:val="ru-RU"/>
        </w:rPr>
        <w:t>режд</w:t>
      </w:r>
      <w:r w:rsidR="00214582" w:rsidRPr="00EF39C7">
        <w:rPr>
          <w:lang w:val="ru-RU"/>
        </w:rPr>
        <w:t xml:space="preserve">е всего" </w:t>
      </w:r>
      <w:r w:rsidR="001A3E20" w:rsidRPr="00EF39C7">
        <w:rPr>
          <w:lang w:val="ru-RU"/>
        </w:rPr>
        <w:t>выше</w:t>
      </w:r>
      <w:r w:rsidR="001A3E20" w:rsidRPr="00411576">
        <w:rPr>
          <w:lang w:val="ru-RU"/>
        </w:rPr>
        <w:t xml:space="preserve"> </w:t>
      </w:r>
      <w:r w:rsidR="00214582" w:rsidRPr="00411576">
        <w:rPr>
          <w:lang w:val="ru-RU"/>
        </w:rPr>
        <w:t>международны</w:t>
      </w:r>
      <w:r w:rsidR="001A3E20" w:rsidRPr="00411576">
        <w:rPr>
          <w:lang w:val="ru-RU"/>
        </w:rPr>
        <w:t>х</w:t>
      </w:r>
      <w:r w:rsidR="00214582" w:rsidRPr="00411576">
        <w:rPr>
          <w:lang w:val="ru-RU"/>
        </w:rPr>
        <w:t xml:space="preserve"> правил, </w:t>
      </w:r>
      <w:r w:rsidR="008E754F" w:rsidRPr="00411576">
        <w:rPr>
          <w:lang w:val="ru-RU"/>
        </w:rPr>
        <w:t xml:space="preserve">что </w:t>
      </w:r>
      <w:r w:rsidR="00214582" w:rsidRPr="00411576">
        <w:rPr>
          <w:lang w:val="ru-RU"/>
        </w:rPr>
        <w:t>является типичным проявлением политики силы, политизации работы МСЭ и подрыва правил и единства Союза. Документ</w:t>
      </w:r>
      <w:r w:rsidR="00BD6CF1">
        <w:rPr>
          <w:lang w:val="en-US"/>
        </w:rPr>
        <w:t> </w:t>
      </w:r>
      <w:r w:rsidR="00214582" w:rsidRPr="00411576">
        <w:rPr>
          <w:lang w:val="ru-RU"/>
        </w:rPr>
        <w:t xml:space="preserve">C25/58(Add.2) был представлен после седьмого дня </w:t>
      </w:r>
      <w:r w:rsidR="001A3E20" w:rsidRPr="00411576">
        <w:rPr>
          <w:lang w:val="ru-RU"/>
        </w:rPr>
        <w:t>собрания</w:t>
      </w:r>
      <w:r w:rsidR="00214582" w:rsidRPr="00411576">
        <w:rPr>
          <w:lang w:val="ru-RU"/>
        </w:rPr>
        <w:t>, в нарушение правил МСЭ относительно сроков представления документов, и в нем не был указан город-организатор; таким образом, очевидно, что он не может считаться действительной заявкой на</w:t>
      </w:r>
      <w:r w:rsidR="00BD6CF1">
        <w:rPr>
          <w:lang w:val="en-US"/>
        </w:rPr>
        <w:t> </w:t>
      </w:r>
      <w:r w:rsidR="00214582" w:rsidRPr="00411576">
        <w:rPr>
          <w:lang w:val="ru-RU"/>
        </w:rPr>
        <w:t>проведение ВКР-27.</w:t>
      </w:r>
      <w:r w:rsidR="001A3E20" w:rsidRPr="00411576">
        <w:rPr>
          <w:lang w:val="ru-RU"/>
        </w:rPr>
        <w:t xml:space="preserve"> </w:t>
      </w:r>
      <w:r w:rsidRPr="00411576">
        <w:rPr>
          <w:lang w:val="ru-RU"/>
        </w:rPr>
        <w:t>Китай является единственной страной, которая представила приглашение в полном соответствии с правилами процедуры Совета и основными требованиями к принимающей стороне. При поддержке Советника от Кубы выступающая предлагает прекратить прения</w:t>
      </w:r>
      <w:r w:rsidR="00214582" w:rsidRPr="00411576">
        <w:rPr>
          <w:lang w:val="ru-RU"/>
        </w:rPr>
        <w:t xml:space="preserve"> о проведении ВКР-27 в Шанхае, Китай,</w:t>
      </w:r>
      <w:r w:rsidRPr="00411576">
        <w:rPr>
          <w:lang w:val="ru-RU"/>
        </w:rPr>
        <w:t xml:space="preserve"> в соответствии с п.</w:t>
      </w:r>
      <w:r w:rsidR="00BD6CF1">
        <w:rPr>
          <w:lang w:val="en-US"/>
        </w:rPr>
        <w:t> </w:t>
      </w:r>
      <w:r w:rsidRPr="00411576">
        <w:rPr>
          <w:lang w:val="ru-RU"/>
        </w:rPr>
        <w:t>107 Общего регламента конференций, ассамблей и собраний Союза и</w:t>
      </w:r>
      <w:r w:rsidR="00214582" w:rsidRPr="00411576">
        <w:rPr>
          <w:lang w:val="ru-RU"/>
        </w:rPr>
        <w:t xml:space="preserve"> вынести это предложение, а</w:t>
      </w:r>
      <w:r w:rsidR="00BD6CF1">
        <w:rPr>
          <w:lang w:val="en-US"/>
        </w:rPr>
        <w:t> </w:t>
      </w:r>
      <w:r w:rsidR="00214582" w:rsidRPr="00411576">
        <w:rPr>
          <w:lang w:val="ru-RU"/>
        </w:rPr>
        <w:t xml:space="preserve">также последующие предложения о рассмотрении данного вопроса на тайное голосование. Она просит </w:t>
      </w:r>
      <w:r w:rsidR="00BD6CF1" w:rsidRPr="00411576">
        <w:rPr>
          <w:lang w:val="ru-RU"/>
        </w:rPr>
        <w:t xml:space="preserve">Секретариат </w:t>
      </w:r>
      <w:r w:rsidR="00214582" w:rsidRPr="00411576">
        <w:rPr>
          <w:lang w:val="ru-RU"/>
        </w:rPr>
        <w:t xml:space="preserve">разъяснить </w:t>
      </w:r>
      <w:r w:rsidR="00BA55CE" w:rsidRPr="00411576">
        <w:rPr>
          <w:lang w:val="ru-RU"/>
        </w:rPr>
        <w:t>собранию</w:t>
      </w:r>
      <w:r w:rsidR="00214582" w:rsidRPr="00411576">
        <w:rPr>
          <w:lang w:val="ru-RU"/>
        </w:rPr>
        <w:t xml:space="preserve">, какие именно голоса требуются и каковы точные последствия, чтобы </w:t>
      </w:r>
      <w:r w:rsidR="00016006" w:rsidRPr="00411576">
        <w:rPr>
          <w:lang w:val="ru-RU"/>
        </w:rPr>
        <w:t>Г</w:t>
      </w:r>
      <w:r w:rsidR="00214582" w:rsidRPr="00411576">
        <w:rPr>
          <w:lang w:val="ru-RU"/>
        </w:rPr>
        <w:t>осударства-</w:t>
      </w:r>
      <w:r w:rsidR="00016006" w:rsidRPr="00411576">
        <w:rPr>
          <w:lang w:val="ru-RU"/>
        </w:rPr>
        <w:t>Ч</w:t>
      </w:r>
      <w:r w:rsidR="00214582" w:rsidRPr="00411576">
        <w:rPr>
          <w:lang w:val="ru-RU"/>
        </w:rPr>
        <w:t>лены имели полное понимание ситуации.</w:t>
      </w:r>
    </w:p>
    <w:p w14:paraId="108975EE" w14:textId="72F3B1C0" w:rsidR="003C1802" w:rsidRPr="00411576" w:rsidRDefault="003C1802" w:rsidP="003C1802">
      <w:pPr>
        <w:rPr>
          <w:lang w:val="ru-RU"/>
        </w:rPr>
      </w:pPr>
      <w:r w:rsidRPr="00411576">
        <w:rPr>
          <w:lang w:val="ru-RU"/>
        </w:rPr>
        <w:t>2.</w:t>
      </w:r>
      <w:r w:rsidR="00DE67F7" w:rsidRPr="00411576">
        <w:rPr>
          <w:lang w:val="ru-RU"/>
        </w:rPr>
        <w:t>4</w:t>
      </w:r>
      <w:r w:rsidRPr="00411576">
        <w:rPr>
          <w:lang w:val="ru-RU"/>
        </w:rPr>
        <w:tab/>
        <w:t>Советники от Италии и Парагвая выступают против прекращения прений, подчеркивая, что важность этого вопроса требует дальнейшего обсуждения и консультаций для принятия решения на основе консенсуса.</w:t>
      </w:r>
    </w:p>
    <w:p w14:paraId="047DD473" w14:textId="6767AD23" w:rsidR="003C1802" w:rsidRPr="00411576" w:rsidRDefault="003C1802" w:rsidP="003C1802">
      <w:pPr>
        <w:rPr>
          <w:lang w:val="ru-RU"/>
        </w:rPr>
      </w:pPr>
      <w:r w:rsidRPr="00411576">
        <w:rPr>
          <w:lang w:val="ru-RU"/>
        </w:rPr>
        <w:t>2.</w:t>
      </w:r>
      <w:r w:rsidR="00DE67F7" w:rsidRPr="00411576">
        <w:rPr>
          <w:lang w:val="ru-RU"/>
        </w:rPr>
        <w:t>5</w:t>
      </w:r>
      <w:r w:rsidRPr="00411576">
        <w:rPr>
          <w:lang w:val="ru-RU"/>
        </w:rPr>
        <w:tab/>
        <w:t>Затем Советник от Италии, которого поддерживает Советник от Соединенных Штатов Америки, предлагает отложить прения в соответствии с п. 106 Общего регламента, чтобы избежать раскола при голосовании и предоставить время, необходимое для достижения консенсуса.</w:t>
      </w:r>
    </w:p>
    <w:p w14:paraId="6A4C00F6" w14:textId="25DB7650" w:rsidR="003C1802" w:rsidRPr="00411576" w:rsidRDefault="003C1802" w:rsidP="003C1802">
      <w:pPr>
        <w:rPr>
          <w:lang w:val="ru-RU"/>
        </w:rPr>
      </w:pPr>
      <w:r w:rsidRPr="00411576">
        <w:rPr>
          <w:lang w:val="ru-RU"/>
        </w:rPr>
        <w:t>2.</w:t>
      </w:r>
      <w:r w:rsidR="00DE67F7" w:rsidRPr="00411576">
        <w:rPr>
          <w:lang w:val="ru-RU"/>
        </w:rPr>
        <w:t>6</w:t>
      </w:r>
      <w:r w:rsidRPr="00411576">
        <w:rPr>
          <w:lang w:val="ru-RU"/>
        </w:rPr>
        <w:tab/>
        <w:t xml:space="preserve">Отвечая на вопрос по порядку ведения, Советник по правовым вопросам сообщает, что в соответствии с пунктами </w:t>
      </w:r>
      <w:proofErr w:type="gramStart"/>
      <w:r w:rsidRPr="00411576">
        <w:rPr>
          <w:lang w:val="ru-RU"/>
        </w:rPr>
        <w:t>98−104</w:t>
      </w:r>
      <w:proofErr w:type="gramEnd"/>
      <w:r w:rsidRPr="00411576">
        <w:rPr>
          <w:lang w:val="ru-RU"/>
        </w:rPr>
        <w:t xml:space="preserve"> Общего регламента предложение об отсрочке прений имеет преобладающую силу по отношению к предложению о прекращении прений.</w:t>
      </w:r>
    </w:p>
    <w:p w14:paraId="00CDDE9F" w14:textId="34F2CA26" w:rsidR="003C1802" w:rsidRPr="00411576" w:rsidRDefault="003C1802" w:rsidP="003C1802">
      <w:pPr>
        <w:rPr>
          <w:lang w:val="ru-RU"/>
        </w:rPr>
      </w:pPr>
      <w:r w:rsidRPr="00411576">
        <w:rPr>
          <w:lang w:val="ru-RU"/>
        </w:rPr>
        <w:t>2.</w:t>
      </w:r>
      <w:r w:rsidR="00DE67F7" w:rsidRPr="00411576">
        <w:rPr>
          <w:lang w:val="ru-RU"/>
        </w:rPr>
        <w:t>7</w:t>
      </w:r>
      <w:r w:rsidRPr="00411576">
        <w:rPr>
          <w:lang w:val="ru-RU"/>
        </w:rPr>
        <w:tab/>
        <w:t xml:space="preserve">Советник от Китая, которую поддерживает Советник от Кубы, возражает против предложения о переносе прений. </w:t>
      </w:r>
      <w:r w:rsidR="00016006" w:rsidRPr="00411576">
        <w:rPr>
          <w:lang w:val="ru-RU"/>
        </w:rPr>
        <w:t xml:space="preserve">Советник </w:t>
      </w:r>
      <w:r w:rsidR="001A3E20" w:rsidRPr="00411576">
        <w:rPr>
          <w:lang w:val="ru-RU"/>
        </w:rPr>
        <w:t xml:space="preserve">от </w:t>
      </w:r>
      <w:r w:rsidR="00016006" w:rsidRPr="00411576">
        <w:rPr>
          <w:lang w:val="ru-RU"/>
        </w:rPr>
        <w:t>Китая говорит, что д</w:t>
      </w:r>
      <w:r w:rsidRPr="00411576">
        <w:rPr>
          <w:lang w:val="ru-RU"/>
        </w:rPr>
        <w:t xml:space="preserve">елегация ее страны сделала все возможное для содействия достижению консенсуса, </w:t>
      </w:r>
      <w:r w:rsidR="00016006" w:rsidRPr="00411576">
        <w:rPr>
          <w:lang w:val="ru-RU"/>
        </w:rPr>
        <w:t>в то время как Соедин</w:t>
      </w:r>
      <w:r w:rsidR="00030D6B" w:rsidRPr="00411576">
        <w:rPr>
          <w:lang w:val="ru-RU"/>
        </w:rPr>
        <w:t>е</w:t>
      </w:r>
      <w:r w:rsidR="00016006" w:rsidRPr="00411576">
        <w:rPr>
          <w:lang w:val="ru-RU"/>
        </w:rPr>
        <w:t xml:space="preserve">нные Штаты </w:t>
      </w:r>
      <w:r w:rsidR="00030D6B" w:rsidRPr="00411576">
        <w:rPr>
          <w:lang w:val="ru-RU"/>
        </w:rPr>
        <w:t xml:space="preserve">Америки </w:t>
      </w:r>
      <w:r w:rsidR="00016006" w:rsidRPr="00411576">
        <w:rPr>
          <w:lang w:val="ru-RU"/>
        </w:rPr>
        <w:t xml:space="preserve">неоднократно блокировали и затягивали </w:t>
      </w:r>
      <w:r w:rsidR="00C22859" w:rsidRPr="00411576">
        <w:rPr>
          <w:lang w:val="ru-RU"/>
        </w:rPr>
        <w:t xml:space="preserve">этот </w:t>
      </w:r>
      <w:r w:rsidR="00016006" w:rsidRPr="00411576">
        <w:rPr>
          <w:lang w:val="ru-RU"/>
        </w:rPr>
        <w:t>процесс, не прояв</w:t>
      </w:r>
      <w:r w:rsidR="00C22859" w:rsidRPr="00411576">
        <w:rPr>
          <w:lang w:val="ru-RU"/>
        </w:rPr>
        <w:t>ляя</w:t>
      </w:r>
      <w:r w:rsidR="00016006" w:rsidRPr="00411576">
        <w:rPr>
          <w:lang w:val="ru-RU"/>
        </w:rPr>
        <w:t xml:space="preserve"> искренн</w:t>
      </w:r>
      <w:r w:rsidR="001F40D8" w:rsidRPr="00411576">
        <w:rPr>
          <w:lang w:val="ru-RU"/>
        </w:rPr>
        <w:t xml:space="preserve">его желания </w:t>
      </w:r>
      <w:r w:rsidR="00016006" w:rsidRPr="00411576">
        <w:rPr>
          <w:lang w:val="ru-RU"/>
        </w:rPr>
        <w:t>реш</w:t>
      </w:r>
      <w:r w:rsidR="001F40D8" w:rsidRPr="00411576">
        <w:rPr>
          <w:lang w:val="ru-RU"/>
        </w:rPr>
        <w:t xml:space="preserve">ить </w:t>
      </w:r>
      <w:r w:rsidR="00016006" w:rsidRPr="00411576">
        <w:rPr>
          <w:lang w:val="ru-RU"/>
        </w:rPr>
        <w:t>проблем</w:t>
      </w:r>
      <w:r w:rsidR="001F40D8" w:rsidRPr="00411576">
        <w:rPr>
          <w:lang w:val="ru-RU"/>
        </w:rPr>
        <w:t>у</w:t>
      </w:r>
      <w:r w:rsidR="00016006" w:rsidRPr="00411576">
        <w:rPr>
          <w:lang w:val="ru-RU"/>
        </w:rPr>
        <w:t xml:space="preserve">, и </w:t>
      </w:r>
      <w:r w:rsidR="00C22859" w:rsidRPr="00411576">
        <w:rPr>
          <w:lang w:val="ru-RU"/>
        </w:rPr>
        <w:t xml:space="preserve">сделали его объектом </w:t>
      </w:r>
      <w:r w:rsidR="00016006" w:rsidRPr="00411576">
        <w:rPr>
          <w:lang w:val="ru-RU"/>
        </w:rPr>
        <w:t>политически</w:t>
      </w:r>
      <w:r w:rsidR="00C22859" w:rsidRPr="00411576">
        <w:rPr>
          <w:lang w:val="ru-RU"/>
        </w:rPr>
        <w:t>х</w:t>
      </w:r>
      <w:r w:rsidR="00016006" w:rsidRPr="00411576">
        <w:rPr>
          <w:lang w:val="ru-RU"/>
        </w:rPr>
        <w:t xml:space="preserve"> манипул</w:t>
      </w:r>
      <w:r w:rsidR="00C22859" w:rsidRPr="00411576">
        <w:rPr>
          <w:lang w:val="ru-RU"/>
        </w:rPr>
        <w:t>яций</w:t>
      </w:r>
      <w:r w:rsidR="00016006" w:rsidRPr="00411576">
        <w:rPr>
          <w:lang w:val="ru-RU"/>
        </w:rPr>
        <w:t xml:space="preserve">, настаивая </w:t>
      </w:r>
      <w:r w:rsidR="00D97709" w:rsidRPr="00411576">
        <w:rPr>
          <w:lang w:val="ru-RU"/>
        </w:rPr>
        <w:t>в</w:t>
      </w:r>
      <w:r w:rsidR="00BD6CF1">
        <w:rPr>
          <w:lang w:val="en-US"/>
        </w:rPr>
        <w:t> </w:t>
      </w:r>
      <w:r w:rsidR="00D97709" w:rsidRPr="00411576">
        <w:rPr>
          <w:lang w:val="ru-RU"/>
        </w:rPr>
        <w:t xml:space="preserve">качестве предварительного условия для консультаций </w:t>
      </w:r>
      <w:r w:rsidR="00016006" w:rsidRPr="00411576">
        <w:rPr>
          <w:lang w:val="ru-RU"/>
        </w:rPr>
        <w:t>на том, что проведение ВКР-27 в Китае невозможно</w:t>
      </w:r>
      <w:r w:rsidR="00D97709" w:rsidRPr="00411576">
        <w:rPr>
          <w:lang w:val="ru-RU"/>
        </w:rPr>
        <w:t xml:space="preserve">, что таким образом </w:t>
      </w:r>
      <w:r w:rsidR="00016006" w:rsidRPr="00411576">
        <w:rPr>
          <w:lang w:val="ru-RU"/>
        </w:rPr>
        <w:t>подрыва</w:t>
      </w:r>
      <w:r w:rsidR="00C22859" w:rsidRPr="00411576">
        <w:rPr>
          <w:lang w:val="ru-RU"/>
        </w:rPr>
        <w:t>ет</w:t>
      </w:r>
      <w:r w:rsidR="00016006" w:rsidRPr="00411576">
        <w:rPr>
          <w:lang w:val="ru-RU"/>
        </w:rPr>
        <w:t xml:space="preserve"> саму основу для достижения консенсуса. Китай</w:t>
      </w:r>
      <w:r w:rsidR="00D97709" w:rsidRPr="00411576">
        <w:rPr>
          <w:lang w:val="ru-RU"/>
        </w:rPr>
        <w:t xml:space="preserve"> придерживается мнения</w:t>
      </w:r>
      <w:r w:rsidR="00016006" w:rsidRPr="00411576">
        <w:rPr>
          <w:lang w:val="ru-RU"/>
        </w:rPr>
        <w:t>, что в этих обстоятельствах не существует реальной основы для</w:t>
      </w:r>
      <w:r w:rsidR="00BD6CF1">
        <w:rPr>
          <w:lang w:val="en-US"/>
        </w:rPr>
        <w:t> </w:t>
      </w:r>
      <w:r w:rsidR="00016006" w:rsidRPr="00411576">
        <w:rPr>
          <w:lang w:val="ru-RU"/>
        </w:rPr>
        <w:t>консенсуса</w:t>
      </w:r>
      <w:r w:rsidR="00BD6CF1" w:rsidRPr="00BD6CF1">
        <w:rPr>
          <w:lang w:val="ru-RU"/>
        </w:rPr>
        <w:t>,</w:t>
      </w:r>
      <w:r w:rsidR="00016006" w:rsidRPr="00411576">
        <w:rPr>
          <w:lang w:val="ru-RU"/>
        </w:rPr>
        <w:t xml:space="preserve"> и любые дальнейшие прения и задержки бесполезны. Пре</w:t>
      </w:r>
      <w:r w:rsidRPr="00411576">
        <w:rPr>
          <w:lang w:val="ru-RU"/>
        </w:rPr>
        <w:t>ния следует прекратить.</w:t>
      </w:r>
    </w:p>
    <w:p w14:paraId="74E239E6" w14:textId="0D4C694B" w:rsidR="003C1802" w:rsidRPr="00411576" w:rsidRDefault="003C1802" w:rsidP="003C1802">
      <w:pPr>
        <w:rPr>
          <w:lang w:val="ru-RU"/>
        </w:rPr>
      </w:pPr>
      <w:r w:rsidRPr="00411576">
        <w:rPr>
          <w:lang w:val="ru-RU"/>
        </w:rPr>
        <w:t>2.</w:t>
      </w:r>
      <w:r w:rsidR="00DE67F7" w:rsidRPr="00411576">
        <w:rPr>
          <w:lang w:val="ru-RU"/>
        </w:rPr>
        <w:t>8</w:t>
      </w:r>
      <w:r w:rsidRPr="00411576">
        <w:rPr>
          <w:lang w:val="ru-RU"/>
        </w:rPr>
        <w:tab/>
        <w:t>По просьбе Председателя Советник по правовым вопросам разъясняет, что на рассмотрении Совета находится предложение о переносе прений в соответствии с п.</w:t>
      </w:r>
      <w:r w:rsidR="000F2AF8">
        <w:t> </w:t>
      </w:r>
      <w:r w:rsidRPr="00411576">
        <w:rPr>
          <w:lang w:val="ru-RU"/>
        </w:rPr>
        <w:t>106 Общего регламента. Если предложение о переносе будет поддержано, Совет продолжит обсуждение других пунктов повестки дня и вернется к обсуждению данного пункта, включая голосование по предложению о прекращении прений, на своей следующей сессии.</w:t>
      </w:r>
    </w:p>
    <w:p w14:paraId="25D418FB" w14:textId="41007A57" w:rsidR="003C1802" w:rsidRPr="00411576" w:rsidRDefault="003C1802" w:rsidP="003C1802">
      <w:pPr>
        <w:rPr>
          <w:lang w:val="ru-RU"/>
        </w:rPr>
      </w:pPr>
      <w:r w:rsidRPr="00411576">
        <w:rPr>
          <w:lang w:val="ru-RU"/>
        </w:rPr>
        <w:t>2.</w:t>
      </w:r>
      <w:r w:rsidR="00DE67F7" w:rsidRPr="00411576">
        <w:rPr>
          <w:lang w:val="ru-RU"/>
        </w:rPr>
        <w:t>9</w:t>
      </w:r>
      <w:r w:rsidRPr="00411576">
        <w:rPr>
          <w:lang w:val="ru-RU"/>
        </w:rPr>
        <w:tab/>
        <w:t>От имени Председателя Советник по правовым вопросам, подтвердив наличие кворума, объявляет о проведении голосования по предложению о переносе прений поднятием рук и объявляет о начале голосования.</w:t>
      </w:r>
    </w:p>
    <w:p w14:paraId="54CF0DE7" w14:textId="7E98C990" w:rsidR="003C1802" w:rsidRPr="00411576" w:rsidRDefault="003C1802" w:rsidP="003C1802">
      <w:pPr>
        <w:rPr>
          <w:lang w:val="ru-RU"/>
        </w:rPr>
      </w:pPr>
      <w:r w:rsidRPr="00411576">
        <w:rPr>
          <w:lang w:val="ru-RU"/>
        </w:rPr>
        <w:t>2.</w:t>
      </w:r>
      <w:r w:rsidR="00DE67F7" w:rsidRPr="00411576">
        <w:rPr>
          <w:lang w:val="ru-RU"/>
        </w:rPr>
        <w:t>10</w:t>
      </w:r>
      <w:r w:rsidRPr="00411576">
        <w:rPr>
          <w:lang w:val="ru-RU"/>
        </w:rPr>
        <w:tab/>
        <w:t>Председатель объявляет результаты голосования:</w:t>
      </w:r>
    </w:p>
    <w:p w14:paraId="26554404" w14:textId="77777777" w:rsidR="003C1802" w:rsidRPr="00411576" w:rsidRDefault="003C1802" w:rsidP="002749F2">
      <w:pPr>
        <w:pStyle w:val="enumlev2"/>
        <w:tabs>
          <w:tab w:val="clear" w:pos="794"/>
          <w:tab w:val="clear" w:pos="1588"/>
          <w:tab w:val="clear" w:pos="1985"/>
          <w:tab w:val="clear" w:pos="2608"/>
          <w:tab w:val="clear" w:pos="3345"/>
          <w:tab w:val="right" w:pos="7797"/>
        </w:tabs>
        <w:rPr>
          <w:lang w:val="ru-RU"/>
        </w:rPr>
      </w:pPr>
      <w:r w:rsidRPr="00411576">
        <w:rPr>
          <w:lang w:val="ru-RU"/>
        </w:rPr>
        <w:t>Количество присутствующих и участвующих в голосовании делегаций:</w:t>
      </w:r>
      <w:r w:rsidRPr="00411576">
        <w:rPr>
          <w:lang w:val="ru-RU"/>
        </w:rPr>
        <w:tab/>
        <w:t>29</w:t>
      </w:r>
    </w:p>
    <w:p w14:paraId="301F12EA" w14:textId="40F21435" w:rsidR="003C1802" w:rsidRPr="00411576" w:rsidRDefault="003C1802" w:rsidP="002749F2">
      <w:pPr>
        <w:pStyle w:val="enumlev2"/>
        <w:tabs>
          <w:tab w:val="clear" w:pos="794"/>
          <w:tab w:val="clear" w:pos="1588"/>
          <w:tab w:val="clear" w:pos="1985"/>
          <w:tab w:val="clear" w:pos="2608"/>
          <w:tab w:val="clear" w:pos="3345"/>
          <w:tab w:val="right" w:pos="7797"/>
        </w:tabs>
        <w:rPr>
          <w:lang w:val="ru-RU"/>
        </w:rPr>
      </w:pPr>
      <w:r w:rsidRPr="00411576">
        <w:rPr>
          <w:lang w:val="ru-RU"/>
        </w:rPr>
        <w:t>Необходимое большинство:</w:t>
      </w:r>
      <w:r w:rsidRPr="00411576">
        <w:rPr>
          <w:lang w:val="ru-RU"/>
        </w:rPr>
        <w:tab/>
        <w:t>15</w:t>
      </w:r>
    </w:p>
    <w:p w14:paraId="33255D18" w14:textId="061DA6AB" w:rsidR="003C1802" w:rsidRPr="00411576" w:rsidRDefault="003C1802" w:rsidP="002749F2">
      <w:pPr>
        <w:pStyle w:val="enumlev2"/>
        <w:tabs>
          <w:tab w:val="clear" w:pos="794"/>
          <w:tab w:val="clear" w:pos="1588"/>
          <w:tab w:val="clear" w:pos="1985"/>
          <w:tab w:val="clear" w:pos="2608"/>
          <w:tab w:val="clear" w:pos="3345"/>
          <w:tab w:val="right" w:pos="7797"/>
        </w:tabs>
        <w:rPr>
          <w:lang w:val="ru-RU"/>
        </w:rPr>
      </w:pPr>
      <w:r w:rsidRPr="00411576">
        <w:rPr>
          <w:lang w:val="ru-RU"/>
        </w:rPr>
        <w:t>Голосовали за предложение:</w:t>
      </w:r>
      <w:r w:rsidRPr="00411576">
        <w:rPr>
          <w:lang w:val="ru-RU"/>
        </w:rPr>
        <w:tab/>
        <w:t>16</w:t>
      </w:r>
    </w:p>
    <w:p w14:paraId="3B714380" w14:textId="5EE918EF" w:rsidR="003C1802" w:rsidRPr="00411576" w:rsidRDefault="003C1802" w:rsidP="002749F2">
      <w:pPr>
        <w:pStyle w:val="enumlev2"/>
        <w:tabs>
          <w:tab w:val="clear" w:pos="794"/>
          <w:tab w:val="clear" w:pos="1588"/>
          <w:tab w:val="clear" w:pos="1985"/>
          <w:tab w:val="clear" w:pos="2608"/>
          <w:tab w:val="clear" w:pos="3345"/>
          <w:tab w:val="right" w:pos="7797"/>
        </w:tabs>
        <w:rPr>
          <w:lang w:val="ru-RU"/>
        </w:rPr>
      </w:pPr>
      <w:r w:rsidRPr="00411576">
        <w:rPr>
          <w:lang w:val="ru-RU"/>
        </w:rPr>
        <w:t>Голосовали против предложения:</w:t>
      </w:r>
      <w:r w:rsidRPr="00411576">
        <w:rPr>
          <w:lang w:val="ru-RU"/>
        </w:rPr>
        <w:tab/>
        <w:t>13</w:t>
      </w:r>
    </w:p>
    <w:p w14:paraId="033760EB" w14:textId="4E748108" w:rsidR="003C1802" w:rsidRPr="00411576" w:rsidRDefault="003C1802" w:rsidP="002749F2">
      <w:pPr>
        <w:pStyle w:val="enumlev2"/>
        <w:tabs>
          <w:tab w:val="clear" w:pos="794"/>
          <w:tab w:val="clear" w:pos="1588"/>
          <w:tab w:val="clear" w:pos="1985"/>
          <w:tab w:val="clear" w:pos="2608"/>
          <w:tab w:val="clear" w:pos="3345"/>
          <w:tab w:val="right" w:pos="7797"/>
        </w:tabs>
        <w:rPr>
          <w:lang w:val="ru-RU"/>
        </w:rPr>
      </w:pPr>
      <w:r w:rsidRPr="00411576">
        <w:rPr>
          <w:lang w:val="ru-RU"/>
        </w:rPr>
        <w:t>Воздержались:</w:t>
      </w:r>
      <w:r w:rsidRPr="00411576">
        <w:rPr>
          <w:lang w:val="ru-RU"/>
        </w:rPr>
        <w:tab/>
        <w:t>9</w:t>
      </w:r>
    </w:p>
    <w:p w14:paraId="7E8DBB8F" w14:textId="755D7F97" w:rsidR="003C1802" w:rsidRPr="00411576" w:rsidRDefault="003C1802" w:rsidP="003C1802">
      <w:pPr>
        <w:rPr>
          <w:lang w:val="ru-RU"/>
        </w:rPr>
      </w:pPr>
      <w:r w:rsidRPr="00411576">
        <w:rPr>
          <w:lang w:val="ru-RU"/>
        </w:rPr>
        <w:t>2.1</w:t>
      </w:r>
      <w:r w:rsidR="00DE67F7" w:rsidRPr="00411576">
        <w:rPr>
          <w:lang w:val="ru-RU"/>
        </w:rPr>
        <w:t>1</w:t>
      </w:r>
      <w:r w:rsidRPr="00411576">
        <w:rPr>
          <w:lang w:val="ru-RU"/>
        </w:rPr>
        <w:tab/>
        <w:t xml:space="preserve">Предложение о переносе прений </w:t>
      </w:r>
      <w:r w:rsidRPr="00411576">
        <w:rPr>
          <w:b/>
          <w:bCs/>
          <w:lang w:val="ru-RU"/>
        </w:rPr>
        <w:t xml:space="preserve">поддерживается </w:t>
      </w:r>
      <w:r w:rsidRPr="00411576">
        <w:rPr>
          <w:lang w:val="ru-RU"/>
        </w:rPr>
        <w:t>16 голосами против 13 при 9</w:t>
      </w:r>
      <w:r w:rsidR="003F2CAA" w:rsidRPr="00411576">
        <w:rPr>
          <w:lang w:val="ru-RU"/>
        </w:rPr>
        <w:t> </w:t>
      </w:r>
      <w:r w:rsidRPr="00411576">
        <w:rPr>
          <w:lang w:val="ru-RU"/>
        </w:rPr>
        <w:t>воздержавшихся.</w:t>
      </w:r>
    </w:p>
    <w:p w14:paraId="1E6152E4" w14:textId="65593DB7" w:rsidR="003C1802" w:rsidRPr="00411576" w:rsidRDefault="003C1802" w:rsidP="003C1802">
      <w:pPr>
        <w:rPr>
          <w:lang w:val="ru-RU"/>
        </w:rPr>
      </w:pPr>
      <w:r w:rsidRPr="00411576">
        <w:rPr>
          <w:lang w:val="ru-RU"/>
        </w:rPr>
        <w:t>2.1</w:t>
      </w:r>
      <w:r w:rsidR="00DE67F7" w:rsidRPr="00411576">
        <w:rPr>
          <w:lang w:val="ru-RU"/>
        </w:rPr>
        <w:t>2</w:t>
      </w:r>
      <w:r w:rsidRPr="00411576">
        <w:rPr>
          <w:lang w:val="ru-RU"/>
        </w:rPr>
        <w:tab/>
        <w:t>Советник по правовым вопросам говорит, что в результате Совет возобновит обсуждение этого пункта на своем следующем заседании.</w:t>
      </w:r>
    </w:p>
    <w:p w14:paraId="16B5BBA3" w14:textId="334E7CC0" w:rsidR="003C1802" w:rsidRPr="00411576" w:rsidRDefault="003C1802" w:rsidP="003C1802">
      <w:pPr>
        <w:pStyle w:val="Heading1"/>
        <w:rPr>
          <w:lang w:val="ru-RU"/>
        </w:rPr>
      </w:pPr>
      <w:r w:rsidRPr="00411576">
        <w:rPr>
          <w:bCs/>
          <w:lang w:val="ru-RU"/>
        </w:rPr>
        <w:t>3</w:t>
      </w:r>
      <w:r w:rsidRPr="00411576">
        <w:rPr>
          <w:lang w:val="ru-RU"/>
        </w:rPr>
        <w:tab/>
      </w:r>
      <w:r w:rsidRPr="00411576">
        <w:rPr>
          <w:bCs/>
          <w:lang w:val="ru-RU"/>
        </w:rPr>
        <w:t>Деятельность МСЭ по выполнению Резолюции 1429 (C24) Совета об</w:t>
      </w:r>
      <w:r w:rsidR="000F2AF8">
        <w:rPr>
          <w:bCs/>
        </w:rPr>
        <w:t> </w:t>
      </w:r>
      <w:r w:rsidRPr="00411576">
        <w:rPr>
          <w:bCs/>
          <w:lang w:val="ru-RU"/>
        </w:rPr>
        <w:t>экологической устойчивости (Документ</w:t>
      </w:r>
      <w:r w:rsidRPr="00411576">
        <w:rPr>
          <w:lang w:val="ru-RU"/>
        </w:rPr>
        <w:t xml:space="preserve"> </w:t>
      </w:r>
      <w:hyperlink r:id="rId20" w:history="1">
        <w:r w:rsidRPr="00411576">
          <w:rPr>
            <w:rStyle w:val="Hyperlink"/>
            <w:lang w:val="ru-RU"/>
          </w:rPr>
          <w:t>C25/45</w:t>
        </w:r>
      </w:hyperlink>
      <w:r w:rsidRPr="00411576">
        <w:rPr>
          <w:lang w:val="ru-RU"/>
        </w:rPr>
        <w:t>)</w:t>
      </w:r>
      <w:hyperlink r:id="rId21"/>
    </w:p>
    <w:p w14:paraId="54EC28A4" w14:textId="77777777" w:rsidR="003C1802" w:rsidRPr="00411576" w:rsidRDefault="003C1802" w:rsidP="003C1802">
      <w:pPr>
        <w:rPr>
          <w:lang w:val="ru-RU"/>
        </w:rPr>
      </w:pPr>
      <w:r w:rsidRPr="00411576">
        <w:rPr>
          <w:lang w:val="ru-RU"/>
        </w:rPr>
        <w:t>3.1</w:t>
      </w:r>
      <w:r w:rsidRPr="00411576">
        <w:rPr>
          <w:lang w:val="ru-RU"/>
        </w:rPr>
        <w:tab/>
        <w:t xml:space="preserve">Представитель Генерального секретариата представляет Документ C25/45, в котором кратко излагается ход выполнения Резолюции 1429 (C24) Совета об экологической устойчивости. Отчет дополняет сведения о деятельности по борьбе с изменением климата и обеспечению устойчивой цифровой трансформации, изложенные в отчете о выполнении Стратегического плана и о деятельности Союза за 2024−2025 годы (Документ </w:t>
      </w:r>
      <w:hyperlink r:id="rId22" w:history="1">
        <w:r w:rsidRPr="00411576">
          <w:rPr>
            <w:rStyle w:val="Hyperlink"/>
            <w:lang w:val="ru-RU"/>
          </w:rPr>
          <w:t>C25/35</w:t>
        </w:r>
      </w:hyperlink>
      <w:r w:rsidRPr="00411576">
        <w:rPr>
          <w:lang w:val="ru-RU"/>
        </w:rPr>
        <w:t>).</w:t>
      </w:r>
      <w:hyperlink r:id="rId23" w:history="1"/>
    </w:p>
    <w:p w14:paraId="02DFFFE9" w14:textId="238E8154" w:rsidR="003C1802" w:rsidRPr="00411576" w:rsidRDefault="003C1802" w:rsidP="003C1802">
      <w:pPr>
        <w:rPr>
          <w:lang w:val="ru-RU"/>
        </w:rPr>
      </w:pPr>
      <w:r w:rsidRPr="00411576">
        <w:rPr>
          <w:lang w:val="ru-RU"/>
        </w:rPr>
        <w:t>3.2</w:t>
      </w:r>
      <w:r w:rsidRPr="00411576">
        <w:rPr>
          <w:lang w:val="ru-RU"/>
        </w:rPr>
        <w:tab/>
        <w:t>Два Советника приветствуют усилия по повышению экологической устойчивости МСЭ; вместе с тем один из них выражает обеспокоенность в связи с отсутствием сокращения выбросов CO</w:t>
      </w:r>
      <w:r w:rsidRPr="00411576">
        <w:rPr>
          <w:vertAlign w:val="subscript"/>
          <w:lang w:val="ru-RU"/>
        </w:rPr>
        <w:t>2</w:t>
      </w:r>
      <w:r w:rsidRPr="00411576">
        <w:rPr>
          <w:lang w:val="ru-RU"/>
        </w:rPr>
        <w:t xml:space="preserve"> и призывает к принятию конкретных стратегических мер, согласованных с</w:t>
      </w:r>
      <w:r w:rsidR="000F2AF8">
        <w:t> </w:t>
      </w:r>
      <w:r w:rsidRPr="00411576">
        <w:rPr>
          <w:lang w:val="ru-RU"/>
        </w:rPr>
        <w:t>руководящими принципами обеспечения устойчивости и, в частности, направленных на</w:t>
      </w:r>
      <w:r w:rsidR="000F2AF8">
        <w:t> </w:t>
      </w:r>
      <w:r w:rsidRPr="00411576">
        <w:rPr>
          <w:lang w:val="ru-RU"/>
        </w:rPr>
        <w:t>сокращение количества оплаченных МСЭ авиарейсов.</w:t>
      </w:r>
    </w:p>
    <w:p w14:paraId="6669496F" w14:textId="1882F475" w:rsidR="003C1802" w:rsidRPr="00411576" w:rsidRDefault="003C1802" w:rsidP="003C1802">
      <w:pPr>
        <w:rPr>
          <w:lang w:val="ru-RU"/>
        </w:rPr>
      </w:pPr>
      <w:r w:rsidRPr="00411576">
        <w:rPr>
          <w:lang w:val="ru-RU"/>
        </w:rPr>
        <w:t>3.3</w:t>
      </w:r>
      <w:r w:rsidRPr="00411576">
        <w:rPr>
          <w:lang w:val="ru-RU"/>
        </w:rPr>
        <w:tab/>
        <w:t>Представитель Генерального секретариата отвечает, что рабочая группа по системе экологического менеджмента была укреплена и предложила различные меры, которые в</w:t>
      </w:r>
      <w:r w:rsidR="000F2AF8">
        <w:t> </w:t>
      </w:r>
      <w:r w:rsidRPr="00411576">
        <w:rPr>
          <w:lang w:val="ru-RU"/>
        </w:rPr>
        <w:t>настоящее время рассматриваются Координационным комитетом. Союзу необходимо продемонстрировать ведущую роль в области обеспечения экологической устойчивости и повышения экологической эффективности сектора.</w:t>
      </w:r>
    </w:p>
    <w:p w14:paraId="70332594" w14:textId="77777777" w:rsidR="003C1802" w:rsidRPr="00411576" w:rsidRDefault="003C1802" w:rsidP="003C1802">
      <w:pPr>
        <w:rPr>
          <w:lang w:val="ru-RU"/>
        </w:rPr>
      </w:pPr>
      <w:r w:rsidRPr="00411576">
        <w:rPr>
          <w:lang w:val="ru-RU"/>
        </w:rPr>
        <w:t>3.4</w:t>
      </w:r>
      <w:r w:rsidRPr="00411576">
        <w:rPr>
          <w:lang w:val="ru-RU"/>
        </w:rPr>
        <w:tab/>
        <w:t xml:space="preserve">Совет </w:t>
      </w:r>
      <w:r w:rsidRPr="00411576">
        <w:rPr>
          <w:b/>
          <w:bCs/>
          <w:lang w:val="ru-RU"/>
        </w:rPr>
        <w:t xml:space="preserve">принимает к сведению </w:t>
      </w:r>
      <w:r w:rsidRPr="00411576">
        <w:rPr>
          <w:lang w:val="ru-RU"/>
        </w:rPr>
        <w:t>отчет, содержащийся в Документе C25/45.</w:t>
      </w:r>
    </w:p>
    <w:p w14:paraId="75359214" w14:textId="6E328BD5" w:rsidR="003C1802" w:rsidRPr="00411576" w:rsidRDefault="003C1802" w:rsidP="003C1802">
      <w:pPr>
        <w:pStyle w:val="Heading1"/>
        <w:rPr>
          <w:lang w:val="ru-RU"/>
        </w:rPr>
      </w:pPr>
      <w:r w:rsidRPr="00411576">
        <w:rPr>
          <w:bCs/>
          <w:lang w:val="ru-RU"/>
        </w:rPr>
        <w:t>4</w:t>
      </w:r>
      <w:r w:rsidRPr="00411576">
        <w:rPr>
          <w:lang w:val="ru-RU"/>
        </w:rPr>
        <w:tab/>
      </w:r>
      <w:r w:rsidRPr="00411576">
        <w:rPr>
          <w:bCs/>
          <w:lang w:val="ru-RU"/>
        </w:rPr>
        <w:t>Деятельность в поддержку восстановления инфраструктуры в</w:t>
      </w:r>
      <w:r w:rsidR="000F2AF8">
        <w:rPr>
          <w:bCs/>
        </w:rPr>
        <w:t> </w:t>
      </w:r>
      <w:r w:rsidRPr="00411576">
        <w:rPr>
          <w:bCs/>
          <w:lang w:val="ru-RU"/>
        </w:rPr>
        <w:t>заинтересованных странах (Документ</w:t>
      </w:r>
      <w:r w:rsidRPr="00411576">
        <w:rPr>
          <w:lang w:val="ru-RU"/>
        </w:rPr>
        <w:t xml:space="preserve"> </w:t>
      </w:r>
      <w:hyperlink r:id="rId24" w:history="1">
        <w:r w:rsidRPr="00411576">
          <w:rPr>
            <w:rStyle w:val="Hyperlink"/>
            <w:lang w:val="ru-RU"/>
          </w:rPr>
          <w:t>C25/72</w:t>
        </w:r>
      </w:hyperlink>
      <w:r w:rsidRPr="00411576">
        <w:rPr>
          <w:lang w:val="ru-RU"/>
        </w:rPr>
        <w:t>)</w:t>
      </w:r>
      <w:hyperlink r:id="rId25"/>
    </w:p>
    <w:p w14:paraId="2331F816" w14:textId="2D3ACF31" w:rsidR="003C1802" w:rsidRPr="00411576" w:rsidRDefault="003C1802" w:rsidP="003C1802">
      <w:pPr>
        <w:rPr>
          <w:lang w:val="ru-RU"/>
        </w:rPr>
      </w:pPr>
      <w:r w:rsidRPr="00411576">
        <w:rPr>
          <w:lang w:val="ru-RU"/>
        </w:rPr>
        <w:t>4.1</w:t>
      </w:r>
      <w:r w:rsidRPr="00411576">
        <w:rPr>
          <w:lang w:val="ru-RU"/>
        </w:rPr>
        <w:tab/>
        <w:t>Заместитель Директора Бюро развития электросвязи (БРЭ) представляет Документ</w:t>
      </w:r>
      <w:r w:rsidR="000F2AF8">
        <w:t> </w:t>
      </w:r>
      <w:r w:rsidRPr="00411576">
        <w:rPr>
          <w:lang w:val="ru-RU"/>
        </w:rPr>
        <w:t>C25/72, содержащий подробный обзор деятельности МСЭ по оказанию поддержки Государствам-Членам в восстановлении инфраструктуры информационно-коммуникационных технологий (ИКТ). Отчет подготовлен в ответ на просьбу, озвученную на сессии Совета 2024</w:t>
      </w:r>
      <w:r w:rsidR="00EF5DF1" w:rsidRPr="00411576">
        <w:rPr>
          <w:lang w:val="ru-RU"/>
        </w:rPr>
        <w:t> </w:t>
      </w:r>
      <w:r w:rsidRPr="00411576">
        <w:rPr>
          <w:lang w:val="ru-RU"/>
        </w:rPr>
        <w:t>года.</w:t>
      </w:r>
    </w:p>
    <w:p w14:paraId="4F073058" w14:textId="77777777" w:rsidR="003C1802" w:rsidRPr="00411576" w:rsidRDefault="003C1802" w:rsidP="003C1802">
      <w:pPr>
        <w:rPr>
          <w:lang w:val="ru-RU"/>
        </w:rPr>
      </w:pPr>
      <w:r w:rsidRPr="00411576">
        <w:rPr>
          <w:lang w:val="ru-RU"/>
        </w:rPr>
        <w:t>4.2</w:t>
      </w:r>
      <w:r w:rsidRPr="00411576">
        <w:rPr>
          <w:lang w:val="ru-RU"/>
        </w:rPr>
        <w:tab/>
        <w:t>Один из Советников приветствует отчет, отмечая, что ни одна из стран, получивших поддержку в соответствии с Резолюцией 34 (</w:t>
      </w:r>
      <w:proofErr w:type="spellStart"/>
      <w:r w:rsidRPr="00411576">
        <w:rPr>
          <w:lang w:val="ru-RU"/>
        </w:rPr>
        <w:t>Пересм</w:t>
      </w:r>
      <w:proofErr w:type="spellEnd"/>
      <w:r w:rsidRPr="00411576">
        <w:rPr>
          <w:lang w:val="ru-RU"/>
        </w:rPr>
        <w:t>. Дубай, 2022 г.) Полномочной конференции (ПК) или резолюциями ПК и Совета по конкретным странам, не является Государством – Членом Совета; таким образом, необходимо проявлять бдительность и осуществлять надзор. Говоря об отчетности и деятельности по оказанию помощи таким странам, он призывает к большей справедливости и настаивает на том, чтобы удовлетворять потребности всех стран. Он добавляет, что платформы, разработанные для стран, недавно пострадавших от бедствий, могут быть адаптированы для поддержки других стран.</w:t>
      </w:r>
    </w:p>
    <w:p w14:paraId="61D67D54" w14:textId="0F4A70C3" w:rsidR="003C1802" w:rsidRPr="00411576" w:rsidRDefault="003C1802" w:rsidP="003C1802">
      <w:pPr>
        <w:rPr>
          <w:lang w:val="ru-RU"/>
        </w:rPr>
      </w:pPr>
      <w:r w:rsidRPr="00411576">
        <w:rPr>
          <w:lang w:val="ru-RU"/>
        </w:rPr>
        <w:t>4.3</w:t>
      </w:r>
      <w:r w:rsidRPr="00411576">
        <w:rPr>
          <w:lang w:val="ru-RU"/>
        </w:rPr>
        <w:tab/>
        <w:t>Наблюдатель от Российской Федерации выражает обеспокоенность в связи с отсутствием прогресса в восстановлении инфраструктуры электросвязи в Палестине, а также в</w:t>
      </w:r>
      <w:r w:rsidR="000F2AF8">
        <w:t> </w:t>
      </w:r>
      <w:r w:rsidRPr="00411576">
        <w:rPr>
          <w:lang w:val="ru-RU"/>
        </w:rPr>
        <w:t>связи с отсутствием реакции Генерального секретаря на прямые атаки Израиля на инфраструктуру электросвязи в Исламской Республике Иран. Наблюдатель от Израиля отвергает это обвинение, заявляя, что правительство ее страны нанесло удары по законным военным целям, в отличие от Исламской Республики Иран, которая нанесла удары по</w:t>
      </w:r>
      <w:r w:rsidR="000F2AF8">
        <w:t> </w:t>
      </w:r>
      <w:r w:rsidRPr="00411576">
        <w:rPr>
          <w:lang w:val="ru-RU"/>
        </w:rPr>
        <w:t>гражданскому населению и гражданской инфраструктуре.</w:t>
      </w:r>
    </w:p>
    <w:p w14:paraId="7C92E5CA" w14:textId="77777777" w:rsidR="003C1802" w:rsidRPr="00411576" w:rsidRDefault="003C1802" w:rsidP="003C1802">
      <w:pPr>
        <w:rPr>
          <w:lang w:val="ru-RU"/>
        </w:rPr>
      </w:pPr>
      <w:r w:rsidRPr="00411576">
        <w:rPr>
          <w:lang w:val="ru-RU"/>
        </w:rPr>
        <w:t>4.4</w:t>
      </w:r>
      <w:r w:rsidRPr="00411576">
        <w:rPr>
          <w:lang w:val="ru-RU"/>
        </w:rPr>
        <w:tab/>
        <w:t>Заместитель Директора БРЭ отмечает, что деятельность по восстановлению инфраструктуры была включена в оперативный план БРЭ с целью оптимизации использования ресурсов и во избежание дублирования. Консультативной группе по развитию электросвязи предоставляются отчеты и информационные панели для содействия надзору со стороны Государств-Членов.</w:t>
      </w:r>
    </w:p>
    <w:p w14:paraId="2A867444" w14:textId="77777777" w:rsidR="003C1802" w:rsidRPr="00411576" w:rsidRDefault="003C1802" w:rsidP="003C1802">
      <w:pPr>
        <w:rPr>
          <w:lang w:val="ru-RU"/>
        </w:rPr>
      </w:pPr>
      <w:r w:rsidRPr="00411576">
        <w:rPr>
          <w:lang w:val="ru-RU"/>
        </w:rPr>
        <w:t>4.5</w:t>
      </w:r>
      <w:r w:rsidRPr="00411576">
        <w:rPr>
          <w:lang w:val="ru-RU"/>
        </w:rPr>
        <w:tab/>
        <w:t xml:space="preserve">Директор БРЭ отмечает, что в 2001 году – после принятия Резолюции 34 ПК в Киото в 1994 году – МСЭ начал оказывать содействие в восстановлении инфраструктуры странам, преодолевающим последствия конфликтов, и это стало возможным, в основном, благодаря взносам доноров. Несмотря на отсутствие специального бюджета на восстановление инфраструктуры, МСЭ добился </w:t>
      </w:r>
      <w:proofErr w:type="gramStart"/>
      <w:r w:rsidRPr="00411576">
        <w:rPr>
          <w:lang w:val="ru-RU"/>
        </w:rPr>
        <w:t>значительных результатов</w:t>
      </w:r>
      <w:proofErr w:type="gramEnd"/>
      <w:r w:rsidRPr="00411576">
        <w:rPr>
          <w:lang w:val="ru-RU"/>
        </w:rPr>
        <w:t>. Учитывая различные уровни развития стран, нуждающихся в поддержке, секретариат проводит анализ пробелов и оценку степени разрушений, прежде чем обратиться к донорам. Выступающий призывает Государства-Члены оказать поддержку подобным усилиям. Он поясняет, что в соответствии с политикой Организации Объединенных Наций вмешательство в жизнь стран, находящихся в активной фазе конфликта, ограничивается базовыми услугами гуманитарной помощи, но подчеркивает приверженность секретариата оказанию помощи странам, преодолевающим последствия конфликтов и стихийных бедствий.</w:t>
      </w:r>
    </w:p>
    <w:p w14:paraId="03270E2D" w14:textId="77777777" w:rsidR="003C1802" w:rsidRPr="00411576" w:rsidRDefault="003C1802" w:rsidP="003C1802">
      <w:pPr>
        <w:rPr>
          <w:lang w:val="ru-RU"/>
        </w:rPr>
      </w:pPr>
      <w:r w:rsidRPr="00411576">
        <w:rPr>
          <w:lang w:val="ru-RU"/>
        </w:rPr>
        <w:t>4.6</w:t>
      </w:r>
      <w:r w:rsidRPr="00411576">
        <w:rPr>
          <w:lang w:val="ru-RU"/>
        </w:rPr>
        <w:tab/>
        <w:t xml:space="preserve">Совет </w:t>
      </w:r>
      <w:r w:rsidRPr="00411576">
        <w:rPr>
          <w:b/>
          <w:bCs/>
          <w:lang w:val="ru-RU"/>
        </w:rPr>
        <w:t>принимает к сведению</w:t>
      </w:r>
      <w:r w:rsidRPr="00411576">
        <w:rPr>
          <w:lang w:val="ru-RU"/>
        </w:rPr>
        <w:t xml:space="preserve"> отчет, содержащийся в Документе C25/72.</w:t>
      </w:r>
    </w:p>
    <w:p w14:paraId="0C57940A" w14:textId="77777777" w:rsidR="003C1802" w:rsidRPr="00411576" w:rsidRDefault="003C1802" w:rsidP="003C1802">
      <w:pPr>
        <w:pStyle w:val="Heading1"/>
        <w:rPr>
          <w:lang w:val="ru-RU"/>
        </w:rPr>
      </w:pPr>
      <w:r w:rsidRPr="00411576">
        <w:rPr>
          <w:lang w:val="ru-RU"/>
        </w:rPr>
        <w:t>5</w:t>
      </w:r>
      <w:r w:rsidRPr="00411576">
        <w:rPr>
          <w:lang w:val="ru-RU"/>
        </w:rPr>
        <w:tab/>
        <w:t xml:space="preserve">Отчет о состоянии дел с оказанием помощи и поддержки Палестине (Документ </w:t>
      </w:r>
      <w:hyperlink r:id="rId26">
        <w:r w:rsidRPr="00411576">
          <w:rPr>
            <w:rStyle w:val="Hyperlink"/>
            <w:lang w:val="ru-RU"/>
          </w:rPr>
          <w:t>C25/71</w:t>
        </w:r>
      </w:hyperlink>
      <w:r w:rsidRPr="00411576">
        <w:rPr>
          <w:lang w:val="ru-RU"/>
        </w:rPr>
        <w:t>)</w:t>
      </w:r>
      <w:hyperlink r:id="rId27"/>
    </w:p>
    <w:p w14:paraId="16D70640" w14:textId="375B4E29" w:rsidR="003C1802" w:rsidRPr="00411576" w:rsidRDefault="003C1802" w:rsidP="003C1802">
      <w:pPr>
        <w:rPr>
          <w:lang w:val="ru-RU"/>
        </w:rPr>
      </w:pPr>
      <w:r w:rsidRPr="00411576">
        <w:rPr>
          <w:lang w:val="ru-RU"/>
        </w:rPr>
        <w:t>5.1</w:t>
      </w:r>
      <w:r w:rsidRPr="00411576">
        <w:rPr>
          <w:lang w:val="ru-RU"/>
        </w:rPr>
        <w:tab/>
        <w:t>Региональный директор Регионального отделения для арабских государств представляет Документ C25/71, в котором подробно описывается выполнение Резолюции</w:t>
      </w:r>
      <w:r w:rsidR="000F2AF8">
        <w:t> </w:t>
      </w:r>
      <w:r w:rsidRPr="00411576">
        <w:rPr>
          <w:lang w:val="ru-RU"/>
        </w:rPr>
        <w:t xml:space="preserve">1424 (C24) Совета </w:t>
      </w:r>
      <w:r w:rsidR="00DE67F7" w:rsidRPr="00411576">
        <w:rPr>
          <w:lang w:val="ru-RU"/>
        </w:rPr>
        <w:t xml:space="preserve">различными Бюро Союза (включая Генеральный Секретариат, Бюро радиосвязи и Бюро развития электросвязи) </w:t>
      </w:r>
      <w:r w:rsidRPr="00411576">
        <w:rPr>
          <w:lang w:val="ru-RU"/>
        </w:rPr>
        <w:t xml:space="preserve">и содержится отчет о состоянии дел с оказанием помощи и поддержки Палестине. Он обращает внимание на значительный ущерб, нанесенный инфраструктуре ИКТ, и приводит оценку затрат на ее восстановление, а также рассказывает о мерах, принятых за прошедший год. К их числу относятся создание </w:t>
      </w:r>
      <w:proofErr w:type="spellStart"/>
      <w:r w:rsidRPr="00411576">
        <w:rPr>
          <w:lang w:val="ru-RU"/>
        </w:rPr>
        <w:t>Межсекторальной</w:t>
      </w:r>
      <w:proofErr w:type="spellEnd"/>
      <w:r w:rsidRPr="00411576">
        <w:rPr>
          <w:lang w:val="ru-RU"/>
        </w:rPr>
        <w:t xml:space="preserve"> целевой группы по выполнению резолюции, сотрудничество с Тематическим блоком по вопросам электросвязи в чрезвычайных ситуациях (ETC) Организации Объединенных Наций, доставка спутниковых телефонов в сектор Газа, </w:t>
      </w:r>
      <w:r w:rsidR="00143C36" w:rsidRPr="00411576">
        <w:rPr>
          <w:lang w:val="ru-RU"/>
        </w:rPr>
        <w:t>участие</w:t>
      </w:r>
      <w:r w:rsidRPr="00411576">
        <w:rPr>
          <w:lang w:val="ru-RU"/>
        </w:rPr>
        <w:t xml:space="preserve"> в промежуточн</w:t>
      </w:r>
      <w:r w:rsidR="00143C36" w:rsidRPr="00411576">
        <w:rPr>
          <w:lang w:val="ru-RU"/>
        </w:rPr>
        <w:t>ой</w:t>
      </w:r>
      <w:r w:rsidRPr="00411576">
        <w:rPr>
          <w:lang w:val="ru-RU"/>
        </w:rPr>
        <w:t xml:space="preserve"> оценк</w:t>
      </w:r>
      <w:r w:rsidR="00143C36" w:rsidRPr="00411576">
        <w:rPr>
          <w:lang w:val="ru-RU"/>
        </w:rPr>
        <w:t>е</w:t>
      </w:r>
      <w:r w:rsidRPr="00411576">
        <w:rPr>
          <w:lang w:val="ru-RU"/>
        </w:rPr>
        <w:t xml:space="preserve"> ущерба</w:t>
      </w:r>
      <w:r w:rsidR="00DE67F7" w:rsidRPr="00411576">
        <w:rPr>
          <w:lang w:val="ru-RU"/>
        </w:rPr>
        <w:t xml:space="preserve"> наряду с другими международными партнерами</w:t>
      </w:r>
      <w:r w:rsidRPr="00411576">
        <w:rPr>
          <w:lang w:val="ru-RU"/>
        </w:rPr>
        <w:t>, а также проведение собраний с</w:t>
      </w:r>
      <w:r w:rsidR="00DE67F7" w:rsidRPr="00411576">
        <w:rPr>
          <w:lang w:val="ru-RU"/>
        </w:rPr>
        <w:t xml:space="preserve"> заинтересованными сторонами Палестины, включая</w:t>
      </w:r>
      <w:r w:rsidRPr="00411576">
        <w:rPr>
          <w:lang w:val="ru-RU"/>
        </w:rPr>
        <w:t xml:space="preserve"> Министерство</w:t>
      </w:r>
      <w:r w:rsidR="00DE67F7" w:rsidRPr="00411576">
        <w:rPr>
          <w:lang w:val="ru-RU"/>
        </w:rPr>
        <w:t xml:space="preserve"> </w:t>
      </w:r>
      <w:r w:rsidRPr="00411576">
        <w:rPr>
          <w:lang w:val="ru-RU"/>
        </w:rPr>
        <w:t>электросвязи и цифровой экономики Палестины</w:t>
      </w:r>
      <w:r w:rsidR="00DE67F7" w:rsidRPr="00411576">
        <w:rPr>
          <w:lang w:val="ru-RU"/>
        </w:rPr>
        <w:t>, операторов электросвязи</w:t>
      </w:r>
      <w:r w:rsidRPr="00411576">
        <w:rPr>
          <w:lang w:val="ru-RU"/>
        </w:rPr>
        <w:t xml:space="preserve"> и други</w:t>
      </w:r>
      <w:r w:rsidR="00DE67F7" w:rsidRPr="00411576">
        <w:rPr>
          <w:lang w:val="ru-RU"/>
        </w:rPr>
        <w:t>е</w:t>
      </w:r>
      <w:r w:rsidRPr="00411576">
        <w:rPr>
          <w:lang w:val="ru-RU"/>
        </w:rPr>
        <w:t xml:space="preserve"> заинтересованны</w:t>
      </w:r>
      <w:r w:rsidR="00DE67F7" w:rsidRPr="00411576">
        <w:rPr>
          <w:lang w:val="ru-RU"/>
        </w:rPr>
        <w:t>е</w:t>
      </w:r>
      <w:r w:rsidRPr="00411576">
        <w:rPr>
          <w:lang w:val="ru-RU"/>
        </w:rPr>
        <w:t xml:space="preserve"> сторон</w:t>
      </w:r>
      <w:r w:rsidR="00DE67F7" w:rsidRPr="00411576">
        <w:rPr>
          <w:lang w:val="ru-RU"/>
        </w:rPr>
        <w:t>ы</w:t>
      </w:r>
      <w:r w:rsidRPr="00411576">
        <w:rPr>
          <w:lang w:val="ru-RU"/>
        </w:rPr>
        <w:t>. Кроме того, Генеральный секретарь, заместитель Генерального секретаря и Директор Бюро радиосвязи продолжают взаимодействие с властями Израиля и Палестины в целях содействия выполнению Резолюции 12 (</w:t>
      </w:r>
      <w:proofErr w:type="spellStart"/>
      <w:r w:rsidRPr="00411576">
        <w:rPr>
          <w:lang w:val="ru-RU"/>
        </w:rPr>
        <w:t>Пересм</w:t>
      </w:r>
      <w:proofErr w:type="spellEnd"/>
      <w:r w:rsidRPr="00411576">
        <w:rPr>
          <w:lang w:val="ru-RU"/>
        </w:rPr>
        <w:t>. ВКР-23) Всемирной конференции радиосвязи, в частности в аспекте обеспечения доступа к радиочастотному спектру и сетям электросвязи 4G и 5G.</w:t>
      </w:r>
    </w:p>
    <w:p w14:paraId="52177BB6" w14:textId="390B06A6" w:rsidR="003C1802" w:rsidRPr="00411576" w:rsidRDefault="003C1802" w:rsidP="003C1802">
      <w:pPr>
        <w:rPr>
          <w:lang w:val="ru-RU"/>
        </w:rPr>
      </w:pPr>
      <w:r w:rsidRPr="00411576">
        <w:rPr>
          <w:lang w:val="ru-RU"/>
        </w:rPr>
        <w:t>5.2</w:t>
      </w:r>
      <w:r w:rsidRPr="00411576">
        <w:rPr>
          <w:lang w:val="ru-RU"/>
        </w:rPr>
        <w:tab/>
        <w:t xml:space="preserve">Наблюдатель от Государства Палестина выступает со следующим заявлением: </w:t>
      </w:r>
      <w:hyperlink r:id="rId28" w:history="1">
        <w:r w:rsidR="00BD6CF1" w:rsidRPr="009203E1">
          <w:rPr>
            <w:rStyle w:val="Hyperlink"/>
            <w:spacing w:val="-2"/>
          </w:rPr>
          <w:t>council</w:t>
        </w:r>
        <w:r w:rsidR="00BD6CF1" w:rsidRPr="007604D0">
          <w:rPr>
            <w:rStyle w:val="Hyperlink"/>
            <w:spacing w:val="-2"/>
            <w:lang w:val="ru-RU"/>
          </w:rPr>
          <w:t>.</w:t>
        </w:r>
        <w:proofErr w:type="spellStart"/>
        <w:r w:rsidR="00BD6CF1" w:rsidRPr="009203E1">
          <w:rPr>
            <w:rStyle w:val="Hyperlink"/>
            <w:spacing w:val="-2"/>
          </w:rPr>
          <w:t>itu</w:t>
        </w:r>
        <w:proofErr w:type="spellEnd"/>
        <w:r w:rsidR="00BD6CF1" w:rsidRPr="007604D0">
          <w:rPr>
            <w:rStyle w:val="Hyperlink"/>
            <w:spacing w:val="-2"/>
            <w:lang w:val="ru-RU"/>
          </w:rPr>
          <w:t>.</w:t>
        </w:r>
        <w:r w:rsidR="00BD6CF1" w:rsidRPr="009203E1">
          <w:rPr>
            <w:rStyle w:val="Hyperlink"/>
            <w:spacing w:val="-2"/>
          </w:rPr>
          <w:t>int</w:t>
        </w:r>
        <w:r w:rsidR="00BD6CF1" w:rsidRPr="007604D0">
          <w:rPr>
            <w:rStyle w:val="Hyperlink"/>
            <w:spacing w:val="-2"/>
            <w:lang w:val="ru-RU"/>
          </w:rPr>
          <w:t>/2025/</w:t>
        </w:r>
        <w:proofErr w:type="spellStart"/>
        <w:r w:rsidR="00BD6CF1" w:rsidRPr="009203E1">
          <w:rPr>
            <w:rStyle w:val="Hyperlink"/>
            <w:spacing w:val="-2"/>
          </w:rPr>
          <w:t>wp</w:t>
        </w:r>
        <w:proofErr w:type="spellEnd"/>
        <w:r w:rsidR="00BD6CF1" w:rsidRPr="007604D0">
          <w:rPr>
            <w:rStyle w:val="Hyperlink"/>
            <w:spacing w:val="-2"/>
            <w:lang w:val="ru-RU"/>
          </w:rPr>
          <w:t>-</w:t>
        </w:r>
        <w:r w:rsidR="00BD6CF1" w:rsidRPr="009203E1">
          <w:rPr>
            <w:rStyle w:val="Hyperlink"/>
            <w:spacing w:val="-2"/>
          </w:rPr>
          <w:t>content</w:t>
        </w:r>
        <w:r w:rsidR="00BD6CF1" w:rsidRPr="007604D0">
          <w:rPr>
            <w:rStyle w:val="Hyperlink"/>
            <w:spacing w:val="-2"/>
            <w:lang w:val="ru-RU"/>
          </w:rPr>
          <w:t>/</w:t>
        </w:r>
        <w:r w:rsidR="00BD6CF1" w:rsidRPr="009203E1">
          <w:rPr>
            <w:rStyle w:val="Hyperlink"/>
            <w:spacing w:val="-2"/>
          </w:rPr>
          <w:t>uploads</w:t>
        </w:r>
        <w:r w:rsidR="00BD6CF1" w:rsidRPr="007604D0">
          <w:rPr>
            <w:rStyle w:val="Hyperlink"/>
            <w:spacing w:val="-2"/>
            <w:lang w:val="ru-RU"/>
          </w:rPr>
          <w:t>/</w:t>
        </w:r>
        <w:r w:rsidR="00BD6CF1" w:rsidRPr="009203E1">
          <w:rPr>
            <w:rStyle w:val="Hyperlink"/>
            <w:spacing w:val="-2"/>
          </w:rPr>
          <w:t>sites</w:t>
        </w:r>
        <w:r w:rsidR="00BD6CF1" w:rsidRPr="007604D0">
          <w:rPr>
            <w:rStyle w:val="Hyperlink"/>
            <w:spacing w:val="-2"/>
            <w:lang w:val="ru-RU"/>
          </w:rPr>
          <w:t>/5/2025/07/</w:t>
        </w:r>
        <w:r w:rsidR="00BD6CF1" w:rsidRPr="009203E1">
          <w:rPr>
            <w:rStyle w:val="Hyperlink"/>
            <w:spacing w:val="-2"/>
          </w:rPr>
          <w:t>Statement</w:t>
        </w:r>
        <w:r w:rsidR="00BD6CF1" w:rsidRPr="007604D0">
          <w:rPr>
            <w:rStyle w:val="Hyperlink"/>
            <w:spacing w:val="-2"/>
            <w:lang w:val="ru-RU"/>
          </w:rPr>
          <w:t>_</w:t>
        </w:r>
        <w:r w:rsidR="00BD6CF1" w:rsidRPr="009203E1">
          <w:rPr>
            <w:rStyle w:val="Hyperlink"/>
            <w:spacing w:val="-2"/>
          </w:rPr>
          <w:t>Palestine</w:t>
        </w:r>
        <w:r w:rsidR="00BD6CF1" w:rsidRPr="007604D0">
          <w:rPr>
            <w:rStyle w:val="Hyperlink"/>
            <w:spacing w:val="-2"/>
            <w:lang w:val="ru-RU"/>
          </w:rPr>
          <w:t>-250625</w:t>
        </w:r>
        <w:r w:rsidR="00BD6CF1" w:rsidRPr="009203E1">
          <w:rPr>
            <w:rStyle w:val="Hyperlink"/>
            <w:spacing w:val="-2"/>
          </w:rPr>
          <w:t>e</w:t>
        </w:r>
        <w:r w:rsidR="00BD6CF1" w:rsidRPr="007604D0">
          <w:rPr>
            <w:rStyle w:val="Hyperlink"/>
            <w:spacing w:val="-2"/>
            <w:lang w:val="ru-RU"/>
          </w:rPr>
          <w:t>.</w:t>
        </w:r>
        <w:r w:rsidR="00BD6CF1" w:rsidRPr="009203E1">
          <w:rPr>
            <w:rStyle w:val="Hyperlink"/>
            <w:spacing w:val="-2"/>
          </w:rPr>
          <w:t>pdf</w:t>
        </w:r>
      </w:hyperlink>
      <w:r w:rsidR="00BD6CF1" w:rsidRPr="007604D0">
        <w:rPr>
          <w:spacing w:val="-2"/>
          <w:lang w:val="ru-RU"/>
        </w:rPr>
        <w:t>.</w:t>
      </w:r>
      <w:hyperlink r:id="rId29" w:history="1"/>
    </w:p>
    <w:p w14:paraId="69F1E818" w14:textId="64EEC5D1" w:rsidR="003C1802" w:rsidRPr="00411576" w:rsidRDefault="003C1802" w:rsidP="003C1802">
      <w:pPr>
        <w:rPr>
          <w:lang w:val="ru-RU"/>
        </w:rPr>
      </w:pPr>
      <w:proofErr w:type="gramStart"/>
      <w:r w:rsidRPr="00411576">
        <w:rPr>
          <w:lang w:val="ru-RU"/>
        </w:rPr>
        <w:t>5.3</w:t>
      </w:r>
      <w:r w:rsidRPr="00411576">
        <w:rPr>
          <w:lang w:val="ru-RU"/>
        </w:rPr>
        <w:tab/>
      </w:r>
      <w:r w:rsidR="00016006" w:rsidRPr="00411576">
        <w:rPr>
          <w:lang w:val="ru-RU"/>
        </w:rPr>
        <w:t>В то время как</w:t>
      </w:r>
      <w:proofErr w:type="gramEnd"/>
      <w:r w:rsidR="00016006" w:rsidRPr="00411576">
        <w:rPr>
          <w:lang w:val="ru-RU"/>
        </w:rPr>
        <w:t xml:space="preserve"> некоторые </w:t>
      </w:r>
      <w:r w:rsidR="00D97709" w:rsidRPr="00411576">
        <w:rPr>
          <w:lang w:val="ru-RU"/>
        </w:rPr>
        <w:t xml:space="preserve">Советники </w:t>
      </w:r>
      <w:r w:rsidRPr="00411576">
        <w:rPr>
          <w:lang w:val="ru-RU"/>
        </w:rPr>
        <w:t xml:space="preserve">и наблюдатели дают высокую оценку усилиям МСЭ в соответствии с Резолюцией 1424 (C24), многие </w:t>
      </w:r>
      <w:r w:rsidR="00D97709" w:rsidRPr="00411576">
        <w:rPr>
          <w:lang w:val="ru-RU"/>
        </w:rPr>
        <w:t xml:space="preserve">Советники </w:t>
      </w:r>
      <w:r w:rsidR="00016006" w:rsidRPr="00411576">
        <w:rPr>
          <w:lang w:val="ru-RU"/>
        </w:rPr>
        <w:t xml:space="preserve">и наблюдатели </w:t>
      </w:r>
      <w:r w:rsidRPr="00411576">
        <w:rPr>
          <w:lang w:val="ru-RU"/>
        </w:rPr>
        <w:t xml:space="preserve">указывают </w:t>
      </w:r>
      <w:r w:rsidR="00016006" w:rsidRPr="00411576">
        <w:rPr>
          <w:lang w:val="ru-RU"/>
        </w:rPr>
        <w:t>с</w:t>
      </w:r>
      <w:r w:rsidR="00BD6CF1">
        <w:rPr>
          <w:lang w:val="en-US"/>
        </w:rPr>
        <w:t> </w:t>
      </w:r>
      <w:r w:rsidR="00016006" w:rsidRPr="00411576">
        <w:rPr>
          <w:lang w:val="ru-RU"/>
        </w:rPr>
        <w:t xml:space="preserve">глубокой озабоченностью </w:t>
      </w:r>
      <w:r w:rsidRPr="00411576">
        <w:rPr>
          <w:lang w:val="ru-RU"/>
        </w:rPr>
        <w:t xml:space="preserve">на то, что в отчете </w:t>
      </w:r>
      <w:r w:rsidR="00016006" w:rsidRPr="00411576">
        <w:rPr>
          <w:lang w:val="ru-RU"/>
        </w:rPr>
        <w:t>отражен</w:t>
      </w:r>
      <w:r w:rsidRPr="00411576">
        <w:rPr>
          <w:lang w:val="ru-RU"/>
        </w:rPr>
        <w:t xml:space="preserve"> </w:t>
      </w:r>
      <w:r w:rsidR="00D97709" w:rsidRPr="00411576">
        <w:rPr>
          <w:lang w:val="ru-RU"/>
        </w:rPr>
        <w:t>едва</w:t>
      </w:r>
      <w:r w:rsidR="00016006" w:rsidRPr="00411576">
        <w:rPr>
          <w:lang w:val="ru-RU"/>
        </w:rPr>
        <w:t xml:space="preserve"> ощутимый</w:t>
      </w:r>
      <w:r w:rsidRPr="00411576">
        <w:rPr>
          <w:lang w:val="ru-RU"/>
        </w:rPr>
        <w:t xml:space="preserve"> прогресс в выполнении этой Резолюции или улучшении гуманитарной ситуации. Ряд Советников критикуют тот факт, что отчет основывается на данных третьих сторон из открытых источников, а не на результатах оценки обстановки на местах, проведенной МСЭ. По их мнению, поддержка Палестины представляется недостаточной по сравнению с помощью другим странам, находящимся в</w:t>
      </w:r>
      <w:r w:rsidR="000F2AF8">
        <w:t> </w:t>
      </w:r>
      <w:r w:rsidRPr="00411576">
        <w:rPr>
          <w:lang w:val="ru-RU"/>
        </w:rPr>
        <w:t>особо трудном положении, при этом основные потребности Палестины остаются неудовлетворенными. Несколько Советников приветствуют призыв к признанию услуг электросвязи в качестве одной из основных потребностей человека, требующей защиты и</w:t>
      </w:r>
      <w:r w:rsidR="000F2AF8">
        <w:t> </w:t>
      </w:r>
      <w:r w:rsidRPr="00411576">
        <w:rPr>
          <w:lang w:val="ru-RU"/>
        </w:rPr>
        <w:t>технического обслуживания во время конфликта. Предлагается включить в будущие отчеты разъяснения о проблемах и достижениях в сфере поддержки Палестины, а также о шагах, которые МСЭ предпримет в этом отношении. Несколько Советников поддерживают призыв к</w:t>
      </w:r>
      <w:r w:rsidR="000F2AF8">
        <w:t> </w:t>
      </w:r>
      <w:r w:rsidRPr="00411576">
        <w:rPr>
          <w:lang w:val="ru-RU"/>
        </w:rPr>
        <w:t>представлению отчетов о выполнении Резолюции 1424 (C24) два раза в год, а один из Советников просит представить полный отчет на Полномочной конференции 2026 года.</w:t>
      </w:r>
    </w:p>
    <w:p w14:paraId="0061C354" w14:textId="17F20904" w:rsidR="003C1802" w:rsidRPr="00411576" w:rsidRDefault="003C1802" w:rsidP="003C1802">
      <w:pPr>
        <w:rPr>
          <w:lang w:val="ru-RU"/>
        </w:rPr>
      </w:pPr>
      <w:r w:rsidRPr="00411576">
        <w:rPr>
          <w:lang w:val="ru-RU"/>
        </w:rPr>
        <w:t>5.4</w:t>
      </w:r>
      <w:r w:rsidRPr="00411576">
        <w:rPr>
          <w:lang w:val="ru-RU"/>
        </w:rPr>
        <w:tab/>
        <w:t>Многие Советники и наблюдатели выражают поддержку заявлению наблюдателя от</w:t>
      </w:r>
      <w:r w:rsidR="000F2AF8">
        <w:t> </w:t>
      </w:r>
      <w:r w:rsidRPr="00411576">
        <w:rPr>
          <w:lang w:val="ru-RU"/>
        </w:rPr>
        <w:t>Палестины, отмечая, что внесенные предложения могут способствовать прогрессу в</w:t>
      </w:r>
      <w:r w:rsidR="000F2AF8">
        <w:t> </w:t>
      </w:r>
      <w:r w:rsidRPr="00411576">
        <w:rPr>
          <w:lang w:val="ru-RU"/>
        </w:rPr>
        <w:t>выполнении Резолюции 1424 (C24). Они подчеркивают необходимость в разработке комплексного плана действий с четко определенными целями, сроками и заинтересованными сторонами, в проведении конференции высокого уровня для заинтересованных сторон и доноров, а также в создании специального фонда для восстановления инфраструктуры электросвязи Палестины, причем все эти шаги необходимо предпринять до ВКРЭ-25. Аналогичным образом, Секретариату настоятельно рекомендуется продолжать координацию со всеми заинтересованными сторонами до ВКРЭ-25 для обеспечения доступа к технологиям электросвязи 4G и 5G и выполнения Резолюции 12 (</w:t>
      </w:r>
      <w:proofErr w:type="spellStart"/>
      <w:r w:rsidRPr="00411576">
        <w:rPr>
          <w:lang w:val="ru-RU"/>
        </w:rPr>
        <w:t>Пересм</w:t>
      </w:r>
      <w:proofErr w:type="spellEnd"/>
      <w:r w:rsidRPr="00411576">
        <w:rPr>
          <w:lang w:val="ru-RU"/>
        </w:rPr>
        <w:t>. ВКР-23), а также для обеспечения доступа к технологиям и топливу, необходимым для полноценной работы сетей электросвязи. Несколько Советников призывают принять меры по обеспечению безопасности персонала, работающего над восстановлением услуг электросвязи.</w:t>
      </w:r>
    </w:p>
    <w:p w14:paraId="418F227D" w14:textId="1FC134B1" w:rsidR="003C1802" w:rsidRPr="00411576" w:rsidRDefault="003C1802" w:rsidP="003C1802">
      <w:pPr>
        <w:rPr>
          <w:lang w:val="ru-RU"/>
        </w:rPr>
      </w:pPr>
      <w:r w:rsidRPr="00411576">
        <w:rPr>
          <w:lang w:val="ru-RU"/>
        </w:rPr>
        <w:t>5.5</w:t>
      </w:r>
      <w:r w:rsidRPr="00411576">
        <w:rPr>
          <w:lang w:val="ru-RU"/>
        </w:rPr>
        <w:tab/>
        <w:t>Один из Советников призывает своевременно распространять результаты оценки ущерба для содействия планированию на основе фактических данных и мобилизации ресурсов. Еще одна из Советников просит представить дополнительные сведения о</w:t>
      </w:r>
      <w:r w:rsidR="000F2AF8">
        <w:t> </w:t>
      </w:r>
      <w:r w:rsidRPr="00411576">
        <w:rPr>
          <w:lang w:val="ru-RU"/>
        </w:rPr>
        <w:t>финансовых ресурсах, выделенных МСЭ на выполнение Резолюции 1424 (C24), и предлагает создать веб-сайт для обеспечения контроля над деятельностью.</w:t>
      </w:r>
    </w:p>
    <w:p w14:paraId="2B2AFF5D" w14:textId="2DC7557C" w:rsidR="003C1802" w:rsidRPr="00411576" w:rsidRDefault="003C1802" w:rsidP="003C1802">
      <w:pPr>
        <w:rPr>
          <w:lang w:val="ru-RU"/>
        </w:rPr>
      </w:pPr>
      <w:r w:rsidRPr="00411576">
        <w:rPr>
          <w:lang w:val="ru-RU"/>
        </w:rPr>
        <w:t>5.6</w:t>
      </w:r>
      <w:r w:rsidRPr="00411576">
        <w:rPr>
          <w:lang w:val="ru-RU"/>
        </w:rPr>
        <w:tab/>
        <w:t xml:space="preserve">Советники приветствуют сотрудничество МСЭ с другими организациями и создание </w:t>
      </w:r>
      <w:proofErr w:type="spellStart"/>
      <w:r w:rsidRPr="00411576">
        <w:rPr>
          <w:lang w:val="ru-RU"/>
        </w:rPr>
        <w:t>Межсекторальной</w:t>
      </w:r>
      <w:proofErr w:type="spellEnd"/>
      <w:r w:rsidRPr="00411576">
        <w:rPr>
          <w:lang w:val="ru-RU"/>
        </w:rPr>
        <w:t xml:space="preserve"> целевой группы. Один из Советников настоятельно призывает и впредь уделять основное внимание практическим и техническим мерам, предостерегая от действий, которые могут помешать важным двусторонним обсуждениям по расширению возможности установления соединений для палестинского народа. Один из наблюдателей подчеркивает, что деятельность МСЭ в соответствии с Резолюцией 1424 (C24) должна оставаться в рамках его</w:t>
      </w:r>
      <w:r w:rsidR="000F2AF8">
        <w:t> </w:t>
      </w:r>
      <w:r w:rsidRPr="00411576">
        <w:rPr>
          <w:lang w:val="ru-RU"/>
        </w:rPr>
        <w:t>мандата.</w:t>
      </w:r>
    </w:p>
    <w:p w14:paraId="2B934E81" w14:textId="06D8C91A" w:rsidR="003C1802" w:rsidRPr="00411576" w:rsidRDefault="003C1802" w:rsidP="003C1802">
      <w:pPr>
        <w:rPr>
          <w:lang w:val="ru-RU"/>
        </w:rPr>
      </w:pPr>
      <w:r w:rsidRPr="00411576">
        <w:rPr>
          <w:lang w:val="ru-RU"/>
        </w:rPr>
        <w:t>5.7</w:t>
      </w:r>
      <w:r w:rsidRPr="00411576">
        <w:rPr>
          <w:lang w:val="ru-RU"/>
        </w:rPr>
        <w:tab/>
        <w:t>Выражая солидарность с палестинским народом, многие Советники и наблюдатели призывают к немедленному прекращению огня в секторе Газа, освобождению заложников и</w:t>
      </w:r>
      <w:r w:rsidR="000F2AF8">
        <w:t> </w:t>
      </w:r>
      <w:r w:rsidRPr="00411576">
        <w:rPr>
          <w:lang w:val="ru-RU"/>
        </w:rPr>
        <w:t>обеспечению беспрепятственного доступа к гуманитарной помощи, оборудованию и топливу. Значительный ущерб, нанесенный инфраструктуре электросвязи в Палестине, а также ограничения на использование топлива и оборудования вызывают серьезную обеспокоенность и сказываются на доставке гуманитарной помощи. Необходимо принять срочные меры для</w:t>
      </w:r>
      <w:r w:rsidR="000F2AF8">
        <w:t> </w:t>
      </w:r>
      <w:r w:rsidRPr="00411576">
        <w:rPr>
          <w:lang w:val="ru-RU"/>
        </w:rPr>
        <w:t>защиты прав палестинцев на установление соединений и доступ к информации, закрепленных в Уставе Организации Объединенных Наций.</w:t>
      </w:r>
    </w:p>
    <w:p w14:paraId="4D377BC9" w14:textId="3C50AECC" w:rsidR="003C1802" w:rsidRPr="00411576" w:rsidRDefault="003C1802" w:rsidP="003C1802">
      <w:pPr>
        <w:rPr>
          <w:lang w:val="ru-RU"/>
        </w:rPr>
      </w:pPr>
      <w:r w:rsidRPr="00411576">
        <w:rPr>
          <w:lang w:val="ru-RU"/>
        </w:rPr>
        <w:t>5.8</w:t>
      </w:r>
      <w:r w:rsidRPr="00411576">
        <w:rPr>
          <w:lang w:val="ru-RU"/>
        </w:rPr>
        <w:tab/>
        <w:t>Наблюдатель от Израиля, отвергая замечания наблюдателя от Палестины, отмечает, что Израиль продолжает прямые контакты с палестинскими властями в целях удовлетворения потребностей в электросвязи в рамках двусторонних соглашений, добиваясь прогресса на пути внедрения передовых услуг электросвязи. Израиль нашел варианты решения многих из</w:t>
      </w:r>
      <w:r w:rsidR="000F2AF8">
        <w:t> </w:t>
      </w:r>
      <w:r w:rsidRPr="00411576">
        <w:rPr>
          <w:lang w:val="ru-RU"/>
        </w:rPr>
        <w:t>поднятых вопросов; однако иногда представители палестинских властей отвечают с</w:t>
      </w:r>
      <w:r w:rsidR="000F2AF8">
        <w:t> </w:t>
      </w:r>
      <w:r w:rsidRPr="00411576">
        <w:rPr>
          <w:lang w:val="ru-RU"/>
        </w:rPr>
        <w:t>задержками. В ходе любых обсуждений вопроса восстановления инфраструктуры электросвязи в секторе Газа необходимо признавать ответственность ХАМАС, являющейся террористической организацией, за сложившуюся ситуацию; подобные обсуждения следует проводить лишь после того, как все заложники будут освобождены, и сектор Газа будет выведен из-под контроля ХАМАС.</w:t>
      </w:r>
    </w:p>
    <w:p w14:paraId="6494AE73" w14:textId="26ADFB39" w:rsidR="003C1802" w:rsidRPr="00411576" w:rsidRDefault="003C1802" w:rsidP="003C1802">
      <w:pPr>
        <w:rPr>
          <w:lang w:val="ru-RU"/>
        </w:rPr>
      </w:pPr>
      <w:r w:rsidRPr="00411576">
        <w:rPr>
          <w:lang w:val="ru-RU"/>
        </w:rPr>
        <w:t>5.9</w:t>
      </w:r>
      <w:r w:rsidRPr="00411576">
        <w:rPr>
          <w:lang w:val="ru-RU"/>
        </w:rPr>
        <w:tab/>
        <w:t>Генеральный секретарь отмечает, что деятельность МСЭ по выполнению Резолюции 1424 (C24) осуществляется в тесной координации с операторами и ETC, а также с другими органами в рамках системы Организации Объединенных Наций; однако обстановка на местах является весьма сложной. Она благодарит Государства-Члены за их крайне необходимую поддержку, отметив безвозмездную передачу спутниковых телефонов Объединенными Арабскими Эмиратами, и призвала их вносить добровольные вклады непосредственно в МСЭ или через Цифровую коалицию "Партнерства для подключения" (P2C). Секретариат предоставит четкий план действий и график деятельности МСЭ по поддержке сектора ИКТ в</w:t>
      </w:r>
      <w:r w:rsidR="000F2AF8">
        <w:t> </w:t>
      </w:r>
      <w:r w:rsidRPr="00411576">
        <w:rPr>
          <w:lang w:val="ru-RU"/>
        </w:rPr>
        <w:t xml:space="preserve">Палестине посредством работы </w:t>
      </w:r>
      <w:proofErr w:type="spellStart"/>
      <w:r w:rsidRPr="00411576">
        <w:rPr>
          <w:lang w:val="ru-RU"/>
        </w:rPr>
        <w:t>Межсекторальной</w:t>
      </w:r>
      <w:proofErr w:type="spellEnd"/>
      <w:r w:rsidRPr="00411576">
        <w:rPr>
          <w:lang w:val="ru-RU"/>
        </w:rPr>
        <w:t xml:space="preserve"> целевой группы.</w:t>
      </w:r>
    </w:p>
    <w:p w14:paraId="07D6FF6D" w14:textId="3EBBF380" w:rsidR="00C84883" w:rsidRPr="00411576" w:rsidRDefault="00C84883" w:rsidP="003C1802">
      <w:pPr>
        <w:rPr>
          <w:lang w:val="ru-RU"/>
        </w:rPr>
      </w:pPr>
      <w:r w:rsidRPr="00411576">
        <w:rPr>
          <w:lang w:val="ru-RU"/>
        </w:rPr>
        <w:t>5.10</w:t>
      </w:r>
      <w:r w:rsidRPr="00411576">
        <w:rPr>
          <w:lang w:val="ru-RU"/>
        </w:rPr>
        <w:tab/>
      </w:r>
      <w:r w:rsidR="00BA55CE" w:rsidRPr="00411576">
        <w:rPr>
          <w:lang w:val="ru-RU"/>
        </w:rPr>
        <w:t>С</w:t>
      </w:r>
      <w:r w:rsidRPr="00411576">
        <w:rPr>
          <w:lang w:val="ru-RU"/>
        </w:rPr>
        <w:t>овет</w:t>
      </w:r>
      <w:r w:rsidR="00D97709" w:rsidRPr="00411576">
        <w:rPr>
          <w:lang w:val="ru-RU"/>
        </w:rPr>
        <w:t xml:space="preserve">ник от Королевства Саудовская Аравия </w:t>
      </w:r>
      <w:r w:rsidRPr="00411576">
        <w:rPr>
          <w:lang w:val="ru-RU"/>
        </w:rPr>
        <w:t xml:space="preserve">вновь подчеркивает необходимость реализации предложений, выдвинутых наблюдателем от Палестины, отмечая широкую поддержку этих предложений со стороны </w:t>
      </w:r>
      <w:r w:rsidR="00BA55CE" w:rsidRPr="00411576">
        <w:rPr>
          <w:lang w:val="ru-RU"/>
        </w:rPr>
        <w:t>С</w:t>
      </w:r>
      <w:r w:rsidRPr="00411576">
        <w:rPr>
          <w:lang w:val="ru-RU"/>
        </w:rPr>
        <w:t>овет</w:t>
      </w:r>
      <w:r w:rsidR="00D97709" w:rsidRPr="00411576">
        <w:rPr>
          <w:lang w:val="ru-RU"/>
        </w:rPr>
        <w:t xml:space="preserve">ников </w:t>
      </w:r>
      <w:r w:rsidRPr="00411576">
        <w:rPr>
          <w:lang w:val="ru-RU"/>
        </w:rPr>
        <w:t>и наблюдателей, а также отсутствие каких-либо возражений.</w:t>
      </w:r>
    </w:p>
    <w:p w14:paraId="36F56937" w14:textId="3189177C" w:rsidR="003C1802" w:rsidRPr="00411576" w:rsidRDefault="003C1802" w:rsidP="003C1802">
      <w:pPr>
        <w:rPr>
          <w:lang w:val="ru-RU"/>
        </w:rPr>
      </w:pPr>
      <w:r w:rsidRPr="00411576">
        <w:rPr>
          <w:lang w:val="ru-RU"/>
        </w:rPr>
        <w:t>5.1</w:t>
      </w:r>
      <w:r w:rsidR="00C84883" w:rsidRPr="00411576">
        <w:rPr>
          <w:lang w:val="ru-RU"/>
        </w:rPr>
        <w:t>1</w:t>
      </w:r>
      <w:r w:rsidRPr="00411576">
        <w:rPr>
          <w:lang w:val="ru-RU"/>
        </w:rPr>
        <w:tab/>
        <w:t>Председатель предлагает Совету принять к сведению отчет, содержащийся в</w:t>
      </w:r>
      <w:r w:rsidR="000F2AF8">
        <w:t> </w:t>
      </w:r>
      <w:r w:rsidRPr="00411576">
        <w:rPr>
          <w:lang w:val="ru-RU"/>
        </w:rPr>
        <w:t>Документе C25/71, а также поручить Генеральному секретарю разработку конкретного плана действий и графика выполнения Резолюции 1424 (C24) и представить отчет по ним сессии Совета 2026 года.</w:t>
      </w:r>
    </w:p>
    <w:p w14:paraId="7FD22AFC" w14:textId="691FB0B2" w:rsidR="003C1802" w:rsidRPr="00411576" w:rsidRDefault="003C1802" w:rsidP="003C1802">
      <w:pPr>
        <w:rPr>
          <w:lang w:val="ru-RU"/>
        </w:rPr>
      </w:pPr>
      <w:r w:rsidRPr="00411576">
        <w:rPr>
          <w:lang w:val="ru-RU"/>
        </w:rPr>
        <w:t>5.1</w:t>
      </w:r>
      <w:r w:rsidR="00C84883" w:rsidRPr="00411576">
        <w:rPr>
          <w:lang w:val="ru-RU"/>
        </w:rPr>
        <w:t>2</w:t>
      </w:r>
      <w:r w:rsidRPr="00411576">
        <w:rPr>
          <w:lang w:val="ru-RU"/>
        </w:rPr>
        <w:tab/>
        <w:t xml:space="preserve">Предложение </w:t>
      </w:r>
      <w:r w:rsidRPr="00411576">
        <w:rPr>
          <w:b/>
          <w:bCs/>
          <w:lang w:val="ru-RU"/>
        </w:rPr>
        <w:t>принимается</w:t>
      </w:r>
      <w:r w:rsidRPr="00411576">
        <w:rPr>
          <w:lang w:val="ru-RU"/>
        </w:rPr>
        <w:t>.</w:t>
      </w:r>
    </w:p>
    <w:p w14:paraId="3CC7F4BE" w14:textId="6AE98EA3" w:rsidR="003C1802" w:rsidRPr="00411576" w:rsidRDefault="003C1802" w:rsidP="003C1802">
      <w:pPr>
        <w:pStyle w:val="Heading1"/>
        <w:rPr>
          <w:lang w:val="ru-RU"/>
        </w:rPr>
      </w:pPr>
      <w:r w:rsidRPr="00411576">
        <w:rPr>
          <w:lang w:val="ru-RU"/>
        </w:rPr>
        <w:t>6</w:t>
      </w:r>
      <w:r w:rsidRPr="00411576">
        <w:rPr>
          <w:lang w:val="ru-RU"/>
        </w:rPr>
        <w:tab/>
        <w:t>Обновленная информация о ходе выполнения Резолюции 1408 (C22, последнее изменение C23) Совета о помощи и поддержке Украине в</w:t>
      </w:r>
      <w:r w:rsidR="00EF39C7">
        <w:t> </w:t>
      </w:r>
      <w:r w:rsidRPr="00411576">
        <w:rPr>
          <w:lang w:val="ru-RU"/>
        </w:rPr>
        <w:t xml:space="preserve">восстановлении ее отрасли электросвязи (Документ </w:t>
      </w:r>
      <w:hyperlink r:id="rId30">
        <w:r w:rsidRPr="00411576">
          <w:rPr>
            <w:rStyle w:val="Hyperlink"/>
            <w:lang w:val="ru-RU"/>
          </w:rPr>
          <w:t>C25/68</w:t>
        </w:r>
      </w:hyperlink>
      <w:r w:rsidRPr="00411576">
        <w:rPr>
          <w:lang w:val="ru-RU"/>
        </w:rPr>
        <w:t>)</w:t>
      </w:r>
      <w:hyperlink r:id="rId31"/>
    </w:p>
    <w:p w14:paraId="5E04E5C7" w14:textId="62B164F7" w:rsidR="003C1802" w:rsidRPr="00411576" w:rsidRDefault="003C1802" w:rsidP="003C1802">
      <w:pPr>
        <w:rPr>
          <w:lang w:val="ru-RU"/>
        </w:rPr>
      </w:pPr>
      <w:r w:rsidRPr="00411576">
        <w:rPr>
          <w:lang w:val="ru-RU"/>
        </w:rPr>
        <w:t>6.1</w:t>
      </w:r>
      <w:r w:rsidRPr="00411576">
        <w:rPr>
          <w:lang w:val="ru-RU"/>
        </w:rPr>
        <w:tab/>
        <w:t>Руководитель Отделения МСЭ для Европы представляет Документ C25/68, в котором описываются мероприятия и события по оказанию помощи и поддержки Украине в</w:t>
      </w:r>
      <w:r w:rsidR="000F2AF8">
        <w:t> </w:t>
      </w:r>
      <w:r w:rsidRPr="00411576">
        <w:rPr>
          <w:lang w:val="ru-RU"/>
        </w:rPr>
        <w:t>восстановлении ее отрасли электросвязи в соответствии с Резолюцией 1408 (C22, последнее изменение C23), произошедшие после Совета-24. Он обращает внимание на выводы экспресс-оценки ущерба и потребностей</w:t>
      </w:r>
      <w:r w:rsidR="00DE67F7" w:rsidRPr="00411576">
        <w:rPr>
          <w:lang w:val="ru-RU"/>
        </w:rPr>
        <w:t>, а также на недавно разработанный</w:t>
      </w:r>
      <w:r w:rsidR="006E225E" w:rsidRPr="00411576">
        <w:rPr>
          <w:lang w:val="ru-RU"/>
        </w:rPr>
        <w:t xml:space="preserve"> страновой профиль цифрового развития</w:t>
      </w:r>
      <w:r w:rsidRPr="00411576">
        <w:rPr>
          <w:lang w:val="ru-RU"/>
        </w:rPr>
        <w:t xml:space="preserve"> и представляет обзор мер по вовлечению заинтересованных сторон, механизмов координации с целью выполнения Резолюции 1408 (C22, последнее изменение C23), технической помощи, деятельности по созданию потенциала и мобилизации ресурсов. Он с нетерпением ожидает проведения Конференции по восстановлению Украины, которая состоится в июле 2025 года, и выражает благодарность правительству Украины за его упреждающий подход, а также странам и учреждениям, которые предоставили финансовые средства и оказали поддержку в натуральной форме.</w:t>
      </w:r>
    </w:p>
    <w:p w14:paraId="7CEFEB71" w14:textId="2F18B47A" w:rsidR="003C1802" w:rsidRPr="00411576" w:rsidRDefault="003C1802" w:rsidP="003C1802">
      <w:pPr>
        <w:rPr>
          <w:lang w:val="ru-RU"/>
        </w:rPr>
      </w:pPr>
      <w:r w:rsidRPr="00411576">
        <w:rPr>
          <w:lang w:val="ru-RU"/>
        </w:rPr>
        <w:t>6.2</w:t>
      </w:r>
      <w:r w:rsidRPr="00411576">
        <w:rPr>
          <w:lang w:val="ru-RU"/>
        </w:rPr>
        <w:tab/>
        <w:t xml:space="preserve">Наблюдатель от Украины, выступая от имени 42 стран, делает следующее заявление: </w:t>
      </w:r>
      <w:hyperlink r:id="rId32" w:history="1">
        <w:r w:rsidRPr="00411576">
          <w:rPr>
            <w:rStyle w:val="Hyperlink"/>
            <w:lang w:val="ru-RU"/>
          </w:rPr>
          <w:t>council.itu.int/2025/wp-content/uploads/sites/5/2025/07/Statement-joint-Ukraine-co-countries-250625-e.pdf</w:t>
        </w:r>
      </w:hyperlink>
      <w:r w:rsidRPr="00411576">
        <w:rPr>
          <w:lang w:val="ru-RU"/>
        </w:rPr>
        <w:t>.</w:t>
      </w:r>
      <w:hyperlink r:id="rId33" w:history="1"/>
    </w:p>
    <w:p w14:paraId="1B283A53" w14:textId="04128E6C" w:rsidR="003C1802" w:rsidRPr="00411576" w:rsidRDefault="003C1802" w:rsidP="003C1802">
      <w:pPr>
        <w:rPr>
          <w:lang w:val="ru-RU"/>
        </w:rPr>
      </w:pPr>
      <w:r w:rsidRPr="00411576">
        <w:rPr>
          <w:lang w:val="ru-RU"/>
        </w:rPr>
        <w:t>6.3</w:t>
      </w:r>
      <w:r w:rsidRPr="00411576">
        <w:rPr>
          <w:lang w:val="ru-RU"/>
        </w:rPr>
        <w:tab/>
        <w:t xml:space="preserve">Советник от Польши, выступая от имени 26 стран Европейского союза, делает следующее заявление: </w:t>
      </w:r>
      <w:hyperlink r:id="rId34" w:history="1">
        <w:r w:rsidR="00F61659" w:rsidRPr="00411576">
          <w:rPr>
            <w:rStyle w:val="Hyperlink"/>
            <w:lang w:val="ru-RU"/>
          </w:rPr>
          <w:t>council.itu.int/2025/</w:t>
        </w:r>
        <w:proofErr w:type="spellStart"/>
        <w:r w:rsidR="00F61659" w:rsidRPr="00411576">
          <w:rPr>
            <w:rStyle w:val="Hyperlink"/>
            <w:lang w:val="ru-RU"/>
          </w:rPr>
          <w:t>wp-content</w:t>
        </w:r>
        <w:proofErr w:type="spellEnd"/>
        <w:r w:rsidR="00F61659" w:rsidRPr="00411576">
          <w:rPr>
            <w:rStyle w:val="Hyperlink"/>
            <w:lang w:val="ru-RU"/>
          </w:rPr>
          <w:t>/</w:t>
        </w:r>
        <w:proofErr w:type="spellStart"/>
        <w:r w:rsidR="00F61659" w:rsidRPr="00411576">
          <w:rPr>
            <w:rStyle w:val="Hyperlink"/>
            <w:lang w:val="ru-RU"/>
          </w:rPr>
          <w:t>uploads</w:t>
        </w:r>
        <w:proofErr w:type="spellEnd"/>
        <w:r w:rsidR="00F61659" w:rsidRPr="00411576">
          <w:rPr>
            <w:rStyle w:val="Hyperlink"/>
            <w:lang w:val="ru-RU"/>
          </w:rPr>
          <w:t>/</w:t>
        </w:r>
        <w:proofErr w:type="spellStart"/>
        <w:r w:rsidR="00F61659" w:rsidRPr="00411576">
          <w:rPr>
            <w:rStyle w:val="Hyperlink"/>
            <w:lang w:val="ru-RU"/>
          </w:rPr>
          <w:t>sites</w:t>
        </w:r>
        <w:proofErr w:type="spellEnd"/>
        <w:r w:rsidR="00F61659" w:rsidRPr="00411576">
          <w:rPr>
            <w:rStyle w:val="Hyperlink"/>
            <w:lang w:val="ru-RU"/>
          </w:rPr>
          <w:t>/5/2025/07/</w:t>
        </w:r>
        <w:r w:rsidR="00F61659" w:rsidRPr="00411576">
          <w:rPr>
            <w:rStyle w:val="Hyperlink"/>
            <w:lang w:val="ru-RU"/>
          </w:rPr>
          <w:br/>
          <w:t>Statement-joint-Poland-multicountries-250625.pdf</w:t>
        </w:r>
      </w:hyperlink>
      <w:r w:rsidRPr="00411576">
        <w:rPr>
          <w:lang w:val="ru-RU"/>
        </w:rPr>
        <w:t>.</w:t>
      </w:r>
      <w:hyperlink r:id="rId35" w:history="1"/>
    </w:p>
    <w:p w14:paraId="715247C2" w14:textId="740F755D" w:rsidR="003C1802" w:rsidRPr="00411576" w:rsidRDefault="003C1802" w:rsidP="003C1802">
      <w:pPr>
        <w:rPr>
          <w:lang w:val="ru-RU"/>
        </w:rPr>
      </w:pPr>
      <w:r w:rsidRPr="00411576">
        <w:rPr>
          <w:lang w:val="ru-RU"/>
        </w:rPr>
        <w:t>6.4</w:t>
      </w:r>
      <w:r w:rsidRPr="00411576">
        <w:rPr>
          <w:lang w:val="ru-RU"/>
        </w:rPr>
        <w:tab/>
        <w:t>Советник от Швеции, выступая от имени восьми стран Северной Европы и Балтии, самым решительным образом осуждает акт неспровоцированной агрессии против Украины со</w:t>
      </w:r>
      <w:r w:rsidR="000F2AF8">
        <w:t> </w:t>
      </w:r>
      <w:r w:rsidRPr="00411576">
        <w:rPr>
          <w:lang w:val="ru-RU"/>
        </w:rPr>
        <w:t>стороны Российской Федерации. Заслуживающие высокой оценки усилия МСЭ по выполнению Резолюции 1408 (C22, последнее изменение C23) следует продолжать. Страны Северной Европы и Балтии будут решительно поддерживать Украину до тех пор, пока это будет необходимо, и подтверждают свое непоколебимое стремление к всеобъемлющему, справедливому и прочному миру на Украине, основанному на международном праве.</w:t>
      </w:r>
    </w:p>
    <w:p w14:paraId="7C97D3DC" w14:textId="101659C3" w:rsidR="003C1802" w:rsidRPr="00411576" w:rsidRDefault="003C1802" w:rsidP="003C1802">
      <w:pPr>
        <w:rPr>
          <w:lang w:val="ru-RU"/>
        </w:rPr>
      </w:pPr>
      <w:r w:rsidRPr="00411576">
        <w:rPr>
          <w:lang w:val="ru-RU"/>
        </w:rPr>
        <w:t>6.5</w:t>
      </w:r>
      <w:r w:rsidRPr="00411576">
        <w:rPr>
          <w:lang w:val="ru-RU"/>
        </w:rPr>
        <w:tab/>
        <w:t xml:space="preserve">Советник от Канады выступает со следующим заявлением: </w:t>
      </w:r>
      <w:hyperlink r:id="rId36" w:history="1">
        <w:r w:rsidR="00F61659" w:rsidRPr="00411576">
          <w:rPr>
            <w:rStyle w:val="Hyperlink"/>
            <w:lang w:val="ru-RU"/>
          </w:rPr>
          <w:t>council.itu.int/2025/</w:t>
        </w:r>
        <w:r w:rsidR="000F2AF8">
          <w:rPr>
            <w:rStyle w:val="Hyperlink"/>
            <w:lang w:val="ru-RU"/>
          </w:rPr>
          <w:br/>
        </w:r>
        <w:r w:rsidR="00F61659" w:rsidRPr="00411576">
          <w:rPr>
            <w:rStyle w:val="Hyperlink"/>
            <w:lang w:val="ru-RU"/>
          </w:rPr>
          <w:t>wp-content/uploads/sites/5/2025/07/Statement_Canada-250625-e.pdf</w:t>
        </w:r>
      </w:hyperlink>
      <w:r w:rsidRPr="00411576">
        <w:rPr>
          <w:lang w:val="ru-RU"/>
        </w:rPr>
        <w:t>.</w:t>
      </w:r>
      <w:hyperlink r:id="rId37" w:history="1"/>
    </w:p>
    <w:p w14:paraId="67A79ED3" w14:textId="77777777" w:rsidR="003C1802" w:rsidRPr="00411576" w:rsidRDefault="003C1802" w:rsidP="003C1802">
      <w:pPr>
        <w:rPr>
          <w:lang w:val="ru-RU"/>
        </w:rPr>
      </w:pPr>
      <w:r w:rsidRPr="00411576">
        <w:rPr>
          <w:lang w:val="ru-RU"/>
        </w:rPr>
        <w:t>6.6</w:t>
      </w:r>
      <w:r w:rsidRPr="00411576">
        <w:rPr>
          <w:lang w:val="ru-RU"/>
        </w:rPr>
        <w:tab/>
        <w:t>Приветствуя шаги, предпринятые для практического выполнения положений Резолюции 1408 (C22, последнее изменение C23), ряд Советников призывают немедленно прекратить военные действия на Украине, которые являются нарушением международного права, Устава Организации Объединенных Наций и резолюций Генеральной Ассамблеи Организации Объединенных Наций. Выражается обеспокоенность в связи с масштабами ущерба и потерь, причиняемых атаками на инфраструктуру электросвязи, которая имеет решающее значение для обеспечения национальной устойчивости.</w:t>
      </w:r>
    </w:p>
    <w:p w14:paraId="2484E0E4" w14:textId="3D5FB249" w:rsidR="003C1802" w:rsidRPr="00411576" w:rsidRDefault="003C1802" w:rsidP="003C1802">
      <w:pPr>
        <w:rPr>
          <w:lang w:val="ru-RU"/>
        </w:rPr>
      </w:pPr>
      <w:r w:rsidRPr="00411576">
        <w:rPr>
          <w:lang w:val="ru-RU"/>
        </w:rPr>
        <w:t>6.7</w:t>
      </w:r>
      <w:r w:rsidRPr="00411576">
        <w:rPr>
          <w:lang w:val="ru-RU"/>
        </w:rPr>
        <w:tab/>
        <w:t>Подтверждая свою непоколебимую солидарность с Украиной, Советники призывают МСЭ продолжать оказывать техническую помощь Украине и привлекать дополнительные финансовые ресурсы, в том числе при помощи других международных учреждений и вкладов Государств-Членов. Устойчивая цифровая экосистема имеет решающее значение для</w:t>
      </w:r>
      <w:r w:rsidR="000F2AF8">
        <w:t> </w:t>
      </w:r>
      <w:r w:rsidRPr="00411576">
        <w:rPr>
          <w:lang w:val="ru-RU"/>
        </w:rPr>
        <w:t>восстановления и долгосрочного развития Украины.</w:t>
      </w:r>
    </w:p>
    <w:p w14:paraId="18B4554F" w14:textId="77777777" w:rsidR="003C1802" w:rsidRPr="00411576" w:rsidRDefault="003C1802" w:rsidP="003C1802">
      <w:pPr>
        <w:rPr>
          <w:lang w:val="ru-RU"/>
        </w:rPr>
      </w:pPr>
      <w:r w:rsidRPr="00411576">
        <w:rPr>
          <w:lang w:val="ru-RU"/>
        </w:rPr>
        <w:t>6.8</w:t>
      </w:r>
      <w:r w:rsidRPr="00411576">
        <w:rPr>
          <w:lang w:val="ru-RU"/>
        </w:rPr>
        <w:tab/>
        <w:t>Один из Советников отмечает, что предоставляемая Союзом помощь в области ИКТ Государствам-Членам, затронутым конфликтами или бедствиями, должна быть беспристрастной, открытой для всех и пропорциональной. Рекомендуется применять подход, основанный на оценке потребностей, который отражает реалии на местах и отвечает потребностям всех Государств-Членов.</w:t>
      </w:r>
    </w:p>
    <w:p w14:paraId="5939804E" w14:textId="56EE812D" w:rsidR="003C1802" w:rsidRPr="00411576" w:rsidRDefault="003C1802" w:rsidP="003C1802">
      <w:pPr>
        <w:rPr>
          <w:lang w:val="ru-RU"/>
        </w:rPr>
      </w:pPr>
      <w:r w:rsidRPr="00411576">
        <w:rPr>
          <w:lang w:val="ru-RU"/>
        </w:rPr>
        <w:t>6.9</w:t>
      </w:r>
      <w:r w:rsidRPr="00411576">
        <w:rPr>
          <w:lang w:val="ru-RU"/>
        </w:rPr>
        <w:tab/>
        <w:t xml:space="preserve">Наблюдатель от Российской Федерации выступает со следующим заявлением: </w:t>
      </w:r>
      <w:hyperlink r:id="rId38" w:history="1">
        <w:r w:rsidRPr="00411576">
          <w:rPr>
            <w:rStyle w:val="Hyperlink"/>
            <w:lang w:val="ru-RU"/>
          </w:rPr>
          <w:t>council.itu.int/2025/wp-content/uploads/sites/5/2025/07/Statement_1408_Russia_250625-e-1.pdf</w:t>
        </w:r>
      </w:hyperlink>
      <w:r w:rsidRPr="00411576">
        <w:rPr>
          <w:lang w:val="ru-RU"/>
        </w:rPr>
        <w:t>.</w:t>
      </w:r>
      <w:hyperlink r:id="rId39" w:history="1"/>
    </w:p>
    <w:p w14:paraId="0DFC0A8E" w14:textId="77777777" w:rsidR="003C1802" w:rsidRPr="00411576" w:rsidRDefault="003C1802" w:rsidP="003C1802">
      <w:pPr>
        <w:rPr>
          <w:lang w:val="ru-RU"/>
        </w:rPr>
      </w:pPr>
      <w:r w:rsidRPr="00411576">
        <w:rPr>
          <w:lang w:val="ru-RU"/>
        </w:rPr>
        <w:t>6.10</w:t>
      </w:r>
      <w:r w:rsidRPr="00411576">
        <w:rPr>
          <w:lang w:val="ru-RU"/>
        </w:rPr>
        <w:tab/>
        <w:t>Генеральный секретарь отмечает, что секретариат продолжит выполнение Резолюции 1408 (C22, последнее изменение C23) посредством работы Специальной целевой группы по Резолюции 1408. В целях содействия оказанию технической помощи Украине Государствам-Членам и партнерам настоятельно рекомендуется вносить добровольные взносы непосредственно в МСЭ или через P2C; она выражает признательность за уже поступившие вклады.</w:t>
      </w:r>
    </w:p>
    <w:p w14:paraId="192D9160" w14:textId="77777777" w:rsidR="003C1802" w:rsidRPr="00411576" w:rsidRDefault="003C1802" w:rsidP="00EF5DF1">
      <w:pPr>
        <w:keepNext/>
        <w:rPr>
          <w:lang w:val="ru-RU"/>
        </w:rPr>
      </w:pPr>
      <w:r w:rsidRPr="00411576">
        <w:rPr>
          <w:lang w:val="ru-RU"/>
        </w:rPr>
        <w:t>6.11</w:t>
      </w:r>
      <w:r w:rsidRPr="00411576">
        <w:rPr>
          <w:lang w:val="ru-RU"/>
        </w:rPr>
        <w:tab/>
        <w:t xml:space="preserve">Совет </w:t>
      </w:r>
      <w:r w:rsidRPr="00411576">
        <w:rPr>
          <w:b/>
          <w:bCs/>
          <w:lang w:val="ru-RU"/>
        </w:rPr>
        <w:t>принимает к сведению</w:t>
      </w:r>
      <w:r w:rsidRPr="00411576">
        <w:rPr>
          <w:lang w:val="ru-RU"/>
        </w:rPr>
        <w:t xml:space="preserve"> отчет, содержащийся в Документе C25/68.</w:t>
      </w:r>
    </w:p>
    <w:p w14:paraId="232CBF1C" w14:textId="77777777" w:rsidR="00EF5DF1" w:rsidRPr="00411576" w:rsidRDefault="00EF5DF1" w:rsidP="00EF5DF1">
      <w:pPr>
        <w:tabs>
          <w:tab w:val="clear" w:pos="794"/>
          <w:tab w:val="clear" w:pos="1191"/>
          <w:tab w:val="clear" w:pos="1588"/>
          <w:tab w:val="clear" w:pos="1985"/>
          <w:tab w:val="left" w:pos="5387"/>
        </w:tabs>
        <w:spacing w:before="840"/>
        <w:jc w:val="both"/>
        <w:rPr>
          <w:szCs w:val="24"/>
          <w:lang w:val="ru-RU"/>
        </w:rPr>
      </w:pPr>
      <w:r w:rsidRPr="00411576">
        <w:rPr>
          <w:lang w:val="ru-RU"/>
        </w:rPr>
        <w:t>Генеральный секретарь:</w:t>
      </w:r>
      <w:r w:rsidRPr="00411576">
        <w:rPr>
          <w:lang w:val="ru-RU"/>
        </w:rPr>
        <w:tab/>
        <w:t>Председатель:</w:t>
      </w:r>
    </w:p>
    <w:p w14:paraId="694E5922" w14:textId="70FD686B" w:rsidR="003C1802" w:rsidRPr="00411576" w:rsidRDefault="00EF5DF1" w:rsidP="00EF5DF1">
      <w:pPr>
        <w:tabs>
          <w:tab w:val="clear" w:pos="794"/>
          <w:tab w:val="clear" w:pos="1191"/>
          <w:tab w:val="clear" w:pos="1588"/>
          <w:tab w:val="clear" w:pos="1985"/>
          <w:tab w:val="left" w:pos="5387"/>
        </w:tabs>
        <w:spacing w:before="0" w:after="120"/>
        <w:jc w:val="both"/>
        <w:rPr>
          <w:szCs w:val="24"/>
          <w:lang w:val="ru-RU"/>
        </w:rPr>
      </w:pPr>
      <w:r w:rsidRPr="00411576">
        <w:rPr>
          <w:lang w:val="ru-RU"/>
        </w:rPr>
        <w:t>Д. БОГДАН-МАРТИН</w:t>
      </w:r>
      <w:r w:rsidRPr="00411576">
        <w:rPr>
          <w:lang w:val="ru-RU"/>
        </w:rPr>
        <w:tab/>
        <w:t>К. ФЛУТУР</w:t>
      </w:r>
    </w:p>
    <w:sectPr w:rsidR="003C1802" w:rsidRPr="00411576" w:rsidSect="00796BD3">
      <w:footerReference w:type="default" r:id="rId40"/>
      <w:headerReference w:type="first" r:id="rId41"/>
      <w:footerReference w:type="first" r:id="rId4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1953" w14:textId="77777777" w:rsidR="00F15F1B" w:rsidRDefault="00F15F1B">
      <w:r>
        <w:separator/>
      </w:r>
    </w:p>
  </w:endnote>
  <w:endnote w:type="continuationSeparator" w:id="0">
    <w:p w14:paraId="67F321FA" w14:textId="77777777" w:rsidR="00F15F1B" w:rsidRDefault="00F1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22C6D419" w14:textId="77777777" w:rsidTr="00E31DCE">
      <w:trPr>
        <w:jc w:val="center"/>
      </w:trPr>
      <w:tc>
        <w:tcPr>
          <w:tcW w:w="1803" w:type="dxa"/>
          <w:vAlign w:val="center"/>
        </w:tcPr>
        <w:p w14:paraId="794BBD74" w14:textId="7C8C7D32" w:rsidR="00672F8A" w:rsidRDefault="00672F8A" w:rsidP="00672F8A">
          <w:pPr>
            <w:pStyle w:val="Header"/>
            <w:jc w:val="left"/>
            <w:rPr>
              <w:noProof/>
            </w:rPr>
          </w:pPr>
        </w:p>
      </w:tc>
      <w:tc>
        <w:tcPr>
          <w:tcW w:w="8261" w:type="dxa"/>
        </w:tcPr>
        <w:p w14:paraId="69B0129C" w14:textId="796DE8B5"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345D2A">
            <w:rPr>
              <w:bCs/>
            </w:rPr>
            <w:t>5</w:t>
          </w:r>
          <w:r w:rsidRPr="00623AE3">
            <w:rPr>
              <w:bCs/>
            </w:rPr>
            <w:t>/</w:t>
          </w:r>
          <w:r w:rsidR="003C1802">
            <w:rPr>
              <w:bCs/>
            </w:rPr>
            <w:t>112</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40C38C5D"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159252A8" w14:textId="77777777" w:rsidTr="00E31DCE">
      <w:trPr>
        <w:jc w:val="center"/>
      </w:trPr>
      <w:tc>
        <w:tcPr>
          <w:tcW w:w="1803" w:type="dxa"/>
          <w:vAlign w:val="center"/>
        </w:tcPr>
        <w:p w14:paraId="06743D96" w14:textId="42DFE8FF" w:rsidR="00672F8A" w:rsidRDefault="00D631AA" w:rsidP="00672F8A">
          <w:pPr>
            <w:pStyle w:val="Header"/>
            <w:jc w:val="left"/>
            <w:rPr>
              <w:noProof/>
            </w:rPr>
          </w:pPr>
          <w:r w:rsidRPr="00D631AA">
            <w:rPr>
              <w:color w:val="0563C1"/>
              <w:szCs w:val="14"/>
            </w:rPr>
            <w:t>council.itu.int/2025</w:t>
          </w:r>
        </w:p>
      </w:tc>
      <w:tc>
        <w:tcPr>
          <w:tcW w:w="8261" w:type="dxa"/>
        </w:tcPr>
        <w:p w14:paraId="346B5B17" w14:textId="5A084A9D"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345D2A">
            <w:rPr>
              <w:bCs/>
            </w:rPr>
            <w:t>5</w:t>
          </w:r>
          <w:r w:rsidRPr="00623AE3">
            <w:rPr>
              <w:bCs/>
            </w:rPr>
            <w:t>/</w:t>
          </w:r>
          <w:r w:rsidR="003C1802">
            <w:rPr>
              <w:bCs/>
            </w:rPr>
            <w:t>112</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2979AD95"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51CC0" w14:textId="77777777" w:rsidR="00F15F1B" w:rsidRDefault="00F15F1B">
      <w:r>
        <w:t>____________________</w:t>
      </w:r>
    </w:p>
  </w:footnote>
  <w:footnote w:type="continuationSeparator" w:id="0">
    <w:p w14:paraId="1454FFD0" w14:textId="77777777" w:rsidR="00F15F1B" w:rsidRDefault="00F15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9"/>
      <w:gridCol w:w="3661"/>
    </w:tblGrid>
    <w:tr w:rsidR="00156890" w:rsidRPr="00784011" w14:paraId="7BB0AE95" w14:textId="77777777" w:rsidTr="00156890">
      <w:trPr>
        <w:trHeight w:val="1104"/>
        <w:jc w:val="center"/>
      </w:trPr>
      <w:tc>
        <w:tcPr>
          <w:tcW w:w="6359" w:type="dxa"/>
          <w:vAlign w:val="center"/>
        </w:tcPr>
        <w:p w14:paraId="65A9CAA7" w14:textId="548BDF22" w:rsidR="00156890" w:rsidRDefault="00156890" w:rsidP="00796BD3">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14FC0DEB" wp14:editId="19801713">
                <wp:extent cx="3901233" cy="612000"/>
                <wp:effectExtent l="0" t="0" r="0" b="0"/>
                <wp:docPr id="1838873251" name="Picture 2"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73251" name="Picture 2"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01233" cy="612000"/>
                        </a:xfrm>
                        <a:prstGeom prst="rect">
                          <a:avLst/>
                        </a:prstGeom>
                      </pic:spPr>
                    </pic:pic>
                  </a:graphicData>
                </a:graphic>
              </wp:inline>
            </w:drawing>
          </w:r>
        </w:p>
      </w:tc>
      <w:tc>
        <w:tcPr>
          <w:tcW w:w="3661" w:type="dxa"/>
        </w:tcPr>
        <w:p w14:paraId="3DD05098" w14:textId="77777777" w:rsidR="00156890" w:rsidRDefault="00156890" w:rsidP="00796BD3">
          <w:pPr>
            <w:pStyle w:val="Header"/>
            <w:jc w:val="right"/>
            <w:rPr>
              <w:rFonts w:ascii="Arial" w:hAnsi="Arial" w:cs="Arial"/>
              <w:b/>
              <w:bCs/>
              <w:color w:val="009CD6"/>
              <w:szCs w:val="18"/>
            </w:rPr>
          </w:pPr>
        </w:p>
      </w:tc>
    </w:tr>
  </w:tbl>
  <w:p w14:paraId="008408D1" w14:textId="6452FD5C" w:rsidR="0014229E" w:rsidRDefault="00796BD3" w:rsidP="0014229E">
    <w:pPr>
      <w:pStyle w:val="Header"/>
      <w:spacing w:after="24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AF2FE86" wp14:editId="771B1545">
              <wp:simplePos x="0" y="0"/>
              <wp:positionH relativeFrom="page">
                <wp:posOffset>21285</wp:posOffset>
              </wp:positionH>
              <wp:positionV relativeFrom="topMargin">
                <wp:posOffset>629920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B7791" id="Rectangle 5" o:spid="_x0000_s1026" style="position:absolute;margin-left:1.7pt;margin-top:49.6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49"/>
    <w:rsid w:val="00005BE0"/>
    <w:rsid w:val="00016006"/>
    <w:rsid w:val="0002183E"/>
    <w:rsid w:val="00022329"/>
    <w:rsid w:val="00030D6B"/>
    <w:rsid w:val="000569B4"/>
    <w:rsid w:val="0006007D"/>
    <w:rsid w:val="0007184B"/>
    <w:rsid w:val="00080E82"/>
    <w:rsid w:val="000B2DE7"/>
    <w:rsid w:val="000C144D"/>
    <w:rsid w:val="000E568E"/>
    <w:rsid w:val="000E5C47"/>
    <w:rsid w:val="000F2AF8"/>
    <w:rsid w:val="0014229E"/>
    <w:rsid w:val="00143C36"/>
    <w:rsid w:val="0014734F"/>
    <w:rsid w:val="00152C76"/>
    <w:rsid w:val="00156890"/>
    <w:rsid w:val="0015710D"/>
    <w:rsid w:val="00163A32"/>
    <w:rsid w:val="00165D06"/>
    <w:rsid w:val="00192B41"/>
    <w:rsid w:val="001A3E20"/>
    <w:rsid w:val="001B7B09"/>
    <w:rsid w:val="001E6719"/>
    <w:rsid w:val="001E7F50"/>
    <w:rsid w:val="001F40D8"/>
    <w:rsid w:val="00214582"/>
    <w:rsid w:val="00225368"/>
    <w:rsid w:val="00227FF0"/>
    <w:rsid w:val="002749F2"/>
    <w:rsid w:val="00291EB6"/>
    <w:rsid w:val="002C3F32"/>
    <w:rsid w:val="002D2F57"/>
    <w:rsid w:val="002D48C5"/>
    <w:rsid w:val="002F7227"/>
    <w:rsid w:val="0033025A"/>
    <w:rsid w:val="00342CEF"/>
    <w:rsid w:val="00345D2A"/>
    <w:rsid w:val="003733C4"/>
    <w:rsid w:val="003C1802"/>
    <w:rsid w:val="003F099E"/>
    <w:rsid w:val="003F235E"/>
    <w:rsid w:val="003F2CAA"/>
    <w:rsid w:val="00401FD7"/>
    <w:rsid w:val="004023E0"/>
    <w:rsid w:val="00403DD8"/>
    <w:rsid w:val="00411576"/>
    <w:rsid w:val="00442515"/>
    <w:rsid w:val="0045686C"/>
    <w:rsid w:val="00456E3F"/>
    <w:rsid w:val="00471069"/>
    <w:rsid w:val="004918C4"/>
    <w:rsid w:val="00497703"/>
    <w:rsid w:val="004A0374"/>
    <w:rsid w:val="004A45B5"/>
    <w:rsid w:val="004C597F"/>
    <w:rsid w:val="004D0129"/>
    <w:rsid w:val="00515795"/>
    <w:rsid w:val="005A64D5"/>
    <w:rsid w:val="005B3DEC"/>
    <w:rsid w:val="005D347A"/>
    <w:rsid w:val="00601994"/>
    <w:rsid w:val="00603B62"/>
    <w:rsid w:val="00657FFD"/>
    <w:rsid w:val="00660449"/>
    <w:rsid w:val="00672F8A"/>
    <w:rsid w:val="006A4CD2"/>
    <w:rsid w:val="006A7EC1"/>
    <w:rsid w:val="006E225E"/>
    <w:rsid w:val="006E2D42"/>
    <w:rsid w:val="00703676"/>
    <w:rsid w:val="00707304"/>
    <w:rsid w:val="00731B05"/>
    <w:rsid w:val="00732269"/>
    <w:rsid w:val="007604D0"/>
    <w:rsid w:val="00762555"/>
    <w:rsid w:val="0077110E"/>
    <w:rsid w:val="00785ABD"/>
    <w:rsid w:val="00796BD3"/>
    <w:rsid w:val="007A2DD4"/>
    <w:rsid w:val="007D38B5"/>
    <w:rsid w:val="007E7EA0"/>
    <w:rsid w:val="00807255"/>
    <w:rsid w:val="0081023E"/>
    <w:rsid w:val="008173AA"/>
    <w:rsid w:val="00840A14"/>
    <w:rsid w:val="008B4484"/>
    <w:rsid w:val="008B62B4"/>
    <w:rsid w:val="008D2D7B"/>
    <w:rsid w:val="008D6D2A"/>
    <w:rsid w:val="008E0737"/>
    <w:rsid w:val="008E1EFB"/>
    <w:rsid w:val="008E754F"/>
    <w:rsid w:val="008F7C2C"/>
    <w:rsid w:val="00940E96"/>
    <w:rsid w:val="00950A82"/>
    <w:rsid w:val="009B0BAE"/>
    <w:rsid w:val="009C1C89"/>
    <w:rsid w:val="009F3448"/>
    <w:rsid w:val="00A01CF9"/>
    <w:rsid w:val="00A04E78"/>
    <w:rsid w:val="00A20B63"/>
    <w:rsid w:val="00A501D6"/>
    <w:rsid w:val="00A71773"/>
    <w:rsid w:val="00AC0B91"/>
    <w:rsid w:val="00AE2C85"/>
    <w:rsid w:val="00B0107F"/>
    <w:rsid w:val="00B12A37"/>
    <w:rsid w:val="00B41837"/>
    <w:rsid w:val="00B63EF2"/>
    <w:rsid w:val="00BA55CE"/>
    <w:rsid w:val="00BA7D89"/>
    <w:rsid w:val="00BC0D39"/>
    <w:rsid w:val="00BC7BC0"/>
    <w:rsid w:val="00BD57B7"/>
    <w:rsid w:val="00BD6CF1"/>
    <w:rsid w:val="00BE63E2"/>
    <w:rsid w:val="00C012E5"/>
    <w:rsid w:val="00C22859"/>
    <w:rsid w:val="00C42122"/>
    <w:rsid w:val="00C462C5"/>
    <w:rsid w:val="00C54C1D"/>
    <w:rsid w:val="00C84883"/>
    <w:rsid w:val="00CC10D8"/>
    <w:rsid w:val="00CD2009"/>
    <w:rsid w:val="00CF1F61"/>
    <w:rsid w:val="00CF629C"/>
    <w:rsid w:val="00D631AA"/>
    <w:rsid w:val="00D92EEA"/>
    <w:rsid w:val="00D97709"/>
    <w:rsid w:val="00DA5D4E"/>
    <w:rsid w:val="00DA770A"/>
    <w:rsid w:val="00DE67F7"/>
    <w:rsid w:val="00E05752"/>
    <w:rsid w:val="00E13769"/>
    <w:rsid w:val="00E176BA"/>
    <w:rsid w:val="00E423EC"/>
    <w:rsid w:val="00E55121"/>
    <w:rsid w:val="00E61DDC"/>
    <w:rsid w:val="00E837D6"/>
    <w:rsid w:val="00EB4FCB"/>
    <w:rsid w:val="00EC6BC5"/>
    <w:rsid w:val="00EF39C7"/>
    <w:rsid w:val="00EF5DF1"/>
    <w:rsid w:val="00F15F1B"/>
    <w:rsid w:val="00F348D0"/>
    <w:rsid w:val="00F35898"/>
    <w:rsid w:val="00F5225B"/>
    <w:rsid w:val="00F61659"/>
    <w:rsid w:val="00FB380A"/>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F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EF5DF1"/>
    <w:pPr>
      <w:keepNext/>
      <w:keepLines/>
      <w:spacing w:before="36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227FF0"/>
  </w:style>
  <w:style w:type="paragraph" w:styleId="TOC4">
    <w:name w:val="toc 4"/>
    <w:basedOn w:val="TOC3"/>
    <w:rsid w:val="00227FF0"/>
    <w:pPr>
      <w:spacing w:before="80"/>
    </w:pPr>
  </w:style>
  <w:style w:type="paragraph" w:styleId="TOC3">
    <w:name w:val="toc 3"/>
    <w:basedOn w:val="TOC2"/>
    <w:rsid w:val="00227FF0"/>
  </w:style>
  <w:style w:type="paragraph" w:styleId="TOC2">
    <w:name w:val="toc 2"/>
    <w:basedOn w:val="TOC1"/>
    <w:rsid w:val="00227FF0"/>
    <w:pPr>
      <w:spacing w:before="160"/>
    </w:pPr>
  </w:style>
  <w:style w:type="paragraph" w:styleId="TOC1">
    <w:name w:val="toc 1"/>
    <w:basedOn w:val="Normal"/>
    <w:rsid w:val="00227FF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227FF0"/>
  </w:style>
  <w:style w:type="paragraph" w:styleId="TOC6">
    <w:name w:val="toc 6"/>
    <w:basedOn w:val="TOC4"/>
    <w:rsid w:val="00227FF0"/>
  </w:style>
  <w:style w:type="paragraph" w:styleId="TOC5">
    <w:name w:val="toc 5"/>
    <w:basedOn w:val="TOC4"/>
    <w:rsid w:val="00227FF0"/>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227FF0"/>
    <w:pPr>
      <w:tabs>
        <w:tab w:val="clear" w:pos="1191"/>
        <w:tab w:val="clear" w:pos="1588"/>
        <w:tab w:val="clear" w:pos="1985"/>
        <w:tab w:val="center" w:pos="8789"/>
      </w:tabs>
    </w:pPr>
    <w:rPr>
      <w:b/>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227FF0"/>
    <w:pPr>
      <w:spacing w:before="480"/>
      <w:jc w:val="center"/>
    </w:pPr>
    <w:rPr>
      <w:b/>
      <w:sz w:val="26"/>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227FF0"/>
    <w:rPr>
      <w:color w:val="0000FF"/>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TOC4"/>
    <w:rsid w:val="00227FF0"/>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spacing w:before="240"/>
    </w:pPr>
    <w:rPr>
      <w:caps w:val="0"/>
    </w:rPr>
  </w:style>
  <w:style w:type="paragraph" w:customStyle="1" w:styleId="Title4">
    <w:name w:val="Title 4"/>
    <w:basedOn w:val="Title3"/>
    <w:next w:val="Heading1"/>
    <w:rsid w:val="00227FF0"/>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227FF0"/>
    <w:pPr>
      <w:keepNext/>
      <w:keepLines/>
      <w:spacing w:after="120"/>
      <w:jc w:val="center"/>
    </w:pPr>
  </w:style>
  <w:style w:type="paragraph" w:customStyle="1" w:styleId="Figuretitle">
    <w:name w:val="Figure_title"/>
    <w:basedOn w:val="Tabletitle"/>
    <w:next w:val="Normalaftertitle"/>
    <w:rsid w:val="00227FF0"/>
    <w:pPr>
      <w:spacing w:before="240" w:after="480"/>
    </w:pPr>
  </w:style>
  <w:style w:type="paragraph" w:customStyle="1" w:styleId="Tabletitle">
    <w:name w:val="Table_title"/>
    <w:basedOn w:val="TableNo"/>
    <w:next w:val="Tabletext"/>
    <w:rsid w:val="001E6719"/>
    <w:pPr>
      <w:spacing w:before="0"/>
    </w:pPr>
    <w:rPr>
      <w:b/>
      <w:caps w:val="0"/>
    </w:rPr>
  </w:style>
  <w:style w:type="paragraph" w:customStyle="1" w:styleId="TableNo">
    <w:name w:val="Table_No"/>
    <w:basedOn w:val="Normal"/>
    <w:next w:val="Tabletitle"/>
    <w:rsid w:val="00227FF0"/>
    <w:pPr>
      <w:keepNext/>
      <w:spacing w:before="360" w:after="120"/>
      <w:jc w:val="center"/>
    </w:pPr>
    <w:rPr>
      <w:caps/>
    </w:rPr>
  </w:style>
  <w:style w:type="paragraph" w:customStyle="1" w:styleId="Tabletext">
    <w:name w:val="Table_text"/>
    <w:basedOn w:val="Normal"/>
    <w:rsid w:val="00E423E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227FF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227FF0"/>
    <w:pPr>
      <w:keepNext/>
      <w:keepLines/>
      <w:spacing w:before="240" w:after="120"/>
      <w:jc w:val="center"/>
    </w:pPr>
    <w:rPr>
      <w:caps/>
    </w:rPr>
  </w:style>
  <w:style w:type="paragraph" w:customStyle="1" w:styleId="Figurewithouttitle">
    <w:name w:val="Figure_without_title"/>
    <w:basedOn w:val="Figure"/>
    <w:next w:val="Normalaftertitle"/>
    <w:rsid w:val="00227FF0"/>
    <w:pPr>
      <w:keepNext w:val="0"/>
      <w:spacing w:after="240"/>
    </w:pPr>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227FF0"/>
    <w:pPr>
      <w:spacing w:before="120"/>
    </w:pPr>
  </w:style>
  <w:style w:type="paragraph" w:customStyle="1" w:styleId="Tableref">
    <w:name w:val="Table_ref"/>
    <w:basedOn w:val="Normal"/>
    <w:next w:val="Tabletitle"/>
    <w:rsid w:val="00227FF0"/>
    <w:pPr>
      <w:keepNext/>
      <w:spacing w:before="567"/>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hAnchor="page" w:x="1821" w:y="2317"/>
      <w:spacing w:before="120" w:after="160"/>
      <w:jc w:val="left"/>
    </w:pPr>
    <w:rPr>
      <w:caps w:val="0"/>
      <w:sz w:val="34"/>
    </w:rPr>
  </w:style>
  <w:style w:type="character" w:styleId="PlaceholderText">
    <w:name w:val="Placeholder Text"/>
    <w:basedOn w:val="DefaultParagraphFont"/>
    <w:uiPriority w:val="99"/>
    <w:semiHidden/>
    <w:rsid w:val="00D631AA"/>
    <w:rPr>
      <w:color w:val="666666"/>
    </w:rPr>
  </w:style>
  <w:style w:type="paragraph" w:styleId="CommentText">
    <w:name w:val="annotation text"/>
    <w:basedOn w:val="Normal"/>
    <w:link w:val="CommentTextChar"/>
    <w:semiHidden/>
    <w:unhideWhenUsed/>
    <w:rsid w:val="003C1802"/>
    <w:rPr>
      <w:sz w:val="20"/>
    </w:rPr>
  </w:style>
  <w:style w:type="character" w:customStyle="1" w:styleId="CommentTextChar">
    <w:name w:val="Comment Text Char"/>
    <w:basedOn w:val="DefaultParagraphFont"/>
    <w:link w:val="CommentText"/>
    <w:semiHidden/>
    <w:rsid w:val="003C1802"/>
    <w:rPr>
      <w:rFonts w:ascii="Calibri" w:hAnsi="Calibri"/>
      <w:lang w:val="en-GB" w:eastAsia="en-US"/>
    </w:rPr>
  </w:style>
  <w:style w:type="paragraph" w:styleId="CommentSubject">
    <w:name w:val="annotation subject"/>
    <w:basedOn w:val="CommentText"/>
    <w:next w:val="CommentText"/>
    <w:link w:val="CommentSubjectChar"/>
    <w:semiHidden/>
    <w:unhideWhenUsed/>
    <w:rsid w:val="003C1802"/>
    <w:pPr>
      <w:tabs>
        <w:tab w:val="clear" w:pos="794"/>
        <w:tab w:val="clear" w:pos="1191"/>
        <w:tab w:val="clear" w:pos="1588"/>
        <w:tab w:val="clear" w:pos="1985"/>
        <w:tab w:val="left" w:pos="567"/>
        <w:tab w:val="left" w:pos="1134"/>
        <w:tab w:val="left" w:pos="1701"/>
        <w:tab w:val="left" w:pos="2268"/>
        <w:tab w:val="left" w:pos="2835"/>
      </w:tabs>
    </w:pPr>
    <w:rPr>
      <w:b/>
      <w:bCs/>
    </w:rPr>
  </w:style>
  <w:style w:type="character" w:customStyle="1" w:styleId="CommentSubjectChar">
    <w:name w:val="Comment Subject Char"/>
    <w:basedOn w:val="CommentTextChar"/>
    <w:link w:val="CommentSubject"/>
    <w:semiHidden/>
    <w:rsid w:val="003C1802"/>
    <w:rPr>
      <w:rFonts w:ascii="Calibri" w:hAnsi="Calibri"/>
      <w:b/>
      <w:bCs/>
      <w:lang w:val="en-GB" w:eastAsia="en-US"/>
    </w:rPr>
  </w:style>
  <w:style w:type="character" w:styleId="UnresolvedMention">
    <w:name w:val="Unresolved Mention"/>
    <w:basedOn w:val="DefaultParagraphFont"/>
    <w:uiPriority w:val="99"/>
    <w:semiHidden/>
    <w:unhideWhenUsed/>
    <w:rsid w:val="003C1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250617-TD-0004/en" TargetMode="External"/><Relationship Id="rId18" Type="http://schemas.openxmlformats.org/officeDocument/2006/relationships/hyperlink" Target="http://www.itu.int/md/S25-CL-C-0058/en" TargetMode="External"/><Relationship Id="rId26" Type="http://schemas.openxmlformats.org/officeDocument/2006/relationships/hyperlink" Target="http://www.itu.int/md/S25-CL-C-0071/en" TargetMode="External"/><Relationship Id="rId39" Type="http://schemas.openxmlformats.org/officeDocument/2006/relationships/hyperlink" Target="http://council.itu.int/2025/wp-content/uploads/sites/5/2025/07/Statement_1408_Russia_250625-e-1.pdf" TargetMode="External"/><Relationship Id="rId21" Type="http://schemas.openxmlformats.org/officeDocument/2006/relationships/hyperlink" Target="http://www.itu.int/md/S25-CL-C-0045/en" TargetMode="External"/><Relationship Id="rId34" Type="http://schemas.openxmlformats.org/officeDocument/2006/relationships/hyperlink" Target="http://council.itu.int/2025/wp-content/uploads/sites/5/2025/07/Statement-joint-Poland-multicountries-250625.pdf" TargetMode="External"/><Relationship Id="rId42" Type="http://schemas.openxmlformats.org/officeDocument/2006/relationships/footer" Target="footer2.xml"/><Relationship Id="rId7" Type="http://schemas.openxmlformats.org/officeDocument/2006/relationships/hyperlink" Target="https://www.itu.int/md/S25-CL-250617-TD-0004/en" TargetMode="External"/><Relationship Id="rId2" Type="http://schemas.openxmlformats.org/officeDocument/2006/relationships/styles" Target="styles.xml"/><Relationship Id="rId16" Type="http://schemas.openxmlformats.org/officeDocument/2006/relationships/hyperlink" Target="http://www.itu.int/md/S25-CL-C-0058/en" TargetMode="External"/><Relationship Id="rId20" Type="http://schemas.openxmlformats.org/officeDocument/2006/relationships/hyperlink" Target="http://www.itu.int/md/S25-CL-C-0045/en" TargetMode="External"/><Relationship Id="rId29" Type="http://schemas.openxmlformats.org/officeDocument/2006/relationships/hyperlink" Target="http://council.itu.int/2025/wp-content/uploads/sites/5/2025/07/Statement_Palestine-250625e.pdf"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md/S25-CL-C-0068/en" TargetMode="External"/><Relationship Id="rId24" Type="http://schemas.openxmlformats.org/officeDocument/2006/relationships/hyperlink" Target="http://www.itu.int/md/S25-CL-C-0072/en" TargetMode="External"/><Relationship Id="rId32" Type="http://schemas.openxmlformats.org/officeDocument/2006/relationships/hyperlink" Target="http://council.itu.int/2025/wp-content/uploads/sites/5/2025/07/Statement-joint-Ukraine-co-countries-250625-e.pdf" TargetMode="External"/><Relationship Id="rId37" Type="http://schemas.openxmlformats.org/officeDocument/2006/relationships/hyperlink" Target="http://council.itu.int/2025/wp-content/uploads/sites/5/2025/07/Statement_Canada-250625-e.pdf"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tu.int/md/S25-CL-250617-TD-0004/en" TargetMode="External"/><Relationship Id="rId23" Type="http://schemas.openxmlformats.org/officeDocument/2006/relationships/hyperlink" Target="https://www.itu.int/md/S25-CL-C-0035/en" TargetMode="External"/><Relationship Id="rId28" Type="http://schemas.openxmlformats.org/officeDocument/2006/relationships/hyperlink" Target="http://council.itu.int/2025/wp-content/uploads/sites/5/2025/07/Statement_Palestine-250625e.pdf" TargetMode="External"/><Relationship Id="rId36" Type="http://schemas.openxmlformats.org/officeDocument/2006/relationships/hyperlink" Target="http://council.itu.int/2025/wp-content/uploads/sites/5/2025/07/Statement_Canada-250625-e.pdf" TargetMode="External"/><Relationship Id="rId10" Type="http://schemas.openxmlformats.org/officeDocument/2006/relationships/hyperlink" Target="http://www.itu.int/md/S25-CL-C-0071/en" TargetMode="External"/><Relationship Id="rId19" Type="http://schemas.openxmlformats.org/officeDocument/2006/relationships/hyperlink" Target="http://www.itu.int/md/S25-CL-C-0101/en" TargetMode="External"/><Relationship Id="rId31" Type="http://schemas.openxmlformats.org/officeDocument/2006/relationships/hyperlink" Target="http://www.itu.int/md/S25-CL-C-0068/en"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u.int/md/S25-CL-C-0101/en" TargetMode="External"/><Relationship Id="rId14" Type="http://schemas.openxmlformats.org/officeDocument/2006/relationships/hyperlink" Target="http://www.itu.int/md/S25-CL-C-0033/en" TargetMode="External"/><Relationship Id="rId22" Type="http://schemas.openxmlformats.org/officeDocument/2006/relationships/hyperlink" Target="https://www.itu.int/md/S25-CL-C-0035/en" TargetMode="External"/><Relationship Id="rId27" Type="http://schemas.openxmlformats.org/officeDocument/2006/relationships/hyperlink" Target="http://www.itu.int/md/S25-CL-C-0071/en" TargetMode="External"/><Relationship Id="rId30" Type="http://schemas.openxmlformats.org/officeDocument/2006/relationships/hyperlink" Target="http://www.itu.int/md/S25-CL-C-0068/en" TargetMode="External"/><Relationship Id="rId35" Type="http://schemas.openxmlformats.org/officeDocument/2006/relationships/hyperlink" Target="http://council.itu.int/2025/wp-content/uploads/sites/5/2025/07/Statement-joint-Poland-multicountries-250625.pdf" TargetMode="External"/><Relationship Id="rId43" Type="http://schemas.openxmlformats.org/officeDocument/2006/relationships/fontTable" Target="fontTable.xml"/><Relationship Id="rId8" Type="http://schemas.openxmlformats.org/officeDocument/2006/relationships/hyperlink" Target="http://www.itu.int/md/S25-CL-C-0058/en" TargetMode="External"/><Relationship Id="rId3" Type="http://schemas.openxmlformats.org/officeDocument/2006/relationships/settings" Target="settings.xml"/><Relationship Id="rId12" Type="http://schemas.openxmlformats.org/officeDocument/2006/relationships/hyperlink" Target="http://www.itu.int/md/S25-CL-C-0033/en" TargetMode="External"/><Relationship Id="rId17" Type="http://schemas.openxmlformats.org/officeDocument/2006/relationships/hyperlink" Target="http://www.itu.int/md/S25-CL-C-0101/en" TargetMode="External"/><Relationship Id="rId25" Type="http://schemas.openxmlformats.org/officeDocument/2006/relationships/hyperlink" Target="http://www.itu.int/md/S25-CL-C-0072/en" TargetMode="External"/><Relationship Id="rId33" Type="http://schemas.openxmlformats.org/officeDocument/2006/relationships/hyperlink" Target="http://council.itu.int/2025/wp-content/uploads/sites/5/2025/07/Statement-joint-Ukraine-co-countries-250625-e.pdf" TargetMode="External"/><Relationship Id="rId38" Type="http://schemas.openxmlformats.org/officeDocument/2006/relationships/hyperlink" Target="http://council.itu.int/2025/wp-content/uploads/sites/5/2025/07/Statement_1408_Russia_250625-e-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3015</Words>
  <Characters>23926</Characters>
  <Application>Microsoft Office Word</Application>
  <DocSecurity>0</DocSecurity>
  <Lines>199</Lines>
  <Paragraphs>53</Paragraphs>
  <ScaleCrop>false</ScaleCrop>
  <Manager/>
  <Company/>
  <LinksUpToDate>false</LinksUpToDate>
  <CharactersWithSpaces>26888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sixth Plenary meeting of the ITU Council-25</dc:title>
  <dc:subject/>
  <dc:creator/>
  <cp:keywords>C2025, C25, Council-25</cp:keywords>
  <dc:description/>
  <cp:lastModifiedBy/>
  <cp:revision>1</cp:revision>
  <dcterms:created xsi:type="dcterms:W3CDTF">2025-09-11T14:10:00Z</dcterms:created>
  <dcterms:modified xsi:type="dcterms:W3CDTF">2025-09-11T14:10:00Z</dcterms:modified>
  <cp:category/>
</cp:coreProperties>
</file>