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663D4D" w14:paraId="0043AC80" w14:textId="77777777" w:rsidTr="00AD3606">
        <w:trPr>
          <w:cantSplit/>
          <w:trHeight w:val="23"/>
        </w:trPr>
        <w:tc>
          <w:tcPr>
            <w:tcW w:w="3969" w:type="dxa"/>
            <w:vMerge w:val="restart"/>
            <w:tcMar>
              <w:left w:w="0" w:type="dxa"/>
            </w:tcMar>
          </w:tcPr>
          <w:p w14:paraId="60A806D3" w14:textId="33A86F31" w:rsidR="00AD3606" w:rsidRPr="003420C2" w:rsidRDefault="00AD3606" w:rsidP="00472BAD">
            <w:pPr>
              <w:tabs>
                <w:tab w:val="left" w:pos="851"/>
              </w:tabs>
              <w:spacing w:before="0" w:line="240" w:lineRule="atLeast"/>
              <w:rPr>
                <w:b/>
                <w:lang w:val="ro-RO"/>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142095FD" w:rsidR="00AD3606" w:rsidRPr="00663D4D" w:rsidRDefault="00AD3606" w:rsidP="00472BAD">
            <w:pPr>
              <w:tabs>
                <w:tab w:val="left" w:pos="851"/>
              </w:tabs>
              <w:spacing w:before="0" w:line="240" w:lineRule="atLeast"/>
              <w:jc w:val="right"/>
              <w:rPr>
                <w:b/>
              </w:rPr>
            </w:pPr>
            <w:r w:rsidRPr="00663D4D">
              <w:rPr>
                <w:b/>
              </w:rPr>
              <w:t>Document C2</w:t>
            </w:r>
            <w:r w:rsidR="000C76A9" w:rsidRPr="00663D4D">
              <w:rPr>
                <w:b/>
              </w:rPr>
              <w:t>5</w:t>
            </w:r>
            <w:r w:rsidRPr="00663D4D">
              <w:rPr>
                <w:b/>
              </w:rPr>
              <w:t>/</w:t>
            </w:r>
            <w:r w:rsidR="007432D5">
              <w:rPr>
                <w:b/>
              </w:rPr>
              <w:t>112</w:t>
            </w:r>
            <w:r w:rsidRPr="00663D4D">
              <w:rPr>
                <w:b/>
              </w:rPr>
              <w:t>-E</w:t>
            </w:r>
          </w:p>
        </w:tc>
      </w:tr>
      <w:tr w:rsidR="00AD3606" w:rsidRPr="00663D4D" w14:paraId="789B45BA" w14:textId="77777777" w:rsidTr="00AD3606">
        <w:trPr>
          <w:cantSplit/>
        </w:trPr>
        <w:tc>
          <w:tcPr>
            <w:tcW w:w="3969" w:type="dxa"/>
            <w:vMerge/>
          </w:tcPr>
          <w:p w14:paraId="3F3D4E17" w14:textId="77777777" w:rsidR="00AD3606" w:rsidRPr="00663D4D"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481834D8" w:rsidR="00AD3606" w:rsidRPr="00663D4D" w:rsidRDefault="00D966BA" w:rsidP="00AD3606">
            <w:pPr>
              <w:tabs>
                <w:tab w:val="left" w:pos="851"/>
              </w:tabs>
              <w:spacing w:before="0"/>
              <w:jc w:val="right"/>
              <w:rPr>
                <w:b/>
              </w:rPr>
            </w:pPr>
            <w:r>
              <w:rPr>
                <w:b/>
              </w:rPr>
              <w:t>9</w:t>
            </w:r>
            <w:r w:rsidR="00CA3CC9">
              <w:rPr>
                <w:b/>
              </w:rPr>
              <w:t xml:space="preserve"> September</w:t>
            </w:r>
            <w:r w:rsidR="00C15456" w:rsidRPr="005B19AD">
              <w:rPr>
                <w:b/>
              </w:rPr>
              <w:t xml:space="preserve"> </w:t>
            </w:r>
            <w:r w:rsidR="00AD3606" w:rsidRPr="005B19AD">
              <w:rPr>
                <w:b/>
              </w:rPr>
              <w:t>202</w:t>
            </w:r>
            <w:r w:rsidR="000C76A9" w:rsidRPr="005B19AD">
              <w:rPr>
                <w:b/>
              </w:rPr>
              <w:t>5</w:t>
            </w:r>
          </w:p>
        </w:tc>
      </w:tr>
      <w:tr w:rsidR="00AD3606" w:rsidRPr="00663D4D" w14:paraId="58A84C4A" w14:textId="77777777" w:rsidTr="00AD3606">
        <w:trPr>
          <w:cantSplit/>
          <w:trHeight w:val="23"/>
        </w:trPr>
        <w:tc>
          <w:tcPr>
            <w:tcW w:w="3969" w:type="dxa"/>
            <w:vMerge/>
          </w:tcPr>
          <w:p w14:paraId="77CEDDAA" w14:textId="77777777" w:rsidR="00AD3606" w:rsidRPr="00663D4D" w:rsidRDefault="00AD3606" w:rsidP="00AD3606">
            <w:pPr>
              <w:tabs>
                <w:tab w:val="left" w:pos="851"/>
              </w:tabs>
              <w:spacing w:line="240" w:lineRule="atLeast"/>
              <w:rPr>
                <w:b/>
              </w:rPr>
            </w:pPr>
            <w:bookmarkStart w:id="7" w:name="dorlang" w:colFirst="1" w:colLast="1"/>
            <w:bookmarkEnd w:id="6"/>
          </w:p>
        </w:tc>
        <w:tc>
          <w:tcPr>
            <w:tcW w:w="5245" w:type="dxa"/>
          </w:tcPr>
          <w:p w14:paraId="561AAE94" w14:textId="77777777" w:rsidR="00AD3606" w:rsidRPr="00663D4D" w:rsidRDefault="00AD3606" w:rsidP="00AD3606">
            <w:pPr>
              <w:tabs>
                <w:tab w:val="left" w:pos="851"/>
              </w:tabs>
              <w:spacing w:before="0" w:line="240" w:lineRule="atLeast"/>
              <w:jc w:val="right"/>
              <w:rPr>
                <w:b/>
              </w:rPr>
            </w:pPr>
            <w:r w:rsidRPr="00663D4D">
              <w:rPr>
                <w:b/>
              </w:rPr>
              <w:t>Original: English</w:t>
            </w:r>
          </w:p>
        </w:tc>
      </w:tr>
      <w:tr w:rsidR="00472BAD" w:rsidRPr="00663D4D" w14:paraId="12C5EF5F" w14:textId="77777777" w:rsidTr="00AD3606">
        <w:trPr>
          <w:cantSplit/>
          <w:trHeight w:val="23"/>
        </w:trPr>
        <w:tc>
          <w:tcPr>
            <w:tcW w:w="3969" w:type="dxa"/>
          </w:tcPr>
          <w:p w14:paraId="4B839BA2" w14:textId="77777777" w:rsidR="00472BAD" w:rsidRPr="00663D4D" w:rsidRDefault="00472BAD" w:rsidP="00AD3606">
            <w:pPr>
              <w:tabs>
                <w:tab w:val="left" w:pos="851"/>
              </w:tabs>
              <w:spacing w:line="240" w:lineRule="atLeast"/>
              <w:rPr>
                <w:b/>
              </w:rPr>
            </w:pPr>
          </w:p>
        </w:tc>
        <w:tc>
          <w:tcPr>
            <w:tcW w:w="5245" w:type="dxa"/>
          </w:tcPr>
          <w:p w14:paraId="12F66D25" w14:textId="77777777" w:rsidR="00472BAD" w:rsidRPr="00663D4D" w:rsidRDefault="00472BAD" w:rsidP="00AD3606">
            <w:pPr>
              <w:tabs>
                <w:tab w:val="left" w:pos="851"/>
              </w:tabs>
              <w:spacing w:before="0" w:line="240" w:lineRule="atLeast"/>
              <w:jc w:val="right"/>
              <w:rPr>
                <w:b/>
              </w:rPr>
            </w:pPr>
          </w:p>
        </w:tc>
      </w:tr>
      <w:tr w:rsidR="007244B9" w:rsidRPr="00663D4D" w14:paraId="54F40449" w14:textId="77777777" w:rsidTr="003243AE">
        <w:trPr>
          <w:cantSplit/>
          <w:trHeight w:val="23"/>
        </w:trPr>
        <w:tc>
          <w:tcPr>
            <w:tcW w:w="9214" w:type="dxa"/>
            <w:gridSpan w:val="2"/>
          </w:tcPr>
          <w:p w14:paraId="26A57B8C" w14:textId="77777777" w:rsidR="007244B9" w:rsidRPr="00663D4D" w:rsidRDefault="007244B9" w:rsidP="007244B9">
            <w:pPr>
              <w:tabs>
                <w:tab w:val="clear" w:pos="567"/>
                <w:tab w:val="clear" w:pos="1134"/>
                <w:tab w:val="clear" w:pos="1701"/>
                <w:tab w:val="clear" w:pos="2268"/>
                <w:tab w:val="clear" w:pos="2835"/>
              </w:tabs>
              <w:overflowPunct/>
              <w:autoSpaceDE/>
              <w:autoSpaceDN/>
              <w:adjustRightInd/>
              <w:jc w:val="center"/>
              <w:textAlignment w:val="auto"/>
              <w:rPr>
                <w:b/>
                <w:bCs/>
                <w:sz w:val="34"/>
                <w:szCs w:val="34"/>
              </w:rPr>
            </w:pPr>
            <w:r w:rsidRPr="00663D4D">
              <w:rPr>
                <w:b/>
                <w:bCs/>
                <w:sz w:val="34"/>
                <w:szCs w:val="34"/>
              </w:rPr>
              <w:t>SUMMARY RECORD</w:t>
            </w:r>
          </w:p>
          <w:p w14:paraId="35817936" w14:textId="77777777" w:rsidR="007244B9" w:rsidRPr="00663D4D" w:rsidRDefault="007244B9" w:rsidP="007244B9">
            <w:pPr>
              <w:tabs>
                <w:tab w:val="clear" w:pos="567"/>
                <w:tab w:val="clear" w:pos="1134"/>
                <w:tab w:val="clear" w:pos="1701"/>
                <w:tab w:val="clear" w:pos="2268"/>
                <w:tab w:val="clear" w:pos="2835"/>
              </w:tabs>
              <w:overflowPunct/>
              <w:autoSpaceDE/>
              <w:autoSpaceDN/>
              <w:adjustRightInd/>
              <w:jc w:val="center"/>
              <w:textAlignment w:val="auto"/>
              <w:rPr>
                <w:b/>
                <w:bCs/>
                <w:sz w:val="34"/>
                <w:szCs w:val="34"/>
              </w:rPr>
            </w:pPr>
            <w:r w:rsidRPr="00663D4D">
              <w:rPr>
                <w:b/>
                <w:bCs/>
                <w:sz w:val="34"/>
                <w:szCs w:val="34"/>
              </w:rPr>
              <w:t>OF THE</w:t>
            </w:r>
          </w:p>
          <w:p w14:paraId="3C599D4A" w14:textId="104308AD" w:rsidR="007244B9" w:rsidRPr="00663D4D" w:rsidRDefault="00EC215C" w:rsidP="0051181E">
            <w:pPr>
              <w:tabs>
                <w:tab w:val="left" w:pos="851"/>
              </w:tabs>
              <w:spacing w:after="240" w:line="240" w:lineRule="atLeast"/>
              <w:jc w:val="center"/>
              <w:rPr>
                <w:b/>
              </w:rPr>
            </w:pPr>
            <w:r w:rsidRPr="00663D4D">
              <w:rPr>
                <w:b/>
                <w:bCs/>
                <w:sz w:val="34"/>
                <w:szCs w:val="34"/>
              </w:rPr>
              <w:t>SIXTH</w:t>
            </w:r>
            <w:r w:rsidR="007244B9" w:rsidRPr="00663D4D">
              <w:rPr>
                <w:b/>
                <w:bCs/>
                <w:sz w:val="34"/>
                <w:szCs w:val="34"/>
              </w:rPr>
              <w:t xml:space="preserve"> PLENARY MEETING</w:t>
            </w:r>
          </w:p>
        </w:tc>
      </w:tr>
      <w:tr w:rsidR="007244B9" w:rsidRPr="00663D4D" w14:paraId="66DF5894" w14:textId="77777777" w:rsidTr="003243AE">
        <w:trPr>
          <w:cantSplit/>
          <w:trHeight w:val="23"/>
        </w:trPr>
        <w:tc>
          <w:tcPr>
            <w:tcW w:w="9214" w:type="dxa"/>
            <w:gridSpan w:val="2"/>
          </w:tcPr>
          <w:p w14:paraId="75F88B8B" w14:textId="514DE4C3" w:rsidR="007244B9" w:rsidRPr="00663D4D" w:rsidRDefault="00EF4A96" w:rsidP="007244B9">
            <w:pPr>
              <w:tabs>
                <w:tab w:val="clear" w:pos="567"/>
                <w:tab w:val="clear" w:pos="1134"/>
                <w:tab w:val="clear" w:pos="1701"/>
                <w:tab w:val="clear" w:pos="2268"/>
                <w:tab w:val="clear" w:pos="2835"/>
              </w:tabs>
              <w:overflowPunct/>
              <w:autoSpaceDE/>
              <w:autoSpaceDN/>
              <w:adjustRightInd/>
              <w:spacing w:after="240"/>
              <w:jc w:val="center"/>
              <w:textAlignment w:val="auto"/>
            </w:pPr>
            <w:r w:rsidRPr="00663D4D">
              <w:rPr>
                <w:rFonts w:cs="Calibri"/>
                <w:szCs w:val="24"/>
                <w:lang w:eastAsia="en-GB"/>
              </w:rPr>
              <w:t>Wednesday, 25 June 2025, from 1430 to 1800 hours</w:t>
            </w:r>
          </w:p>
          <w:p w14:paraId="7C47BB0A" w14:textId="55B30EDC" w:rsidR="007244B9" w:rsidRPr="00663D4D" w:rsidRDefault="007244B9" w:rsidP="007244B9">
            <w:pPr>
              <w:tabs>
                <w:tab w:val="left" w:pos="851"/>
              </w:tabs>
              <w:spacing w:after="240" w:line="240" w:lineRule="atLeast"/>
              <w:jc w:val="center"/>
              <w:rPr>
                <w:bCs/>
              </w:rPr>
            </w:pPr>
            <w:r w:rsidRPr="00663D4D">
              <w:rPr>
                <w:b/>
                <w:bCs/>
              </w:rPr>
              <w:t>Chair</w:t>
            </w:r>
            <w:r w:rsidRPr="00663D4D">
              <w:t xml:space="preserve">: </w:t>
            </w:r>
            <w:r w:rsidR="000C76A9" w:rsidRPr="00663D4D">
              <w:rPr>
                <w:rFonts w:cs="Calibri"/>
                <w:szCs w:val="24"/>
                <w:lang w:eastAsia="en-GB"/>
              </w:rPr>
              <w:t>Ms C. Flutur (Romania)</w:t>
            </w:r>
          </w:p>
        </w:tc>
      </w:tr>
    </w:tbl>
    <w:tbl>
      <w:tblPr>
        <w:tblpPr w:leftFromText="181" w:rightFromText="181" w:vertAnchor="text" w:horzAnchor="page" w:tblpX="1821" w:tblpY="1"/>
        <w:tblOverlap w:val="never"/>
        <w:tblW w:w="9214" w:type="dxa"/>
        <w:tblLayout w:type="fixed"/>
        <w:tblLook w:val="04A0" w:firstRow="1" w:lastRow="0" w:firstColumn="1" w:lastColumn="0" w:noHBand="0" w:noVBand="1"/>
      </w:tblPr>
      <w:tblGrid>
        <w:gridCol w:w="446"/>
        <w:gridCol w:w="6358"/>
        <w:gridCol w:w="2410"/>
      </w:tblGrid>
      <w:tr w:rsidR="007244B9" w:rsidRPr="00663D4D" w14:paraId="14B76029" w14:textId="77777777" w:rsidTr="00EF4A96">
        <w:tc>
          <w:tcPr>
            <w:tcW w:w="242" w:type="pct"/>
          </w:tcPr>
          <w:p w14:paraId="7F154504" w14:textId="77777777" w:rsidR="007244B9" w:rsidRPr="00663D4D" w:rsidRDefault="007244B9" w:rsidP="007244B9">
            <w:pPr>
              <w:spacing w:before="480"/>
              <w:rPr>
                <w:b/>
                <w:bCs/>
                <w:szCs w:val="24"/>
              </w:rPr>
            </w:pPr>
            <w:bookmarkStart w:id="8" w:name="_Hlk141438382"/>
            <w:bookmarkStart w:id="9" w:name="_Hlk133421428"/>
            <w:bookmarkEnd w:id="2"/>
            <w:bookmarkEnd w:id="7"/>
            <w:r w:rsidRPr="00663D4D">
              <w:rPr>
                <w:b/>
                <w:bCs/>
                <w:szCs w:val="24"/>
              </w:rPr>
              <w:br w:type="page"/>
            </w:r>
            <w:r w:rsidRPr="00663D4D">
              <w:rPr>
                <w:b/>
                <w:bCs/>
                <w:szCs w:val="24"/>
              </w:rPr>
              <w:br w:type="page"/>
            </w:r>
          </w:p>
        </w:tc>
        <w:tc>
          <w:tcPr>
            <w:tcW w:w="3450" w:type="pct"/>
            <w:hideMark/>
          </w:tcPr>
          <w:p w14:paraId="6E059BF8" w14:textId="77777777" w:rsidR="007244B9" w:rsidRPr="00663D4D" w:rsidRDefault="007244B9" w:rsidP="007244B9">
            <w:pPr>
              <w:spacing w:before="480" w:after="120"/>
              <w:rPr>
                <w:b/>
                <w:bCs/>
                <w:szCs w:val="24"/>
              </w:rPr>
            </w:pPr>
            <w:r w:rsidRPr="00663D4D">
              <w:rPr>
                <w:b/>
                <w:bCs/>
                <w:szCs w:val="24"/>
              </w:rPr>
              <w:t>Subjects discussed</w:t>
            </w:r>
          </w:p>
        </w:tc>
        <w:tc>
          <w:tcPr>
            <w:tcW w:w="1308" w:type="pct"/>
            <w:hideMark/>
          </w:tcPr>
          <w:p w14:paraId="683D5A20" w14:textId="35ED7D84" w:rsidR="007244B9" w:rsidRPr="00663D4D" w:rsidRDefault="007244B9" w:rsidP="005B766E">
            <w:pPr>
              <w:spacing w:before="480"/>
              <w:jc w:val="center"/>
              <w:rPr>
                <w:b/>
                <w:bCs/>
                <w:szCs w:val="24"/>
              </w:rPr>
            </w:pPr>
            <w:r w:rsidRPr="00663D4D">
              <w:rPr>
                <w:b/>
                <w:bCs/>
                <w:szCs w:val="24"/>
              </w:rPr>
              <w:t>Documents</w:t>
            </w:r>
          </w:p>
        </w:tc>
      </w:tr>
      <w:tr w:rsidR="00EF4A96" w:rsidRPr="00663D4D" w14:paraId="21752EA8" w14:textId="77777777" w:rsidTr="00EF4A96">
        <w:trPr>
          <w:trHeight w:val="20"/>
        </w:trPr>
        <w:tc>
          <w:tcPr>
            <w:tcW w:w="242" w:type="pct"/>
            <w:hideMark/>
          </w:tcPr>
          <w:p w14:paraId="59F0B2E6" w14:textId="77777777" w:rsidR="00EF4A96" w:rsidRPr="00663D4D" w:rsidRDefault="00EF4A96" w:rsidP="00EF4A96">
            <w:pPr>
              <w:spacing w:before="80" w:after="80"/>
              <w:rPr>
                <w:sz w:val="22"/>
                <w:szCs w:val="22"/>
              </w:rPr>
            </w:pPr>
            <w:r w:rsidRPr="00663D4D">
              <w:rPr>
                <w:sz w:val="22"/>
                <w:szCs w:val="22"/>
              </w:rPr>
              <w:t>1</w:t>
            </w:r>
          </w:p>
        </w:tc>
        <w:tc>
          <w:tcPr>
            <w:tcW w:w="3450" w:type="pct"/>
          </w:tcPr>
          <w:p w14:paraId="020C0FA1" w14:textId="662B1543" w:rsidR="00EF4A96" w:rsidRPr="00663D4D" w:rsidRDefault="00EF4A96" w:rsidP="00EF4A96">
            <w:pPr>
              <w:spacing w:before="80" w:after="80"/>
            </w:pPr>
            <w:r w:rsidRPr="00663D4D">
              <w:rPr>
                <w:lang w:eastAsia="en-GB"/>
              </w:rPr>
              <w:t>ITU Internet activities: Resolutions 101, 102, 133, 180 and 206</w:t>
            </w:r>
            <w:r w:rsidR="00FD6A7F" w:rsidRPr="00663D4D">
              <w:rPr>
                <w:lang w:eastAsia="en-GB"/>
              </w:rPr>
              <w:t xml:space="preserve"> of the Plenipotentiary Conference</w:t>
            </w:r>
            <w:r w:rsidRPr="00663D4D">
              <w:rPr>
                <w:lang w:eastAsia="en-GB"/>
              </w:rPr>
              <w:t xml:space="preserve"> (</w:t>
            </w:r>
            <w:r w:rsidRPr="00663D4D">
              <w:rPr>
                <w:i/>
                <w:iCs/>
                <w:lang w:eastAsia="en-GB"/>
              </w:rPr>
              <w:t>continued</w:t>
            </w:r>
            <w:r w:rsidRPr="00663D4D">
              <w:rPr>
                <w:lang w:eastAsia="en-GB"/>
              </w:rPr>
              <w:t>)</w:t>
            </w:r>
          </w:p>
        </w:tc>
        <w:bookmarkStart w:id="10" w:name="_Hlk201829834"/>
        <w:tc>
          <w:tcPr>
            <w:tcW w:w="1308" w:type="pct"/>
          </w:tcPr>
          <w:p w14:paraId="23C04073" w14:textId="25F3D8D5" w:rsidR="00EF4A96" w:rsidRPr="00663D4D" w:rsidRDefault="00FD6A7F" w:rsidP="00EF4A96">
            <w:pPr>
              <w:spacing w:before="80" w:after="80"/>
              <w:jc w:val="center"/>
              <w:rPr>
                <w:szCs w:val="24"/>
              </w:rPr>
            </w:pPr>
            <w:r w:rsidRPr="00663D4D">
              <w:fldChar w:fldCharType="begin"/>
            </w:r>
            <w:r w:rsidRPr="00663D4D">
              <w:instrText xml:space="preserve"> HYPERLINK "http://www.itu.int/md/S25-CL-C-0033/en" </w:instrText>
            </w:r>
            <w:r w:rsidRPr="00663D4D">
              <w:fldChar w:fldCharType="separate"/>
            </w:r>
            <w:r w:rsidRPr="00663D4D">
              <w:rPr>
                <w:rStyle w:val="Hyperlink"/>
                <w:rFonts w:asciiTheme="minorHAnsi" w:eastAsiaTheme="majorEastAsia" w:hAnsiTheme="minorHAnsi" w:cstheme="minorBidi"/>
                <w:szCs w:val="24"/>
              </w:rPr>
              <w:t>C25/33</w:t>
            </w:r>
            <w:r w:rsidRPr="00663D4D">
              <w:rPr>
                <w:rStyle w:val="Hyperlink"/>
                <w:rFonts w:asciiTheme="minorHAnsi" w:eastAsiaTheme="majorEastAsia" w:hAnsiTheme="minorHAnsi" w:cstheme="minorBidi"/>
                <w:szCs w:val="24"/>
              </w:rPr>
              <w:fldChar w:fldCharType="end"/>
            </w:r>
            <w:r w:rsidRPr="00663D4D">
              <w:rPr>
                <w:rFonts w:asciiTheme="minorHAnsi" w:hAnsiTheme="minorHAnsi" w:cstheme="minorBidi"/>
                <w:szCs w:val="24"/>
              </w:rPr>
              <w:t xml:space="preserve">, </w:t>
            </w:r>
            <w:hyperlink r:id="rId8" w:history="1">
              <w:r w:rsidR="00EF4A96" w:rsidRPr="00663D4D">
                <w:rPr>
                  <w:rStyle w:val="Hyperlink"/>
                  <w:rFonts w:asciiTheme="minorHAnsi" w:hAnsiTheme="minorHAnsi" w:cstheme="minorBidi"/>
                  <w:szCs w:val="24"/>
                </w:rPr>
                <w:t>C25/DT/4</w:t>
              </w:r>
            </w:hyperlink>
            <w:bookmarkEnd w:id="10"/>
          </w:p>
        </w:tc>
      </w:tr>
      <w:tr w:rsidR="00EF4A96" w:rsidRPr="00663D4D" w14:paraId="6EA0EA1D" w14:textId="77777777" w:rsidTr="00EF4A96">
        <w:trPr>
          <w:trHeight w:val="20"/>
        </w:trPr>
        <w:tc>
          <w:tcPr>
            <w:tcW w:w="242" w:type="pct"/>
          </w:tcPr>
          <w:p w14:paraId="771A6319" w14:textId="0113AA58" w:rsidR="00EF4A96" w:rsidRPr="00663D4D" w:rsidRDefault="00EF4A96" w:rsidP="00EF4A96">
            <w:pPr>
              <w:spacing w:before="80" w:after="80"/>
              <w:rPr>
                <w:sz w:val="22"/>
                <w:szCs w:val="22"/>
              </w:rPr>
            </w:pPr>
            <w:r w:rsidRPr="00663D4D">
              <w:rPr>
                <w:sz w:val="22"/>
                <w:szCs w:val="22"/>
              </w:rPr>
              <w:t>2</w:t>
            </w:r>
          </w:p>
        </w:tc>
        <w:tc>
          <w:tcPr>
            <w:tcW w:w="3450" w:type="pct"/>
          </w:tcPr>
          <w:p w14:paraId="4A58AA98" w14:textId="51FFFF62" w:rsidR="00EF4A96" w:rsidRPr="00F06A7F" w:rsidRDefault="00EF4A96" w:rsidP="00F06A7F">
            <w:pPr>
              <w:spacing w:before="80" w:after="80"/>
              <w:ind w:right="-113"/>
              <w:rPr>
                <w:rFonts w:cstheme="minorHAnsi"/>
                <w:color w:val="2F2F2F"/>
                <w:spacing w:val="-2"/>
                <w:shd w:val="clear" w:color="auto" w:fill="FFFFFF"/>
              </w:rPr>
            </w:pPr>
            <w:r w:rsidRPr="00F06A7F">
              <w:rPr>
                <w:spacing w:val="-2"/>
                <w:lang w:eastAsia="en-GB"/>
              </w:rPr>
              <w:t>Report on the proposed venues for RA-27, WRC-27 and CPM31-1 (</w:t>
            </w:r>
            <w:r w:rsidRPr="00F06A7F">
              <w:rPr>
                <w:i/>
                <w:iCs/>
                <w:spacing w:val="-2"/>
                <w:lang w:eastAsia="en-GB"/>
              </w:rPr>
              <w:t>continued</w:t>
            </w:r>
            <w:r w:rsidRPr="00F06A7F">
              <w:rPr>
                <w:spacing w:val="-2"/>
                <w:lang w:eastAsia="en-GB"/>
              </w:rPr>
              <w:t>)</w:t>
            </w:r>
          </w:p>
        </w:tc>
        <w:tc>
          <w:tcPr>
            <w:tcW w:w="1308" w:type="pct"/>
          </w:tcPr>
          <w:p w14:paraId="46957471" w14:textId="1E0DF8FB" w:rsidR="00EF4A96" w:rsidRPr="00663D4D" w:rsidRDefault="00EF4A96" w:rsidP="000E37CE">
            <w:pPr>
              <w:pStyle w:val="Footer"/>
              <w:keepNext/>
              <w:keepLines/>
              <w:snapToGrid w:val="0"/>
              <w:spacing w:before="80" w:after="80"/>
              <w:jc w:val="center"/>
            </w:pPr>
            <w:hyperlink r:id="rId9">
              <w:r w:rsidRPr="00663D4D">
                <w:rPr>
                  <w:rStyle w:val="Hyperlink"/>
                  <w:rFonts w:asciiTheme="minorHAnsi" w:eastAsiaTheme="majorEastAsia" w:hAnsiTheme="minorHAnsi" w:cstheme="minorBidi"/>
                  <w:noProof w:val="0"/>
                  <w:sz w:val="24"/>
                  <w:szCs w:val="24"/>
                </w:rPr>
                <w:t>C25/58+</w:t>
              </w:r>
              <w:r w:rsidRPr="00663D4D">
                <w:rPr>
                  <w:rStyle w:val="Hyperlink"/>
                  <w:rFonts w:asciiTheme="minorHAnsi" w:eastAsiaTheme="majorEastAsia" w:hAnsiTheme="minorHAnsi" w:cstheme="minorBidi"/>
                  <w:caps w:val="0"/>
                  <w:noProof w:val="0"/>
                  <w:sz w:val="24"/>
                  <w:szCs w:val="24"/>
                </w:rPr>
                <w:t>Add</w:t>
              </w:r>
              <w:r w:rsidRPr="00663D4D">
                <w:rPr>
                  <w:rStyle w:val="Hyperlink"/>
                  <w:rFonts w:asciiTheme="minorHAnsi" w:eastAsiaTheme="majorEastAsia" w:hAnsiTheme="minorHAnsi" w:cstheme="minorBidi"/>
                  <w:noProof w:val="0"/>
                  <w:sz w:val="24"/>
                  <w:szCs w:val="24"/>
                </w:rPr>
                <w:t>.1</w:t>
              </w:r>
              <w:r w:rsidR="00A84328" w:rsidRPr="00663D4D">
                <w:rPr>
                  <w:rStyle w:val="Hyperlink"/>
                  <w:rFonts w:asciiTheme="minorHAnsi" w:eastAsiaTheme="majorEastAsia" w:hAnsiTheme="minorHAnsi" w:cstheme="minorBidi"/>
                  <w:noProof w:val="0"/>
                  <w:sz w:val="24"/>
                  <w:szCs w:val="24"/>
                </w:rPr>
                <w:t>,</w:t>
              </w:r>
              <w:r w:rsidRPr="00663D4D">
                <w:rPr>
                  <w:rStyle w:val="Hyperlink"/>
                  <w:rFonts w:asciiTheme="minorHAnsi" w:eastAsiaTheme="majorEastAsia" w:hAnsiTheme="minorHAnsi" w:cstheme="minorBidi"/>
                  <w:noProof w:val="0"/>
                  <w:sz w:val="24"/>
                  <w:szCs w:val="24"/>
                </w:rPr>
                <w:t>2</w:t>
              </w:r>
            </w:hyperlink>
            <w:r w:rsidR="00DE7A89" w:rsidRPr="00663D4D">
              <w:rPr>
                <w:rFonts w:asciiTheme="minorHAnsi" w:hAnsiTheme="minorHAnsi" w:cstheme="minorBidi"/>
                <w:noProof w:val="0"/>
                <w:sz w:val="24"/>
                <w:szCs w:val="24"/>
              </w:rPr>
              <w:t xml:space="preserve">, </w:t>
            </w:r>
            <w:hyperlink r:id="rId10" w:history="1">
              <w:r w:rsidR="00DE7A89" w:rsidRPr="00663D4D">
                <w:rPr>
                  <w:rStyle w:val="Hyperlink"/>
                  <w:rFonts w:asciiTheme="minorHAnsi" w:eastAsiaTheme="majorEastAsia" w:hAnsiTheme="minorHAnsi" w:cstheme="minorBidi"/>
                  <w:sz w:val="24"/>
                  <w:szCs w:val="24"/>
                </w:rPr>
                <w:t>C25/101</w:t>
              </w:r>
            </w:hyperlink>
          </w:p>
        </w:tc>
      </w:tr>
      <w:tr w:rsidR="00EF4A96" w:rsidRPr="00663D4D" w14:paraId="3C347C19" w14:textId="77777777" w:rsidTr="00EF4A96">
        <w:trPr>
          <w:trHeight w:val="20"/>
        </w:trPr>
        <w:tc>
          <w:tcPr>
            <w:tcW w:w="242" w:type="pct"/>
          </w:tcPr>
          <w:p w14:paraId="40F71A4C" w14:textId="6A7AA66B" w:rsidR="00EF4A96" w:rsidRPr="00663D4D" w:rsidRDefault="00EF4A96" w:rsidP="00EF4A96">
            <w:pPr>
              <w:spacing w:before="80" w:after="80"/>
              <w:rPr>
                <w:sz w:val="22"/>
                <w:szCs w:val="22"/>
              </w:rPr>
            </w:pPr>
            <w:r w:rsidRPr="00663D4D">
              <w:rPr>
                <w:sz w:val="22"/>
                <w:szCs w:val="22"/>
              </w:rPr>
              <w:t>3</w:t>
            </w:r>
          </w:p>
        </w:tc>
        <w:tc>
          <w:tcPr>
            <w:tcW w:w="3450" w:type="pct"/>
          </w:tcPr>
          <w:p w14:paraId="62B8BF42" w14:textId="5B3297A8" w:rsidR="00EF4A96" w:rsidRPr="00F06A7F" w:rsidRDefault="00EF4A96" w:rsidP="00F06A7F">
            <w:pPr>
              <w:spacing w:before="80" w:after="80"/>
              <w:ind w:right="-113"/>
              <w:rPr>
                <w:rFonts w:cstheme="minorHAnsi"/>
                <w:color w:val="2F2F2F"/>
                <w:spacing w:val="-2"/>
                <w:shd w:val="clear" w:color="auto" w:fill="FFFFFF"/>
              </w:rPr>
            </w:pPr>
            <w:r w:rsidRPr="00F06A7F">
              <w:rPr>
                <w:rFonts w:eastAsiaTheme="majorEastAsia"/>
                <w:spacing w:val="-2"/>
              </w:rPr>
              <w:t>ITU</w:t>
            </w:r>
            <w:r w:rsidR="00EB3442" w:rsidRPr="00F06A7F">
              <w:rPr>
                <w:rFonts w:eastAsiaTheme="majorEastAsia"/>
                <w:spacing w:val="-2"/>
              </w:rPr>
              <w:t>'</w:t>
            </w:r>
            <w:r w:rsidRPr="00F06A7F">
              <w:rPr>
                <w:rFonts w:eastAsiaTheme="majorEastAsia"/>
                <w:spacing w:val="-2"/>
              </w:rPr>
              <w:t xml:space="preserve">s activities on the implementation of </w:t>
            </w:r>
            <w:r w:rsidR="00DE7A89" w:rsidRPr="00F06A7F">
              <w:rPr>
                <w:rFonts w:eastAsiaTheme="majorEastAsia"/>
                <w:spacing w:val="-2"/>
              </w:rPr>
              <w:t xml:space="preserve">Council </w:t>
            </w:r>
            <w:r w:rsidRPr="00F06A7F">
              <w:rPr>
                <w:rFonts w:eastAsiaTheme="majorEastAsia"/>
                <w:spacing w:val="-2"/>
              </w:rPr>
              <w:t>R</w:t>
            </w:r>
            <w:r w:rsidR="00DE7A89" w:rsidRPr="00F06A7F">
              <w:rPr>
                <w:rFonts w:eastAsiaTheme="majorEastAsia"/>
                <w:spacing w:val="-2"/>
              </w:rPr>
              <w:t xml:space="preserve">esolution </w:t>
            </w:r>
            <w:r w:rsidRPr="00F06A7F">
              <w:rPr>
                <w:rFonts w:eastAsiaTheme="majorEastAsia"/>
                <w:spacing w:val="-2"/>
              </w:rPr>
              <w:t>1429</w:t>
            </w:r>
            <w:r w:rsidR="00DE7A89" w:rsidRPr="00F06A7F">
              <w:rPr>
                <w:rFonts w:eastAsiaTheme="majorEastAsia"/>
                <w:spacing w:val="-2"/>
              </w:rPr>
              <w:t xml:space="preserve"> (C24),</w:t>
            </w:r>
            <w:r w:rsidRPr="00F06A7F">
              <w:rPr>
                <w:rFonts w:eastAsiaTheme="majorEastAsia"/>
                <w:spacing w:val="-2"/>
              </w:rPr>
              <w:t xml:space="preserve"> </w:t>
            </w:r>
            <w:r w:rsidR="00DE7A89" w:rsidRPr="00F06A7F">
              <w:rPr>
                <w:rFonts w:eastAsiaTheme="majorEastAsia"/>
                <w:spacing w:val="-2"/>
              </w:rPr>
              <w:t xml:space="preserve">on </w:t>
            </w:r>
            <w:r w:rsidRPr="00F06A7F">
              <w:rPr>
                <w:rFonts w:eastAsiaTheme="majorEastAsia"/>
                <w:spacing w:val="-2"/>
              </w:rPr>
              <w:t>environmental sustainability</w:t>
            </w:r>
          </w:p>
        </w:tc>
        <w:bookmarkStart w:id="11" w:name="_Hlk201829941"/>
        <w:tc>
          <w:tcPr>
            <w:tcW w:w="1308" w:type="pct"/>
          </w:tcPr>
          <w:p w14:paraId="648E2529" w14:textId="3F63C071" w:rsidR="00EF4A96" w:rsidRPr="00663D4D" w:rsidRDefault="00EF4A96" w:rsidP="00EF4A96">
            <w:pPr>
              <w:spacing w:before="80" w:after="80"/>
              <w:jc w:val="center"/>
              <w:rPr>
                <w:szCs w:val="24"/>
              </w:rPr>
            </w:pPr>
            <w:r w:rsidRPr="00663D4D">
              <w:rPr>
                <w:rFonts w:asciiTheme="minorHAnsi" w:hAnsiTheme="minorHAnsi" w:cstheme="minorBidi"/>
                <w:szCs w:val="24"/>
              </w:rPr>
              <w:fldChar w:fldCharType="begin"/>
            </w:r>
            <w:r w:rsidRPr="00663D4D">
              <w:rPr>
                <w:rFonts w:asciiTheme="minorHAnsi" w:hAnsiTheme="minorHAnsi" w:cstheme="minorBidi"/>
                <w:szCs w:val="24"/>
              </w:rPr>
              <w:instrText>HYPERLINK "http://www.itu.int/md/S25-CL-C-0045/en"</w:instrText>
            </w:r>
            <w:r w:rsidRPr="00663D4D">
              <w:rPr>
                <w:rFonts w:asciiTheme="minorHAnsi" w:hAnsiTheme="minorHAnsi" w:cstheme="minorBidi"/>
                <w:szCs w:val="24"/>
              </w:rPr>
            </w:r>
            <w:r w:rsidRPr="00663D4D">
              <w:rPr>
                <w:rFonts w:asciiTheme="minorHAnsi" w:hAnsiTheme="minorHAnsi" w:cstheme="minorBidi"/>
                <w:szCs w:val="24"/>
              </w:rPr>
              <w:fldChar w:fldCharType="separate"/>
            </w:r>
            <w:r w:rsidRPr="00663D4D">
              <w:rPr>
                <w:rStyle w:val="Hyperlink"/>
                <w:rFonts w:asciiTheme="minorHAnsi" w:eastAsiaTheme="majorEastAsia" w:hAnsiTheme="minorHAnsi" w:cstheme="minorBidi"/>
                <w:szCs w:val="24"/>
              </w:rPr>
              <w:t>C25/45</w:t>
            </w:r>
            <w:r w:rsidRPr="00663D4D">
              <w:rPr>
                <w:rFonts w:asciiTheme="minorHAnsi" w:hAnsiTheme="minorHAnsi" w:cstheme="minorBidi"/>
                <w:szCs w:val="24"/>
              </w:rPr>
              <w:fldChar w:fldCharType="end"/>
            </w:r>
            <w:bookmarkEnd w:id="11"/>
          </w:p>
        </w:tc>
      </w:tr>
      <w:tr w:rsidR="00EF4A96" w:rsidRPr="00663D4D" w14:paraId="32447FA9" w14:textId="77777777" w:rsidTr="00EF4A96">
        <w:trPr>
          <w:trHeight w:val="20"/>
        </w:trPr>
        <w:tc>
          <w:tcPr>
            <w:tcW w:w="242" w:type="pct"/>
          </w:tcPr>
          <w:p w14:paraId="6EF8B845" w14:textId="51DD8AF8" w:rsidR="00EF4A96" w:rsidRPr="00663D4D" w:rsidRDefault="00EF4A96" w:rsidP="00EF4A96">
            <w:pPr>
              <w:spacing w:before="80" w:after="80"/>
              <w:rPr>
                <w:sz w:val="22"/>
                <w:szCs w:val="22"/>
              </w:rPr>
            </w:pPr>
            <w:r w:rsidRPr="00663D4D">
              <w:rPr>
                <w:sz w:val="22"/>
                <w:szCs w:val="22"/>
              </w:rPr>
              <w:t>4</w:t>
            </w:r>
          </w:p>
        </w:tc>
        <w:tc>
          <w:tcPr>
            <w:tcW w:w="3450" w:type="pct"/>
          </w:tcPr>
          <w:p w14:paraId="56C21617" w14:textId="3EF0DCC7" w:rsidR="00EF4A96" w:rsidRPr="00663D4D" w:rsidRDefault="00EF4A96" w:rsidP="00EF4A96">
            <w:pPr>
              <w:spacing w:before="80" w:after="80"/>
            </w:pPr>
            <w:r w:rsidRPr="00663D4D">
              <w:rPr>
                <w:rFonts w:eastAsiaTheme="majorEastAsia"/>
              </w:rPr>
              <w:t xml:space="preserve">Activities supporting reconstruction of infrastructure </w:t>
            </w:r>
            <w:r w:rsidR="00DE7A89" w:rsidRPr="00663D4D">
              <w:rPr>
                <w:rFonts w:eastAsiaTheme="majorEastAsia"/>
              </w:rPr>
              <w:t xml:space="preserve">in </w:t>
            </w:r>
            <w:r w:rsidRPr="00663D4D">
              <w:rPr>
                <w:rFonts w:eastAsiaTheme="majorEastAsia"/>
              </w:rPr>
              <w:t>countries</w:t>
            </w:r>
            <w:r w:rsidR="00DE7A89" w:rsidRPr="00663D4D">
              <w:rPr>
                <w:rFonts w:eastAsiaTheme="majorEastAsia"/>
              </w:rPr>
              <w:t xml:space="preserve"> concerned</w:t>
            </w:r>
          </w:p>
        </w:tc>
        <w:bookmarkStart w:id="12" w:name="_Hlk201830001"/>
        <w:tc>
          <w:tcPr>
            <w:tcW w:w="1308" w:type="pct"/>
          </w:tcPr>
          <w:p w14:paraId="6ED66744" w14:textId="0C0E659B" w:rsidR="00EF4A96" w:rsidRPr="00663D4D" w:rsidRDefault="00EF4A96" w:rsidP="00EF4A96">
            <w:pPr>
              <w:spacing w:before="80" w:after="80"/>
              <w:jc w:val="center"/>
              <w:rPr>
                <w:szCs w:val="24"/>
              </w:rPr>
            </w:pPr>
            <w:r w:rsidRPr="00663D4D">
              <w:rPr>
                <w:rFonts w:asciiTheme="minorHAnsi" w:hAnsiTheme="minorHAnsi" w:cstheme="minorBidi"/>
                <w:szCs w:val="24"/>
              </w:rPr>
              <w:fldChar w:fldCharType="begin"/>
            </w:r>
            <w:r w:rsidRPr="00663D4D">
              <w:rPr>
                <w:rFonts w:asciiTheme="minorHAnsi" w:hAnsiTheme="minorHAnsi" w:cstheme="minorBidi"/>
                <w:szCs w:val="24"/>
              </w:rPr>
              <w:instrText>HYPERLINK "http://www.itu.int/md/S25-CL-C-0072/en"</w:instrText>
            </w:r>
            <w:r w:rsidRPr="00663D4D">
              <w:rPr>
                <w:rFonts w:asciiTheme="minorHAnsi" w:hAnsiTheme="minorHAnsi" w:cstheme="minorBidi"/>
                <w:szCs w:val="24"/>
              </w:rPr>
            </w:r>
            <w:r w:rsidRPr="00663D4D">
              <w:rPr>
                <w:rFonts w:asciiTheme="minorHAnsi" w:hAnsiTheme="minorHAnsi" w:cstheme="minorBidi"/>
                <w:szCs w:val="24"/>
              </w:rPr>
              <w:fldChar w:fldCharType="separate"/>
            </w:r>
            <w:r w:rsidRPr="00663D4D">
              <w:rPr>
                <w:rStyle w:val="Hyperlink"/>
                <w:rFonts w:asciiTheme="minorHAnsi" w:eastAsiaTheme="majorEastAsia" w:hAnsiTheme="minorHAnsi" w:cstheme="minorBidi"/>
                <w:szCs w:val="24"/>
              </w:rPr>
              <w:t>C25/72</w:t>
            </w:r>
            <w:r w:rsidRPr="00663D4D">
              <w:rPr>
                <w:rFonts w:asciiTheme="minorHAnsi" w:hAnsiTheme="minorHAnsi" w:cstheme="minorBidi"/>
                <w:szCs w:val="24"/>
              </w:rPr>
              <w:fldChar w:fldCharType="end"/>
            </w:r>
            <w:bookmarkEnd w:id="12"/>
          </w:p>
        </w:tc>
      </w:tr>
      <w:tr w:rsidR="00EF4A96" w:rsidRPr="00663D4D" w14:paraId="7C3EDDF6" w14:textId="77777777" w:rsidTr="00EF4A96">
        <w:trPr>
          <w:trHeight w:val="20"/>
        </w:trPr>
        <w:tc>
          <w:tcPr>
            <w:tcW w:w="242" w:type="pct"/>
          </w:tcPr>
          <w:p w14:paraId="3C4B7AA3" w14:textId="303885AB" w:rsidR="00EF4A96" w:rsidRPr="00663D4D" w:rsidRDefault="00EF4A96" w:rsidP="00EF4A96">
            <w:pPr>
              <w:spacing w:before="80" w:after="80"/>
              <w:rPr>
                <w:sz w:val="22"/>
                <w:szCs w:val="22"/>
              </w:rPr>
            </w:pPr>
            <w:r w:rsidRPr="00663D4D">
              <w:rPr>
                <w:sz w:val="22"/>
                <w:szCs w:val="22"/>
              </w:rPr>
              <w:t>5</w:t>
            </w:r>
          </w:p>
        </w:tc>
        <w:tc>
          <w:tcPr>
            <w:tcW w:w="3450" w:type="pct"/>
          </w:tcPr>
          <w:p w14:paraId="36ACA1E5" w14:textId="203B47C6" w:rsidR="00EF4A96" w:rsidRPr="00663D4D" w:rsidRDefault="00EF4A96" w:rsidP="00EF4A96">
            <w:pPr>
              <w:spacing w:before="80" w:after="80"/>
              <w:rPr>
                <w:lang w:eastAsia="en-GB"/>
              </w:rPr>
            </w:pPr>
            <w:r w:rsidRPr="00663D4D">
              <w:rPr>
                <w:rFonts w:eastAsiaTheme="majorEastAsia"/>
              </w:rPr>
              <w:t>Status report on assistance and support to Palestine</w:t>
            </w:r>
          </w:p>
        </w:tc>
        <w:tc>
          <w:tcPr>
            <w:tcW w:w="1308" w:type="pct"/>
          </w:tcPr>
          <w:p w14:paraId="17CBB080" w14:textId="3D616C6B" w:rsidR="00EF4A96" w:rsidRPr="00663D4D" w:rsidRDefault="00EF4A96" w:rsidP="00EF4A96">
            <w:pPr>
              <w:spacing w:before="80" w:after="80"/>
              <w:jc w:val="center"/>
              <w:rPr>
                <w:szCs w:val="24"/>
              </w:rPr>
            </w:pPr>
            <w:hyperlink r:id="rId11">
              <w:r w:rsidRPr="00663D4D">
                <w:rPr>
                  <w:rStyle w:val="Hyperlink"/>
                  <w:rFonts w:asciiTheme="minorHAnsi" w:eastAsiaTheme="majorEastAsia" w:hAnsiTheme="minorHAnsi" w:cstheme="minorBidi"/>
                  <w:szCs w:val="24"/>
                </w:rPr>
                <w:t>C25/71</w:t>
              </w:r>
            </w:hyperlink>
          </w:p>
        </w:tc>
      </w:tr>
      <w:tr w:rsidR="00EF4A96" w:rsidRPr="00663D4D" w14:paraId="176C324B" w14:textId="77777777" w:rsidTr="00EF4A96">
        <w:trPr>
          <w:trHeight w:val="20"/>
        </w:trPr>
        <w:tc>
          <w:tcPr>
            <w:tcW w:w="242" w:type="pct"/>
          </w:tcPr>
          <w:p w14:paraId="4BF8DD05" w14:textId="2CD2164D" w:rsidR="00EF4A96" w:rsidRPr="00663D4D" w:rsidRDefault="00EF4A96" w:rsidP="00EF4A96">
            <w:pPr>
              <w:spacing w:before="80" w:after="80"/>
              <w:rPr>
                <w:sz w:val="22"/>
                <w:szCs w:val="22"/>
              </w:rPr>
            </w:pPr>
            <w:r w:rsidRPr="00663D4D">
              <w:rPr>
                <w:sz w:val="22"/>
                <w:szCs w:val="22"/>
              </w:rPr>
              <w:t>6</w:t>
            </w:r>
          </w:p>
        </w:tc>
        <w:tc>
          <w:tcPr>
            <w:tcW w:w="3450" w:type="pct"/>
          </w:tcPr>
          <w:p w14:paraId="2543F371" w14:textId="3952827A" w:rsidR="00EF4A96" w:rsidRPr="00663D4D" w:rsidRDefault="00DE7A89" w:rsidP="00EF4A96">
            <w:pPr>
              <w:spacing w:before="80" w:after="80"/>
              <w:rPr>
                <w:lang w:eastAsia="en-GB"/>
              </w:rPr>
            </w:pPr>
            <w:r w:rsidRPr="00663D4D">
              <w:rPr>
                <w:rFonts w:eastAsiaTheme="majorEastAsia"/>
              </w:rPr>
              <w:t>Update on the implementation of Council Resolution 1408 (C22, last amended C23), on assistance and support to Ukraine for rebuilding their telecommunication sector</w:t>
            </w:r>
          </w:p>
        </w:tc>
        <w:tc>
          <w:tcPr>
            <w:tcW w:w="1308" w:type="pct"/>
          </w:tcPr>
          <w:p w14:paraId="3ADEFBBC" w14:textId="709FBB75" w:rsidR="00EF4A96" w:rsidRPr="00663D4D" w:rsidRDefault="00EF4A96" w:rsidP="00EF4A96">
            <w:pPr>
              <w:spacing w:before="80" w:after="80"/>
              <w:jc w:val="center"/>
              <w:rPr>
                <w:szCs w:val="24"/>
              </w:rPr>
            </w:pPr>
            <w:hyperlink r:id="rId12">
              <w:r w:rsidRPr="00663D4D">
                <w:rPr>
                  <w:rStyle w:val="Hyperlink"/>
                  <w:rFonts w:asciiTheme="minorHAnsi" w:eastAsiaTheme="majorEastAsia" w:hAnsiTheme="minorHAnsi" w:cstheme="minorBidi"/>
                  <w:szCs w:val="24"/>
                </w:rPr>
                <w:t>C25/68</w:t>
              </w:r>
            </w:hyperlink>
          </w:p>
        </w:tc>
      </w:tr>
      <w:bookmarkEnd w:id="8"/>
    </w:tbl>
    <w:p w14:paraId="360BA973" w14:textId="77777777" w:rsidR="00F66005" w:rsidRPr="00663D4D" w:rsidRDefault="00F66005" w:rsidP="007244B9">
      <w:pPr>
        <w:tabs>
          <w:tab w:val="clear" w:pos="567"/>
          <w:tab w:val="clear" w:pos="1134"/>
          <w:tab w:val="clear" w:pos="1701"/>
          <w:tab w:val="clear" w:pos="2268"/>
          <w:tab w:val="clear" w:pos="2835"/>
        </w:tabs>
        <w:overflowPunct/>
        <w:autoSpaceDE/>
        <w:autoSpaceDN/>
        <w:adjustRightInd/>
        <w:spacing w:before="0"/>
        <w:textAlignment w:val="auto"/>
      </w:pPr>
    </w:p>
    <w:bookmarkEnd w:id="3"/>
    <w:bookmarkEnd w:id="4"/>
    <w:p w14:paraId="1D7ED322" w14:textId="24EF0B46" w:rsidR="000C76A9" w:rsidRPr="00663D4D" w:rsidRDefault="0090147A" w:rsidP="000C76A9">
      <w:pPr>
        <w:tabs>
          <w:tab w:val="clear" w:pos="567"/>
          <w:tab w:val="clear" w:pos="1134"/>
          <w:tab w:val="clear" w:pos="1701"/>
          <w:tab w:val="clear" w:pos="2268"/>
          <w:tab w:val="clear" w:pos="2835"/>
        </w:tabs>
        <w:overflowPunct/>
        <w:autoSpaceDE/>
        <w:autoSpaceDN/>
        <w:adjustRightInd/>
        <w:spacing w:before="0"/>
        <w:textAlignment w:val="auto"/>
        <w:rPr>
          <w:rFonts w:eastAsia="Calibri" w:cs="Calibri"/>
          <w:kern w:val="2"/>
          <w:sz w:val="22"/>
          <w:szCs w:val="24"/>
          <w14:ligatures w14:val="standardContextual"/>
        </w:rPr>
      </w:pPr>
      <w:r w:rsidRPr="00663D4D">
        <w:br w:type="page"/>
      </w:r>
      <w:bookmarkEnd w:id="5"/>
      <w:bookmarkEnd w:id="9"/>
    </w:p>
    <w:p w14:paraId="540F6DCA" w14:textId="668FCC42" w:rsidR="00EF4A96" w:rsidRPr="00663D4D" w:rsidRDefault="00EF4A96" w:rsidP="00EF4A96">
      <w:pPr>
        <w:pStyle w:val="Heading1"/>
      </w:pPr>
      <w:r w:rsidRPr="00663D4D">
        <w:lastRenderedPageBreak/>
        <w:t>1</w:t>
      </w:r>
      <w:r w:rsidRPr="00663D4D">
        <w:tab/>
        <w:t>ITU Internet activities: Resolutions</w:t>
      </w:r>
      <w:r w:rsidR="00663D4D">
        <w:t> </w:t>
      </w:r>
      <w:r w:rsidRPr="00663D4D">
        <w:t>101, 102, 133, 180 and</w:t>
      </w:r>
      <w:r w:rsidR="00663D4D">
        <w:t> </w:t>
      </w:r>
      <w:r w:rsidRPr="00663D4D">
        <w:t xml:space="preserve">206 </w:t>
      </w:r>
      <w:r w:rsidR="00FD6A7F" w:rsidRPr="00663D4D">
        <w:t xml:space="preserve">of the Plenipotentiary Conference </w:t>
      </w:r>
      <w:r w:rsidRPr="00663D4D">
        <w:t>(</w:t>
      </w:r>
      <w:r w:rsidRPr="00663D4D">
        <w:rPr>
          <w:i/>
          <w:iCs/>
        </w:rPr>
        <w:t>continued</w:t>
      </w:r>
      <w:r w:rsidRPr="00663D4D">
        <w:t>)</w:t>
      </w:r>
      <w:r w:rsidRPr="00663D4D">
        <w:rPr>
          <w:i/>
          <w:iCs/>
        </w:rPr>
        <w:t xml:space="preserve"> </w:t>
      </w:r>
      <w:r w:rsidRPr="00663D4D">
        <w:t xml:space="preserve">(Documents </w:t>
      </w:r>
      <w:hyperlink r:id="rId13">
        <w:r w:rsidR="00FD6A7F" w:rsidRPr="00663D4D">
          <w:rPr>
            <w:rStyle w:val="Hyperlink"/>
          </w:rPr>
          <w:t>C25/33</w:t>
        </w:r>
      </w:hyperlink>
      <w:r w:rsidR="00FD6A7F" w:rsidRPr="00663D4D">
        <w:t xml:space="preserve">, </w:t>
      </w:r>
      <w:hyperlink r:id="rId14">
        <w:r w:rsidRPr="00663D4D">
          <w:rPr>
            <w:rStyle w:val="Hyperlink"/>
          </w:rPr>
          <w:t>C25/DT/4</w:t>
        </w:r>
      </w:hyperlink>
      <w:r w:rsidRPr="00663D4D">
        <w:t>)</w:t>
      </w:r>
    </w:p>
    <w:p w14:paraId="6EF3B6DF" w14:textId="345D0B67" w:rsidR="00EF4A96" w:rsidRPr="00663D4D" w:rsidRDefault="00EF4A96" w:rsidP="007432D5">
      <w:pPr>
        <w:jc w:val="both"/>
        <w:rPr>
          <w:rFonts w:eastAsiaTheme="majorEastAsia"/>
        </w:rPr>
      </w:pPr>
      <w:r w:rsidRPr="00663D4D">
        <w:rPr>
          <w:rFonts w:eastAsiaTheme="majorEastAsia"/>
        </w:rPr>
        <w:t>1.1</w:t>
      </w:r>
      <w:r w:rsidRPr="00663D4D">
        <w:rPr>
          <w:rFonts w:eastAsiaTheme="majorEastAsia"/>
        </w:rPr>
        <w:tab/>
        <w:t xml:space="preserve">The Chair </w:t>
      </w:r>
      <w:r w:rsidR="00DF69D2" w:rsidRPr="00663D4D">
        <w:rPr>
          <w:rFonts w:eastAsiaTheme="majorEastAsia"/>
        </w:rPr>
        <w:t>said that Document</w:t>
      </w:r>
      <w:r w:rsidR="00663D4D">
        <w:rPr>
          <w:rFonts w:eastAsiaTheme="majorEastAsia"/>
        </w:rPr>
        <w:t> </w:t>
      </w:r>
      <w:r w:rsidR="00DF69D2" w:rsidRPr="00663D4D">
        <w:rPr>
          <w:rFonts w:eastAsiaTheme="majorEastAsia"/>
        </w:rPr>
        <w:t>C2</w:t>
      </w:r>
      <w:r w:rsidR="001B1D3C" w:rsidRPr="00663D4D">
        <w:rPr>
          <w:rFonts w:eastAsiaTheme="majorEastAsia"/>
        </w:rPr>
        <w:t>5</w:t>
      </w:r>
      <w:r w:rsidR="00DF69D2" w:rsidRPr="00663D4D">
        <w:rPr>
          <w:rFonts w:eastAsiaTheme="majorEastAsia"/>
        </w:rPr>
        <w:t>/DT/</w:t>
      </w:r>
      <w:r w:rsidR="001B1D3C" w:rsidRPr="00663D4D">
        <w:rPr>
          <w:rFonts w:eastAsiaTheme="majorEastAsia"/>
        </w:rPr>
        <w:t>4</w:t>
      </w:r>
      <w:r w:rsidR="00DF69D2" w:rsidRPr="00663D4D">
        <w:rPr>
          <w:rFonts w:eastAsiaTheme="majorEastAsia"/>
        </w:rPr>
        <w:t xml:space="preserve"> contained the package of documents concerning ITU Internet activities under Resolutions</w:t>
      </w:r>
      <w:r w:rsidR="00663D4D">
        <w:rPr>
          <w:rFonts w:eastAsiaTheme="majorEastAsia"/>
        </w:rPr>
        <w:t> </w:t>
      </w:r>
      <w:r w:rsidR="00DF69D2" w:rsidRPr="00663D4D">
        <w:rPr>
          <w:rFonts w:eastAsiaTheme="majorEastAsia"/>
        </w:rPr>
        <w:t>101, 102, 133, 180 and</w:t>
      </w:r>
      <w:r w:rsidR="00663D4D">
        <w:rPr>
          <w:rFonts w:eastAsiaTheme="majorEastAsia"/>
        </w:rPr>
        <w:t> </w:t>
      </w:r>
      <w:r w:rsidR="00DF69D2" w:rsidRPr="00663D4D">
        <w:rPr>
          <w:rFonts w:eastAsiaTheme="majorEastAsia"/>
        </w:rPr>
        <w:t>206 of the Plenipotentiary Conference to be transmitted to the United Nations Secretary-General</w:t>
      </w:r>
      <w:r w:rsidR="001B1D3C" w:rsidRPr="00663D4D">
        <w:rPr>
          <w:rFonts w:eastAsiaTheme="majorEastAsia"/>
        </w:rPr>
        <w:t>. The package comprised the ITU Secretary-General</w:t>
      </w:r>
      <w:r w:rsidR="00663D4D">
        <w:rPr>
          <w:rFonts w:eastAsiaTheme="majorEastAsia"/>
        </w:rPr>
        <w:t>'</w:t>
      </w:r>
      <w:r w:rsidR="001B1D3C" w:rsidRPr="00663D4D">
        <w:rPr>
          <w:rFonts w:eastAsiaTheme="majorEastAsia"/>
        </w:rPr>
        <w:t>s report to the 2025 session of the Council (Council-25) on the Union</w:t>
      </w:r>
      <w:r w:rsidR="00663D4D">
        <w:rPr>
          <w:rFonts w:eastAsiaTheme="majorEastAsia"/>
        </w:rPr>
        <w:t>'</w:t>
      </w:r>
      <w:r w:rsidR="001B1D3C" w:rsidRPr="00663D4D">
        <w:rPr>
          <w:rFonts w:eastAsiaTheme="majorEastAsia"/>
        </w:rPr>
        <w:t>s activities under its Internet-related resolutions, contained in Document</w:t>
      </w:r>
      <w:r w:rsidR="00663D4D">
        <w:rPr>
          <w:rFonts w:eastAsiaTheme="majorEastAsia"/>
        </w:rPr>
        <w:t> </w:t>
      </w:r>
      <w:r w:rsidR="001B1D3C" w:rsidRPr="00663D4D">
        <w:rPr>
          <w:rFonts w:eastAsiaTheme="majorEastAsia"/>
        </w:rPr>
        <w:t>C25/33; the written</w:t>
      </w:r>
      <w:r w:rsidRPr="00663D4D">
        <w:rPr>
          <w:rFonts w:eastAsiaTheme="majorEastAsia"/>
        </w:rPr>
        <w:t xml:space="preserve"> views of Council Member States</w:t>
      </w:r>
      <w:r w:rsidR="001B1D3C" w:rsidRPr="00663D4D">
        <w:rPr>
          <w:rFonts w:eastAsiaTheme="majorEastAsia"/>
        </w:rPr>
        <w:t>; and an extract from the official summary record of the second plenary meeting of Council-25 on that item</w:t>
      </w:r>
      <w:r w:rsidRPr="00663D4D">
        <w:rPr>
          <w:rFonts w:eastAsiaTheme="majorEastAsia"/>
        </w:rPr>
        <w:t>.</w:t>
      </w:r>
    </w:p>
    <w:p w14:paraId="16BB76B6" w14:textId="708B3838" w:rsidR="00EF4A96" w:rsidRPr="00663D4D" w:rsidRDefault="00EF4A96" w:rsidP="007432D5">
      <w:pPr>
        <w:jc w:val="both"/>
      </w:pPr>
      <w:r w:rsidRPr="00663D4D">
        <w:rPr>
          <w:rFonts w:eastAsiaTheme="majorEastAsia"/>
        </w:rPr>
        <w:t>1.2</w:t>
      </w:r>
      <w:r w:rsidRPr="00663D4D">
        <w:rPr>
          <w:rFonts w:eastAsiaTheme="majorEastAsia"/>
        </w:rPr>
        <w:tab/>
      </w:r>
      <w:r w:rsidR="001B1D3C" w:rsidRPr="00663D4D">
        <w:rPr>
          <w:rFonts w:eastAsiaTheme="majorEastAsia"/>
        </w:rPr>
        <w:t xml:space="preserve">The Council </w:t>
      </w:r>
      <w:r w:rsidR="001B1D3C" w:rsidRPr="00663D4D">
        <w:rPr>
          <w:rFonts w:eastAsiaTheme="majorEastAsia"/>
          <w:b/>
          <w:bCs/>
        </w:rPr>
        <w:t>noted</w:t>
      </w:r>
      <w:r w:rsidR="001B1D3C" w:rsidRPr="00663D4D">
        <w:rPr>
          <w:rFonts w:eastAsiaTheme="majorEastAsia"/>
        </w:rPr>
        <w:t xml:space="preserve"> Document</w:t>
      </w:r>
      <w:r w:rsidR="00663D4D">
        <w:rPr>
          <w:rFonts w:eastAsiaTheme="majorEastAsia"/>
        </w:rPr>
        <w:t> </w:t>
      </w:r>
      <w:r w:rsidR="001B1D3C" w:rsidRPr="00663D4D">
        <w:rPr>
          <w:rFonts w:eastAsiaTheme="majorEastAsia"/>
        </w:rPr>
        <w:t xml:space="preserve">C25/DT/4 and </w:t>
      </w:r>
      <w:r w:rsidR="001B1D3C" w:rsidRPr="00663D4D">
        <w:rPr>
          <w:rFonts w:eastAsiaTheme="majorEastAsia"/>
          <w:b/>
          <w:bCs/>
        </w:rPr>
        <w:t>approved</w:t>
      </w:r>
      <w:r w:rsidR="001B1D3C" w:rsidRPr="00663D4D">
        <w:rPr>
          <w:rFonts w:eastAsiaTheme="majorEastAsia"/>
        </w:rPr>
        <w:t xml:space="preserve"> the transmission of the package of documents to the United Nations Secretary-General.</w:t>
      </w:r>
    </w:p>
    <w:p w14:paraId="30C5D499" w14:textId="5AE8D19D" w:rsidR="00EF4A96" w:rsidRPr="00663D4D" w:rsidRDefault="00EF4A96" w:rsidP="00663D4D">
      <w:pPr>
        <w:pStyle w:val="Heading1"/>
      </w:pPr>
      <w:r w:rsidRPr="00663D4D">
        <w:t>2</w:t>
      </w:r>
      <w:r w:rsidRPr="00663D4D">
        <w:tab/>
        <w:t>Report on the proposed venues for RA</w:t>
      </w:r>
      <w:r w:rsidR="00663D4D">
        <w:noBreakHyphen/>
      </w:r>
      <w:r w:rsidRPr="00663D4D">
        <w:t>27, WRC</w:t>
      </w:r>
      <w:r w:rsidR="00663D4D">
        <w:noBreakHyphen/>
      </w:r>
      <w:r w:rsidRPr="00663D4D">
        <w:t>27 and CPM31</w:t>
      </w:r>
      <w:r w:rsidR="00663D4D">
        <w:noBreakHyphen/>
      </w:r>
      <w:r w:rsidRPr="00663D4D">
        <w:t>1 (</w:t>
      </w:r>
      <w:r w:rsidRPr="00663D4D">
        <w:rPr>
          <w:i/>
          <w:iCs/>
        </w:rPr>
        <w:t>continued</w:t>
      </w:r>
      <w:r w:rsidRPr="00663D4D">
        <w:t>) (Documents</w:t>
      </w:r>
      <w:r w:rsidR="00663D4D">
        <w:t> </w:t>
      </w:r>
      <w:hyperlink r:id="rId15">
        <w:r w:rsidRPr="00663D4D">
          <w:rPr>
            <w:rStyle w:val="Hyperlink"/>
          </w:rPr>
          <w:t>C25/58</w:t>
        </w:r>
        <w:r w:rsidR="00FD6A7F" w:rsidRPr="00663D4D">
          <w:rPr>
            <w:rStyle w:val="Hyperlink"/>
          </w:rPr>
          <w:t xml:space="preserve"> and </w:t>
        </w:r>
        <w:r w:rsidRPr="00663D4D">
          <w:rPr>
            <w:rStyle w:val="Hyperlink"/>
          </w:rPr>
          <w:t>Add</w:t>
        </w:r>
        <w:r w:rsidR="00FD6A7F" w:rsidRPr="00663D4D">
          <w:rPr>
            <w:rStyle w:val="Hyperlink"/>
          </w:rPr>
          <w:t xml:space="preserve">enda </w:t>
        </w:r>
        <w:r w:rsidRPr="00663D4D">
          <w:rPr>
            <w:rStyle w:val="Hyperlink"/>
          </w:rPr>
          <w:t>1</w:t>
        </w:r>
        <w:r w:rsidR="00FD6A7F" w:rsidRPr="00663D4D">
          <w:rPr>
            <w:rStyle w:val="Hyperlink"/>
          </w:rPr>
          <w:t xml:space="preserve"> and </w:t>
        </w:r>
        <w:r w:rsidRPr="00663D4D">
          <w:rPr>
            <w:rStyle w:val="Hyperlink"/>
          </w:rPr>
          <w:t>2</w:t>
        </w:r>
      </w:hyperlink>
      <w:r w:rsidRPr="00663D4D">
        <w:t xml:space="preserve">, </w:t>
      </w:r>
      <w:hyperlink r:id="rId16">
        <w:r w:rsidRPr="00663D4D">
          <w:rPr>
            <w:rStyle w:val="Hyperlink"/>
          </w:rPr>
          <w:t>C25/101</w:t>
        </w:r>
        <w:r w:rsidRPr="00663D4D">
          <w:rPr>
            <w:rStyle w:val="Hyperlink"/>
            <w:color w:val="auto"/>
          </w:rPr>
          <w:t>)</w:t>
        </w:r>
      </w:hyperlink>
    </w:p>
    <w:p w14:paraId="5C87BA83" w14:textId="33122B33" w:rsidR="003420C2" w:rsidRDefault="00EF4A96" w:rsidP="007432D5">
      <w:pPr>
        <w:jc w:val="both"/>
      </w:pPr>
      <w:r w:rsidRPr="00663D4D">
        <w:t>2.1</w:t>
      </w:r>
      <w:r w:rsidR="005B19AD">
        <w:tab/>
      </w:r>
      <w:r w:rsidR="00897A00" w:rsidRPr="00897A00">
        <w:t>The Chair observed that the matter under consideration was unprecedented for ITU and its Membership and stressed the importance of respectful, transparent and consensus-based deliberations in line with ITU traditions. She recalled the honour, privilege and responsibility associated with hosting a conference</w:t>
      </w:r>
      <w:r w:rsidR="00897A00">
        <w:t>.</w:t>
      </w:r>
      <w:r w:rsidR="00897A00" w:rsidRPr="00897A00">
        <w:t xml:space="preserve"> </w:t>
      </w:r>
      <w:r w:rsidR="00897A00">
        <w:t>She</w:t>
      </w:r>
      <w:r w:rsidR="00897A00" w:rsidRPr="00897A00">
        <w:t xml:space="preserve"> proposed that the United States present its invitation to host WRC-27 and clarify the status of its initial contribution (</w:t>
      </w:r>
      <w:r w:rsidR="006E2191" w:rsidRPr="00897A00">
        <w:t xml:space="preserve">Document </w:t>
      </w:r>
      <w:r w:rsidR="006E2191">
        <w:t>C25/</w:t>
      </w:r>
      <w:r w:rsidR="00897A00" w:rsidRPr="00897A00">
        <w:t>101), followed by interventions from Member States. She emphasized the need to avoid rushed decisions, to use the discussion to strengthen ITU’s legacy through lessons learned, and to develop a clear process to guide similar matters in the future.</w:t>
      </w:r>
    </w:p>
    <w:p w14:paraId="48BD7F97" w14:textId="62F4DD93" w:rsidR="00EF4A96" w:rsidRPr="00663D4D" w:rsidRDefault="003420C2" w:rsidP="007432D5">
      <w:pPr>
        <w:jc w:val="both"/>
      </w:pPr>
      <w:r>
        <w:t>2.2</w:t>
      </w:r>
      <w:r w:rsidR="00EF4A96" w:rsidRPr="00663D4D">
        <w:tab/>
        <w:t>The councillor fr</w:t>
      </w:r>
      <w:r w:rsidR="007D5343" w:rsidRPr="00663D4D">
        <w:t>om</w:t>
      </w:r>
      <w:r w:rsidR="00EF4A96" w:rsidRPr="00663D4D">
        <w:t xml:space="preserve"> the United States</w:t>
      </w:r>
      <w:r w:rsidR="00FF5D5D" w:rsidRPr="00663D4D">
        <w:t xml:space="preserve"> introduced Addendum</w:t>
      </w:r>
      <w:r w:rsidR="00663D4D">
        <w:t> </w:t>
      </w:r>
      <w:r w:rsidR="00FF5D5D" w:rsidRPr="00663D4D">
        <w:t>2 to Document</w:t>
      </w:r>
      <w:r w:rsidR="00663D4D">
        <w:t> </w:t>
      </w:r>
      <w:r w:rsidR="00FF5D5D" w:rsidRPr="00663D4D">
        <w:t>C25/58, contain</w:t>
      </w:r>
      <w:r w:rsidR="00FF6CC0" w:rsidRPr="00663D4D">
        <w:t>ing</w:t>
      </w:r>
      <w:r w:rsidR="00FF5D5D" w:rsidRPr="00663D4D">
        <w:t xml:space="preserve"> an offer from </w:t>
      </w:r>
      <w:r w:rsidR="00FF6CC0" w:rsidRPr="00663D4D">
        <w:t>his</w:t>
      </w:r>
      <w:r w:rsidR="00FF5D5D" w:rsidRPr="00663D4D">
        <w:t xml:space="preserve"> </w:t>
      </w:r>
      <w:r w:rsidR="00FF6CC0" w:rsidRPr="00663D4D">
        <w:t>g</w:t>
      </w:r>
      <w:r w:rsidR="00EF4A96" w:rsidRPr="00663D4D">
        <w:t>overnment</w:t>
      </w:r>
      <w:r w:rsidR="00FF5D5D" w:rsidRPr="00663D4D">
        <w:t xml:space="preserve"> to host the 2027 world radiocommunication conference (WRC</w:t>
      </w:r>
      <w:r w:rsidR="00663D4D">
        <w:noBreakHyphen/>
      </w:r>
      <w:r w:rsidR="00FF5D5D" w:rsidRPr="00663D4D">
        <w:t>27) an</w:t>
      </w:r>
      <w:r w:rsidR="0084243D" w:rsidRPr="00663D4D">
        <w:t>d</w:t>
      </w:r>
      <w:r w:rsidR="00FF5D5D" w:rsidRPr="00663D4D">
        <w:t xml:space="preserve"> associated events at a</w:t>
      </w:r>
      <w:r w:rsidR="00FF6CC0" w:rsidRPr="00663D4D">
        <w:t xml:space="preserve"> venue</w:t>
      </w:r>
      <w:r w:rsidR="00FF5D5D" w:rsidRPr="00663D4D">
        <w:t xml:space="preserve"> </w:t>
      </w:r>
      <w:r w:rsidR="0084243D" w:rsidRPr="00663D4D">
        <w:t>yet</w:t>
      </w:r>
      <w:r w:rsidR="00FF6CC0" w:rsidRPr="00663D4D">
        <w:t xml:space="preserve"> to be</w:t>
      </w:r>
      <w:r w:rsidR="0084243D" w:rsidRPr="00663D4D">
        <w:t xml:space="preserve"> </w:t>
      </w:r>
      <w:r w:rsidR="00FF5D5D" w:rsidRPr="00663D4D">
        <w:t>specified.</w:t>
      </w:r>
      <w:r w:rsidR="0084243D" w:rsidRPr="00663D4D">
        <w:t xml:space="preserve"> Recalling his country</w:t>
      </w:r>
      <w:r w:rsidR="00663D4D">
        <w:t>'</w:t>
      </w:r>
      <w:r w:rsidR="0084243D" w:rsidRPr="00663D4D">
        <w:t xml:space="preserve">s </w:t>
      </w:r>
      <w:r w:rsidR="00FF6CC0" w:rsidRPr="00663D4D">
        <w:t>strong</w:t>
      </w:r>
      <w:r w:rsidR="0084243D" w:rsidRPr="00663D4D">
        <w:t xml:space="preserve"> record </w:t>
      </w:r>
      <w:r w:rsidR="00FF6CC0" w:rsidRPr="00663D4D">
        <w:t>of</w:t>
      </w:r>
      <w:r w:rsidR="0084243D" w:rsidRPr="00663D4D">
        <w:t xml:space="preserve"> hosting major international events, he said that site visits could be </w:t>
      </w:r>
      <w:r w:rsidR="00FF6CC0" w:rsidRPr="00663D4D">
        <w:t>promptly</w:t>
      </w:r>
      <w:r w:rsidR="00FD6A7F" w:rsidRPr="00663D4D">
        <w:t xml:space="preserve"> organized</w:t>
      </w:r>
      <w:r w:rsidR="0084243D" w:rsidRPr="00663D4D">
        <w:t>.</w:t>
      </w:r>
      <w:r w:rsidR="00FF5D5D" w:rsidRPr="00663D4D">
        <w:t xml:space="preserve"> His</w:t>
      </w:r>
      <w:r w:rsidR="00EF4A96" w:rsidRPr="00663D4D">
        <w:t xml:space="preserve"> </w:t>
      </w:r>
      <w:r w:rsidR="00FF5D5D" w:rsidRPr="00663D4D">
        <w:t xml:space="preserve">delegation </w:t>
      </w:r>
      <w:r w:rsidR="00EF4A96" w:rsidRPr="00663D4D">
        <w:t>had expect</w:t>
      </w:r>
      <w:r w:rsidR="00FF6CC0" w:rsidRPr="00663D4D">
        <w:t>ed</w:t>
      </w:r>
      <w:r w:rsidR="00EF4A96" w:rsidRPr="00663D4D">
        <w:t xml:space="preserve"> to support Rwanda</w:t>
      </w:r>
      <w:r w:rsidR="00EB3442" w:rsidRPr="00663D4D">
        <w:t>'</w:t>
      </w:r>
      <w:r w:rsidR="00EF4A96" w:rsidRPr="00663D4D">
        <w:t>s invitation to host WRC</w:t>
      </w:r>
      <w:r w:rsidR="00663D4D">
        <w:noBreakHyphen/>
      </w:r>
      <w:r w:rsidR="00EF4A96" w:rsidRPr="00663D4D">
        <w:t>27</w:t>
      </w:r>
      <w:r w:rsidR="00023112" w:rsidRPr="00663D4D">
        <w:t xml:space="preserve"> </w:t>
      </w:r>
      <w:r w:rsidR="00FF6CC0" w:rsidRPr="00663D4D">
        <w:t>until</w:t>
      </w:r>
      <w:r w:rsidR="00023112" w:rsidRPr="00663D4D">
        <w:t xml:space="preserve"> the last-minute withdrawal of that invitation</w:t>
      </w:r>
      <w:r w:rsidR="0084243D" w:rsidRPr="00663D4D">
        <w:t>. While unable to support China</w:t>
      </w:r>
      <w:r w:rsidR="00663D4D">
        <w:t>'</w:t>
      </w:r>
      <w:r w:rsidR="0084243D" w:rsidRPr="00663D4D">
        <w:t>s invitation,</w:t>
      </w:r>
      <w:r w:rsidR="00FF5D5D" w:rsidRPr="00663D4D">
        <w:t xml:space="preserve"> </w:t>
      </w:r>
      <w:r w:rsidR="00FF6CC0" w:rsidRPr="00663D4D">
        <w:t>his delegation</w:t>
      </w:r>
      <w:r w:rsidR="00FF5D5D" w:rsidRPr="00663D4D">
        <w:t xml:space="preserve"> had en</w:t>
      </w:r>
      <w:r w:rsidR="00FF6CC0" w:rsidRPr="00663D4D">
        <w:t>gaged</w:t>
      </w:r>
      <w:r w:rsidR="00FF5D5D" w:rsidRPr="00663D4D">
        <w:t xml:space="preserve"> in good-</w:t>
      </w:r>
      <w:r w:rsidR="0084243D" w:rsidRPr="00663D4D">
        <w:t>faith negotiations with the Chinese delegation</w:t>
      </w:r>
      <w:r w:rsidR="00FF6CC0" w:rsidRPr="00663D4D">
        <w:t xml:space="preserve"> and made</w:t>
      </w:r>
      <w:r w:rsidR="0084243D" w:rsidRPr="00663D4D">
        <w:t xml:space="preserve"> concrete proposals</w:t>
      </w:r>
      <w:r w:rsidR="00FF6CC0" w:rsidRPr="00663D4D">
        <w:t>,</w:t>
      </w:r>
      <w:r w:rsidR="0084243D" w:rsidRPr="00663D4D">
        <w:t xml:space="preserve"> which had been rejected. </w:t>
      </w:r>
      <w:r w:rsidR="007D5343" w:rsidRPr="00663D4D">
        <w:t>H</w:t>
      </w:r>
      <w:r w:rsidR="0084243D" w:rsidRPr="00663D4D">
        <w:t xml:space="preserve">olding the events in the United States </w:t>
      </w:r>
      <w:r w:rsidR="00FF6CC0" w:rsidRPr="00663D4D">
        <w:t>offered</w:t>
      </w:r>
      <w:r w:rsidR="0084243D" w:rsidRPr="00663D4D">
        <w:t xml:space="preserve"> a </w:t>
      </w:r>
      <w:r w:rsidR="00FF6CC0" w:rsidRPr="00663D4D">
        <w:t xml:space="preserve">viable </w:t>
      </w:r>
      <w:r w:rsidR="0084243D" w:rsidRPr="00663D4D">
        <w:t xml:space="preserve">path to </w:t>
      </w:r>
      <w:r w:rsidR="00023112" w:rsidRPr="00663D4D">
        <w:t>the</w:t>
      </w:r>
      <w:r w:rsidR="0084243D" w:rsidRPr="00663D4D">
        <w:t xml:space="preserve"> consensus sought by all</w:t>
      </w:r>
      <w:r w:rsidR="00FF6CC0" w:rsidRPr="00663D4D">
        <w:t>. If consensus on either invitation could not be reached,</w:t>
      </w:r>
      <w:r w:rsidR="0084243D" w:rsidRPr="00663D4D">
        <w:t xml:space="preserve"> Geneva </w:t>
      </w:r>
      <w:r w:rsidR="00FF6CC0" w:rsidRPr="00663D4D">
        <w:t xml:space="preserve">should </w:t>
      </w:r>
      <w:r w:rsidR="0084243D" w:rsidRPr="00663D4D">
        <w:t xml:space="preserve">remain the default </w:t>
      </w:r>
      <w:r w:rsidR="00FD6A7F" w:rsidRPr="00663D4D">
        <w:t>back-up option to host the events</w:t>
      </w:r>
      <w:r w:rsidR="0084243D" w:rsidRPr="00663D4D">
        <w:t>.</w:t>
      </w:r>
    </w:p>
    <w:p w14:paraId="2C6423E0" w14:textId="461AAE53" w:rsidR="00023112" w:rsidRPr="00663D4D" w:rsidRDefault="00CA3CC9" w:rsidP="00CA3CC9">
      <w:pPr>
        <w:jc w:val="both"/>
      </w:pPr>
      <w:r w:rsidRPr="00CA3CC9">
        <w:t>2.3</w:t>
      </w:r>
      <w:r w:rsidRPr="00CA3CC9">
        <w:tab/>
        <w:t>The councillor from China said that her delegation had done its utmost to achieve consensus on hosting WRC</w:t>
      </w:r>
      <w:r w:rsidRPr="00CA3CC9">
        <w:noBreakHyphen/>
        <w:t xml:space="preserve">27 and associated events in Shanghai and had engaged in six rounds of consultations with the United States delegation. However, under the pretext of waiting for instructions from its government, the United States delegation had avoided seeking a mutually satisfactory solution with her delegation, while submitting in parallel an incomplete invitation on the evening of 23 June to host the events, over which the Chinese delegation expressed its deep regret. The United States' practice of hegemony in the name of consensus, at the expense of the legitimate interests of all countries, was serving its own agenda and putting "America First" above international rules; a typical act of bullying, politicizing the work of ITU and undermining the Union’s rules and unity. Document C25/58 (Add.2) had been submitted after the seventh day of the meeting, in contravention of ITU’s rules regarding deadlines for the submission of documents, and it did not specify a host city; </w:t>
      </w:r>
      <w:r w:rsidRPr="00CA3CC9">
        <w:lastRenderedPageBreak/>
        <w:t>thus, it clearly did not constitute a valid bid to host WRC-27. China was the sole country to have submitted an invitation in full compliance with the Council's rules of procedure and the basic hosting requirements. Supported by the councillor from Cuba, she moved that discussions on the holding of WRC-27 in Shanghai, China, be closed under No. 107 of the General Rules of conferences, assemblies and meetings of the Union and that the motion and subsequent motions for discussion of the matter be voted on by secret ballot. She requested that the secretariat clarify to the meeting what votes were required and the exact implications, to ensure that Member States fully understood.</w:t>
      </w:r>
    </w:p>
    <w:p w14:paraId="28D4A976" w14:textId="2ACA3096" w:rsidR="00EF4A96" w:rsidRPr="00663D4D" w:rsidRDefault="00023112" w:rsidP="007432D5">
      <w:pPr>
        <w:jc w:val="both"/>
      </w:pPr>
      <w:r w:rsidRPr="00663D4D">
        <w:t>2.</w:t>
      </w:r>
      <w:r w:rsidR="003420C2">
        <w:t>4</w:t>
      </w:r>
      <w:r w:rsidRPr="00663D4D">
        <w:tab/>
        <w:t xml:space="preserve">The councillors from Italy and Paraguay </w:t>
      </w:r>
      <w:r w:rsidR="00B72046" w:rsidRPr="00663D4D">
        <w:t>opposed closing</w:t>
      </w:r>
      <w:r w:rsidRPr="00663D4D">
        <w:t xml:space="preserve"> of debate</w:t>
      </w:r>
      <w:r w:rsidR="00B72046" w:rsidRPr="00663D4D">
        <w:t>, stressing</w:t>
      </w:r>
      <w:r w:rsidRPr="00663D4D">
        <w:t xml:space="preserve"> </w:t>
      </w:r>
      <w:r w:rsidR="00B72046" w:rsidRPr="00663D4D">
        <w:t xml:space="preserve">that the </w:t>
      </w:r>
      <w:r w:rsidRPr="00663D4D">
        <w:t>importance of the issue</w:t>
      </w:r>
      <w:r w:rsidR="00B72046" w:rsidRPr="00663D4D">
        <w:t xml:space="preserve"> necessitated further discussion and consultation to achieve </w:t>
      </w:r>
      <w:r w:rsidRPr="00663D4D">
        <w:t>a consensus-based decision.</w:t>
      </w:r>
      <w:r w:rsidR="00EF4A96" w:rsidRPr="00663D4D">
        <w:t xml:space="preserve"> </w:t>
      </w:r>
    </w:p>
    <w:p w14:paraId="202DB878" w14:textId="29B6B0B4" w:rsidR="00EF4A96" w:rsidRPr="00663D4D" w:rsidRDefault="00EF4A96" w:rsidP="007432D5">
      <w:pPr>
        <w:jc w:val="both"/>
      </w:pPr>
      <w:r w:rsidRPr="00663D4D">
        <w:t>2.</w:t>
      </w:r>
      <w:r w:rsidR="003420C2">
        <w:t>5</w:t>
      </w:r>
      <w:r w:rsidRPr="00663D4D">
        <w:tab/>
        <w:t>The coun</w:t>
      </w:r>
      <w:r w:rsidR="00023112" w:rsidRPr="00663D4D">
        <w:t>cillor</w:t>
      </w:r>
      <w:r w:rsidRPr="00663D4D">
        <w:t xml:space="preserve"> f</w:t>
      </w:r>
      <w:r w:rsidR="00023112" w:rsidRPr="00663D4D">
        <w:t>r</w:t>
      </w:r>
      <w:r w:rsidRPr="00663D4D">
        <w:t>o</w:t>
      </w:r>
      <w:r w:rsidR="00023112" w:rsidRPr="00663D4D">
        <w:t>m</w:t>
      </w:r>
      <w:r w:rsidRPr="00663D4D">
        <w:t xml:space="preserve"> Italy, supported by the coun</w:t>
      </w:r>
      <w:r w:rsidR="00023112" w:rsidRPr="00663D4D">
        <w:t>cillor</w:t>
      </w:r>
      <w:r w:rsidRPr="00663D4D">
        <w:t xml:space="preserve"> f</w:t>
      </w:r>
      <w:r w:rsidR="00023112" w:rsidRPr="00663D4D">
        <w:t>rom</w:t>
      </w:r>
      <w:r w:rsidRPr="00663D4D">
        <w:t xml:space="preserve"> the United States, </w:t>
      </w:r>
      <w:r w:rsidR="00023112" w:rsidRPr="00663D4D">
        <w:t xml:space="preserve">then </w:t>
      </w:r>
      <w:r w:rsidR="00550028" w:rsidRPr="00663D4D">
        <w:t xml:space="preserve">moved that </w:t>
      </w:r>
      <w:r w:rsidRPr="00663D4D">
        <w:t xml:space="preserve">debate </w:t>
      </w:r>
      <w:r w:rsidR="00550028" w:rsidRPr="00663D4D">
        <w:t xml:space="preserve">be postponed </w:t>
      </w:r>
      <w:r w:rsidRPr="00663D4D">
        <w:t>under No.</w:t>
      </w:r>
      <w:r w:rsidR="00663D4D">
        <w:t> </w:t>
      </w:r>
      <w:r w:rsidRPr="00663D4D">
        <w:t>106 of the General Rules, to avoid a divisive vote</w:t>
      </w:r>
      <w:r w:rsidR="00550028" w:rsidRPr="00663D4D">
        <w:t xml:space="preserve"> </w:t>
      </w:r>
      <w:r w:rsidRPr="00663D4D">
        <w:t xml:space="preserve">and allow time to </w:t>
      </w:r>
      <w:r w:rsidR="00B72046" w:rsidRPr="00663D4D">
        <w:t xml:space="preserve">reach </w:t>
      </w:r>
      <w:r w:rsidRPr="00663D4D">
        <w:t xml:space="preserve">consensus. </w:t>
      </w:r>
    </w:p>
    <w:p w14:paraId="150A8FEA" w14:textId="60A5A46F" w:rsidR="00EF4A96" w:rsidRPr="00663D4D" w:rsidRDefault="00EF4A96" w:rsidP="007432D5">
      <w:pPr>
        <w:jc w:val="both"/>
      </w:pPr>
      <w:r w:rsidRPr="00663D4D">
        <w:t>2.</w:t>
      </w:r>
      <w:r w:rsidR="003420C2">
        <w:t>6</w:t>
      </w:r>
      <w:r w:rsidRPr="00663D4D">
        <w:tab/>
      </w:r>
      <w:r w:rsidR="00BF4881" w:rsidRPr="00663D4D">
        <w:t>Responding to a point of order, t</w:t>
      </w:r>
      <w:r w:rsidRPr="00663D4D">
        <w:t>he Legal Counsel advised that</w:t>
      </w:r>
      <w:r w:rsidR="00550028" w:rsidRPr="00663D4D">
        <w:t xml:space="preserve">, </w:t>
      </w:r>
      <w:r w:rsidR="00B72046" w:rsidRPr="00663D4D">
        <w:t>under</w:t>
      </w:r>
      <w:r w:rsidR="00550028" w:rsidRPr="00663D4D">
        <w:t xml:space="preserve"> Nos.</w:t>
      </w:r>
      <w:r w:rsidR="00663D4D">
        <w:t> </w:t>
      </w:r>
      <w:r w:rsidR="00550028" w:rsidRPr="00663D4D">
        <w:t>98-104 of</w:t>
      </w:r>
      <w:r w:rsidRPr="00663D4D">
        <w:t xml:space="preserve"> the</w:t>
      </w:r>
      <w:r w:rsidR="00550028" w:rsidRPr="00663D4D">
        <w:t xml:space="preserve"> General</w:t>
      </w:r>
      <w:r w:rsidRPr="00663D4D">
        <w:t xml:space="preserve"> Rules</w:t>
      </w:r>
      <w:r w:rsidR="00550028" w:rsidRPr="00663D4D">
        <w:t>,</w:t>
      </w:r>
      <w:r w:rsidRPr="00663D4D">
        <w:t xml:space="preserve"> a motion for postponement of debate</w:t>
      </w:r>
      <w:r w:rsidR="00D14260" w:rsidRPr="00663D4D">
        <w:t xml:space="preserve"> </w:t>
      </w:r>
      <w:r w:rsidRPr="00663D4D">
        <w:t>took precedence over a motion for closure of debate.</w:t>
      </w:r>
    </w:p>
    <w:p w14:paraId="513FCB74" w14:textId="4ADEC2F3" w:rsidR="00EF4A96" w:rsidRPr="00663D4D" w:rsidRDefault="00CA3CC9" w:rsidP="00CA3CC9">
      <w:pPr>
        <w:jc w:val="both"/>
      </w:pPr>
      <w:r w:rsidRPr="00CA3CC9">
        <w:t>2.7</w:t>
      </w:r>
      <w:r w:rsidRPr="00CA3CC9">
        <w:tab/>
        <w:t>The councillor from China, supported by the councillor from Cuba, opposed the motion to postpone the debate. The councillor from China said that her delegation had done its utmost to facilitate consensus, while the United States had repeatedly delayed the process, showing no sincerity in resolving the problem, and had politically manipulated the process by insisting that WRC-27 could not be held in China as a precondition for consultations, thereby undermining the basis for reaching a consensus. China was of the view that, under those circumstances, there was no viable basis for consensus and that any further debate or delay was futile. The debate should be closed.</w:t>
      </w:r>
    </w:p>
    <w:p w14:paraId="767AA7C7" w14:textId="5E166422" w:rsidR="007F1CF3" w:rsidRPr="00663D4D" w:rsidRDefault="00EF4A96" w:rsidP="007432D5">
      <w:pPr>
        <w:jc w:val="both"/>
      </w:pPr>
      <w:r w:rsidRPr="00663D4D">
        <w:t>2.</w:t>
      </w:r>
      <w:r w:rsidR="003420C2">
        <w:t>8</w:t>
      </w:r>
      <w:r w:rsidRPr="00663D4D">
        <w:tab/>
        <w:t>At the request of the Chair, the Legal Counsel explained that</w:t>
      </w:r>
      <w:r w:rsidR="00BF4881" w:rsidRPr="00663D4D">
        <w:t xml:space="preserve"> the Council had before it a motion for postponement of debate under No.</w:t>
      </w:r>
      <w:r w:rsidR="00663D4D">
        <w:t> </w:t>
      </w:r>
      <w:r w:rsidR="00BF4881" w:rsidRPr="00663D4D">
        <w:t>106 of</w:t>
      </w:r>
      <w:r w:rsidRPr="00663D4D">
        <w:t xml:space="preserve"> the General Rules. If the motion </w:t>
      </w:r>
      <w:r w:rsidR="00BF4881" w:rsidRPr="00663D4D">
        <w:t>f</w:t>
      </w:r>
      <w:r w:rsidRPr="00663D4D">
        <w:t>o</w:t>
      </w:r>
      <w:r w:rsidR="00BF4881" w:rsidRPr="00663D4D">
        <w:t>r</w:t>
      </w:r>
      <w:r w:rsidRPr="00663D4D">
        <w:t xml:space="preserve"> postpone</w:t>
      </w:r>
      <w:r w:rsidR="00BF4881" w:rsidRPr="00663D4D">
        <w:t>ment</w:t>
      </w:r>
      <w:r w:rsidRPr="00663D4D">
        <w:t xml:space="preserve"> was </w:t>
      </w:r>
      <w:r w:rsidR="00FF6CC0" w:rsidRPr="00663D4D">
        <w:t>sustained</w:t>
      </w:r>
      <w:r w:rsidRPr="00663D4D">
        <w:t>, the Council would move forward with its discussion of other agenda items and re</w:t>
      </w:r>
      <w:r w:rsidR="007F1CF3" w:rsidRPr="00663D4D">
        <w:t xml:space="preserve">turn to </w:t>
      </w:r>
      <w:r w:rsidRPr="00663D4D">
        <w:t xml:space="preserve">its </w:t>
      </w:r>
      <w:r w:rsidR="00BF4881" w:rsidRPr="00663D4D">
        <w:t xml:space="preserve">debate of </w:t>
      </w:r>
      <w:r w:rsidRPr="00663D4D">
        <w:t>th</w:t>
      </w:r>
      <w:r w:rsidR="007F1CF3" w:rsidRPr="00663D4D">
        <w:t>at</w:t>
      </w:r>
      <w:r w:rsidRPr="00663D4D">
        <w:t xml:space="preserve"> item, including the vote on the motion to close debate, at its next session.</w:t>
      </w:r>
    </w:p>
    <w:p w14:paraId="176CEF42" w14:textId="1C0C606B" w:rsidR="00EF4A96" w:rsidRPr="00663D4D" w:rsidRDefault="00FF6CC0" w:rsidP="007432D5">
      <w:pPr>
        <w:jc w:val="both"/>
      </w:pPr>
      <w:r w:rsidRPr="00663D4D">
        <w:t>2.</w:t>
      </w:r>
      <w:r w:rsidR="003420C2">
        <w:t>9</w:t>
      </w:r>
      <w:r w:rsidRPr="00663D4D">
        <w:tab/>
      </w:r>
      <w:r w:rsidR="007F1CF3" w:rsidRPr="00663D4D">
        <w:t>On behalf of the Chair, the Legal Counsel, h</w:t>
      </w:r>
      <w:r w:rsidR="00EF4A96" w:rsidRPr="00663D4D">
        <w:t>aving confirmed that there was a quorum, announced that a vote would be conducted by show of hands on the motion to postpone the debate and declared the beginning of the vote.</w:t>
      </w:r>
    </w:p>
    <w:p w14:paraId="49236522" w14:textId="21DBAA36" w:rsidR="00EF4A96" w:rsidRPr="00663D4D" w:rsidRDefault="00EF4A96" w:rsidP="007432D5">
      <w:pPr>
        <w:jc w:val="both"/>
      </w:pPr>
      <w:r w:rsidRPr="00663D4D">
        <w:t>2.</w:t>
      </w:r>
      <w:r w:rsidR="003420C2">
        <w:t>10</w:t>
      </w:r>
      <w:r w:rsidRPr="00663D4D">
        <w:tab/>
        <w:t>The Chair announced the results of the vote:</w:t>
      </w:r>
    </w:p>
    <w:p w14:paraId="6DEB9EFE" w14:textId="1AEB37AC" w:rsidR="00EF4A96" w:rsidRPr="00663D4D" w:rsidRDefault="00EF4A96" w:rsidP="006E2191">
      <w:pPr>
        <w:pStyle w:val="enumlev2"/>
      </w:pPr>
      <w:r w:rsidRPr="00663D4D">
        <w:t>Number of delegations present and voting:</w:t>
      </w:r>
      <w:r w:rsidRPr="00663D4D">
        <w:tab/>
        <w:t>29</w:t>
      </w:r>
    </w:p>
    <w:p w14:paraId="033F67B8" w14:textId="438BE3EC" w:rsidR="00EF4A96" w:rsidRPr="00663D4D" w:rsidRDefault="00EF4A96" w:rsidP="006E2191">
      <w:pPr>
        <w:pStyle w:val="enumlev2"/>
      </w:pPr>
      <w:r w:rsidRPr="00663D4D">
        <w:t>Required majority:</w:t>
      </w:r>
      <w:r w:rsidRPr="00663D4D">
        <w:tab/>
      </w:r>
      <w:r w:rsidR="006E2191">
        <w:tab/>
      </w:r>
      <w:r w:rsidR="006E2191">
        <w:tab/>
      </w:r>
      <w:r w:rsidR="006E2191">
        <w:tab/>
      </w:r>
      <w:r w:rsidR="006E2191">
        <w:tab/>
      </w:r>
      <w:r w:rsidRPr="00663D4D">
        <w:t>15</w:t>
      </w:r>
    </w:p>
    <w:p w14:paraId="327AB19F" w14:textId="51CC9D19" w:rsidR="00EF4A96" w:rsidRPr="00663D4D" w:rsidRDefault="00EF4A96" w:rsidP="006E2191">
      <w:pPr>
        <w:pStyle w:val="enumlev2"/>
      </w:pPr>
      <w:r w:rsidRPr="00663D4D">
        <w:t>In favour of the motion:</w:t>
      </w:r>
      <w:r w:rsidRPr="00663D4D">
        <w:tab/>
      </w:r>
      <w:r w:rsidR="006E2191">
        <w:tab/>
      </w:r>
      <w:r w:rsidR="006E2191">
        <w:tab/>
      </w:r>
      <w:r w:rsidRPr="00663D4D">
        <w:t>16</w:t>
      </w:r>
    </w:p>
    <w:p w14:paraId="27FCE7F3" w14:textId="0A58DB18" w:rsidR="00EF4A96" w:rsidRPr="00663D4D" w:rsidRDefault="00EF4A96" w:rsidP="006E2191">
      <w:pPr>
        <w:pStyle w:val="enumlev2"/>
      </w:pPr>
      <w:r w:rsidRPr="00663D4D">
        <w:t>Against the motion:</w:t>
      </w:r>
      <w:r w:rsidRPr="00663D4D">
        <w:tab/>
      </w:r>
      <w:r w:rsidR="006E2191">
        <w:tab/>
      </w:r>
      <w:r w:rsidR="006E2191">
        <w:tab/>
      </w:r>
      <w:r w:rsidR="006E2191">
        <w:tab/>
      </w:r>
      <w:r w:rsidR="006E2191">
        <w:tab/>
      </w:r>
      <w:r w:rsidRPr="00663D4D">
        <w:t>13</w:t>
      </w:r>
    </w:p>
    <w:p w14:paraId="2C5B0ED3" w14:textId="623A81B9" w:rsidR="00EF4A96" w:rsidRPr="00663D4D" w:rsidRDefault="00EF4A96" w:rsidP="006E2191">
      <w:pPr>
        <w:pStyle w:val="enumlev2"/>
      </w:pPr>
      <w:r w:rsidRPr="00663D4D">
        <w:t>Abstentions:</w:t>
      </w:r>
      <w:r w:rsidRPr="00663D4D">
        <w:tab/>
      </w:r>
      <w:r w:rsidR="006E2191">
        <w:tab/>
      </w:r>
      <w:r w:rsidR="006E2191">
        <w:tab/>
      </w:r>
      <w:r w:rsidR="006E2191">
        <w:tab/>
      </w:r>
      <w:r w:rsidR="006E2191">
        <w:tab/>
      </w:r>
      <w:r w:rsidR="006E2191">
        <w:tab/>
      </w:r>
      <w:r w:rsidRPr="00663D4D">
        <w:t>9</w:t>
      </w:r>
    </w:p>
    <w:p w14:paraId="3C547B4F" w14:textId="031D9C15" w:rsidR="00EF4A96" w:rsidRPr="00663D4D" w:rsidRDefault="00EF4A96" w:rsidP="007432D5">
      <w:pPr>
        <w:jc w:val="both"/>
      </w:pPr>
      <w:r w:rsidRPr="00663D4D">
        <w:t>2.1</w:t>
      </w:r>
      <w:r w:rsidR="003420C2">
        <w:t>1</w:t>
      </w:r>
      <w:r w:rsidRPr="00663D4D">
        <w:tab/>
        <w:t xml:space="preserve">The motion to postpone the debate was </w:t>
      </w:r>
      <w:r w:rsidRPr="00663D4D">
        <w:rPr>
          <w:b/>
          <w:bCs/>
        </w:rPr>
        <w:t xml:space="preserve">sustained </w:t>
      </w:r>
      <w:r w:rsidRPr="00663D4D">
        <w:t>by 16 votes to 13, with 9</w:t>
      </w:r>
      <w:r w:rsidR="00E309C6" w:rsidRPr="00663D4D">
        <w:t> </w:t>
      </w:r>
      <w:r w:rsidRPr="00663D4D">
        <w:t>abstentions.</w:t>
      </w:r>
    </w:p>
    <w:p w14:paraId="100B6A8E" w14:textId="21F98987" w:rsidR="00EF4A96" w:rsidRPr="00663D4D" w:rsidRDefault="00EF4A96" w:rsidP="007432D5">
      <w:pPr>
        <w:jc w:val="both"/>
      </w:pPr>
      <w:r w:rsidRPr="00663D4D">
        <w:t>2.1</w:t>
      </w:r>
      <w:r w:rsidR="003420C2">
        <w:t>2</w:t>
      </w:r>
      <w:r w:rsidRPr="00663D4D">
        <w:tab/>
        <w:t>The Legal Counsel said that the Council would therefore resume its discussion of the item at its next meeting.</w:t>
      </w:r>
    </w:p>
    <w:p w14:paraId="21038FCC" w14:textId="180F1B38" w:rsidR="00EF4A96" w:rsidRPr="00663D4D" w:rsidRDefault="00EF4A96" w:rsidP="00EF4A96">
      <w:pPr>
        <w:pStyle w:val="Heading1"/>
      </w:pPr>
      <w:r w:rsidRPr="00663D4D">
        <w:t>3</w:t>
      </w:r>
      <w:r w:rsidRPr="00663D4D">
        <w:tab/>
        <w:t>ITU</w:t>
      </w:r>
      <w:r w:rsidR="00EB3442" w:rsidRPr="00663D4D">
        <w:t>'</w:t>
      </w:r>
      <w:r w:rsidRPr="00663D4D">
        <w:t xml:space="preserve">s activities on the implementation of </w:t>
      </w:r>
      <w:r w:rsidR="009F7E36" w:rsidRPr="00663D4D">
        <w:t>Council Resolution</w:t>
      </w:r>
      <w:r w:rsidR="00546B87">
        <w:t> </w:t>
      </w:r>
      <w:r w:rsidRPr="00663D4D">
        <w:t>1429</w:t>
      </w:r>
      <w:r w:rsidR="009F7E36" w:rsidRPr="00663D4D">
        <w:t xml:space="preserve"> (C2</w:t>
      </w:r>
      <w:r w:rsidR="00DE7A89" w:rsidRPr="00663D4D">
        <w:t>4</w:t>
      </w:r>
      <w:r w:rsidR="009F7E36" w:rsidRPr="00663D4D">
        <w:t>), on</w:t>
      </w:r>
      <w:r w:rsidRPr="00663D4D">
        <w:t xml:space="preserve"> environmental sustainability</w:t>
      </w:r>
      <w:r w:rsidR="008D649E" w:rsidRPr="00663D4D">
        <w:t xml:space="preserve"> </w:t>
      </w:r>
      <w:r w:rsidRPr="00663D4D">
        <w:t>(Document</w:t>
      </w:r>
      <w:r w:rsidR="00546B87">
        <w:t> </w:t>
      </w:r>
      <w:hyperlink r:id="rId17">
        <w:r w:rsidRPr="00663D4D">
          <w:rPr>
            <w:rStyle w:val="Hyperlink"/>
          </w:rPr>
          <w:t>C25/45</w:t>
        </w:r>
        <w:r w:rsidRPr="00663D4D">
          <w:t>)</w:t>
        </w:r>
      </w:hyperlink>
    </w:p>
    <w:p w14:paraId="0A47EBD3" w14:textId="7C46394D" w:rsidR="009F7E36" w:rsidRPr="00663D4D" w:rsidRDefault="00EF4A96" w:rsidP="007432D5">
      <w:pPr>
        <w:jc w:val="both"/>
      </w:pPr>
      <w:r w:rsidRPr="00663D4D">
        <w:t>3.1</w:t>
      </w:r>
      <w:r w:rsidRPr="00663D4D">
        <w:tab/>
        <w:t xml:space="preserve">A representative of the General Secretariat </w:t>
      </w:r>
      <w:r w:rsidR="008A7EF1" w:rsidRPr="00663D4D">
        <w:t>introduced</w:t>
      </w:r>
      <w:r w:rsidRPr="00663D4D">
        <w:t xml:space="preserve"> Document</w:t>
      </w:r>
      <w:r w:rsidR="00546B87">
        <w:t> </w:t>
      </w:r>
      <w:r w:rsidRPr="00663D4D">
        <w:t>C25/45</w:t>
      </w:r>
      <w:r w:rsidR="009F7E36" w:rsidRPr="00663D4D">
        <w:t>, summariz</w:t>
      </w:r>
      <w:r w:rsidR="008A7EF1" w:rsidRPr="00663D4D">
        <w:t>ing</w:t>
      </w:r>
      <w:r w:rsidR="009F7E36" w:rsidRPr="00663D4D">
        <w:t xml:space="preserve"> progress </w:t>
      </w:r>
      <w:r w:rsidR="008A7EF1" w:rsidRPr="00663D4D">
        <w:t>i</w:t>
      </w:r>
      <w:r w:rsidR="009F7E36" w:rsidRPr="00663D4D">
        <w:t>n implement</w:t>
      </w:r>
      <w:r w:rsidR="008A7EF1" w:rsidRPr="00663D4D">
        <w:t>ing</w:t>
      </w:r>
      <w:r w:rsidR="009F7E36" w:rsidRPr="00663D4D">
        <w:t xml:space="preserve"> Council Resolution</w:t>
      </w:r>
      <w:r w:rsidR="00546B87">
        <w:t> </w:t>
      </w:r>
      <w:r w:rsidR="009F7E36" w:rsidRPr="00663D4D">
        <w:t>1429 (C2</w:t>
      </w:r>
      <w:r w:rsidR="008D57E4" w:rsidRPr="00663D4D">
        <w:t>4</w:t>
      </w:r>
      <w:r w:rsidR="009F7E36" w:rsidRPr="00663D4D">
        <w:t>), on environmental sustainability</w:t>
      </w:r>
      <w:r w:rsidR="008A7EF1" w:rsidRPr="00663D4D">
        <w:t>. The report</w:t>
      </w:r>
      <w:r w:rsidR="009F7E36" w:rsidRPr="00663D4D">
        <w:t xml:space="preserve"> complement</w:t>
      </w:r>
      <w:r w:rsidR="008D57E4" w:rsidRPr="00663D4D">
        <w:t>ed</w:t>
      </w:r>
      <w:r w:rsidR="009F7E36" w:rsidRPr="00663D4D">
        <w:t xml:space="preserve"> climate action and sustainable digital transformation activities </w:t>
      </w:r>
      <w:r w:rsidR="008A7EF1" w:rsidRPr="00663D4D">
        <w:t xml:space="preserve">described </w:t>
      </w:r>
      <w:r w:rsidR="009F7E36" w:rsidRPr="00663D4D">
        <w:t>in the report on the implementation of the strategic plan and activities of the Union for 2024-2025 (Document</w:t>
      </w:r>
      <w:r w:rsidR="00546B87">
        <w:t> </w:t>
      </w:r>
      <w:hyperlink r:id="rId18" w:history="1">
        <w:r w:rsidR="009F7E36" w:rsidRPr="00663D4D">
          <w:rPr>
            <w:rStyle w:val="Hyperlink"/>
          </w:rPr>
          <w:t>C25/35</w:t>
        </w:r>
      </w:hyperlink>
      <w:r w:rsidR="009F7E36" w:rsidRPr="00663D4D">
        <w:t>)</w:t>
      </w:r>
      <w:r w:rsidRPr="00663D4D">
        <w:t xml:space="preserve">. </w:t>
      </w:r>
    </w:p>
    <w:p w14:paraId="4A1C9F33" w14:textId="2D1149AB" w:rsidR="009F7E36" w:rsidRPr="00663D4D" w:rsidRDefault="009F7E36" w:rsidP="007432D5">
      <w:pPr>
        <w:jc w:val="both"/>
      </w:pPr>
      <w:r w:rsidRPr="00663D4D">
        <w:t>3.2</w:t>
      </w:r>
      <w:r w:rsidRPr="00663D4D">
        <w:tab/>
      </w:r>
      <w:r w:rsidR="004D28E3" w:rsidRPr="00663D4D">
        <w:t>Two councillors welcomed the efforts to enhance ITU</w:t>
      </w:r>
      <w:r w:rsidR="00546B87">
        <w:t>'</w:t>
      </w:r>
      <w:r w:rsidR="004D28E3" w:rsidRPr="00663D4D">
        <w:t>s environmental sustainability</w:t>
      </w:r>
      <w:r w:rsidR="008A7EF1" w:rsidRPr="00663D4D">
        <w:t>; however,</w:t>
      </w:r>
      <w:r w:rsidR="004D28E3" w:rsidRPr="00663D4D">
        <w:t xml:space="preserve"> o</w:t>
      </w:r>
      <w:r w:rsidRPr="00663D4D">
        <w:t xml:space="preserve">ne </w:t>
      </w:r>
      <w:r w:rsidR="008A7EF1" w:rsidRPr="00663D4D">
        <w:t>voiced</w:t>
      </w:r>
      <w:r w:rsidRPr="00663D4D">
        <w:t xml:space="preserve"> concern </w:t>
      </w:r>
      <w:r w:rsidR="008A7EF1" w:rsidRPr="00663D4D">
        <w:t xml:space="preserve">over the lack of </w:t>
      </w:r>
      <w:r w:rsidRPr="00663D4D">
        <w:t>reduc</w:t>
      </w:r>
      <w:r w:rsidR="004D28E3" w:rsidRPr="00663D4D">
        <w:t>tion</w:t>
      </w:r>
      <w:r w:rsidRPr="00663D4D">
        <w:t xml:space="preserve"> </w:t>
      </w:r>
      <w:r w:rsidR="004D28E3" w:rsidRPr="00663D4D">
        <w:t>in</w:t>
      </w:r>
      <w:r w:rsidRPr="00663D4D">
        <w:t xml:space="preserve"> CO</w:t>
      </w:r>
      <w:r w:rsidRPr="00663D4D">
        <w:rPr>
          <w:vertAlign w:val="subscript"/>
        </w:rPr>
        <w:t>2</w:t>
      </w:r>
      <w:r w:rsidRPr="00663D4D">
        <w:t xml:space="preserve"> emissions and called for strategic</w:t>
      </w:r>
      <w:r w:rsidR="008A7EF1" w:rsidRPr="00663D4D">
        <w:t>,</w:t>
      </w:r>
      <w:r w:rsidRPr="00663D4D">
        <w:t xml:space="preserve"> </w:t>
      </w:r>
      <w:r w:rsidR="008A7EF1" w:rsidRPr="00663D4D">
        <w:t>concrete</w:t>
      </w:r>
      <w:r w:rsidRPr="00663D4D">
        <w:t xml:space="preserve"> </w:t>
      </w:r>
      <w:r w:rsidR="00FF6CC0" w:rsidRPr="00663D4D">
        <w:t>actions aligned with</w:t>
      </w:r>
      <w:r w:rsidRPr="00663D4D">
        <w:t xml:space="preserve"> sustainability guidelines</w:t>
      </w:r>
      <w:r w:rsidR="00FF6CC0" w:rsidRPr="00663D4D">
        <w:t xml:space="preserve"> and</w:t>
      </w:r>
      <w:proofErr w:type="gramStart"/>
      <w:r w:rsidR="00FF6CC0" w:rsidRPr="00663D4D">
        <w:t>,</w:t>
      </w:r>
      <w:r w:rsidRPr="00663D4D">
        <w:t xml:space="preserve"> </w:t>
      </w:r>
      <w:r w:rsidR="00FF6CC0" w:rsidRPr="00663D4D">
        <w:t>i</w:t>
      </w:r>
      <w:r w:rsidRPr="00663D4D">
        <w:t xml:space="preserve">n particular, </w:t>
      </w:r>
      <w:r w:rsidR="00FF6CC0" w:rsidRPr="00663D4D">
        <w:t>aimed</w:t>
      </w:r>
      <w:proofErr w:type="gramEnd"/>
      <w:r w:rsidR="00FF6CC0" w:rsidRPr="00663D4D">
        <w:t xml:space="preserve"> at</w:t>
      </w:r>
      <w:r w:rsidRPr="00663D4D">
        <w:t xml:space="preserve"> reduc</w:t>
      </w:r>
      <w:r w:rsidR="00FF6CC0" w:rsidRPr="00663D4D">
        <w:t>ing</w:t>
      </w:r>
      <w:r w:rsidRPr="00663D4D">
        <w:t xml:space="preserve"> the number of ITU-paid flights.</w:t>
      </w:r>
    </w:p>
    <w:p w14:paraId="20B04028" w14:textId="34795753" w:rsidR="00EF4A96" w:rsidRPr="00663D4D" w:rsidRDefault="009F7E36" w:rsidP="007432D5">
      <w:pPr>
        <w:jc w:val="both"/>
      </w:pPr>
      <w:r w:rsidRPr="00663D4D">
        <w:t>3.3</w:t>
      </w:r>
      <w:r w:rsidRPr="00663D4D">
        <w:tab/>
        <w:t>The representative of the General Secretariat</w:t>
      </w:r>
      <w:r w:rsidR="00EF4A96" w:rsidRPr="00663D4D">
        <w:t xml:space="preserve"> </w:t>
      </w:r>
      <w:r w:rsidR="00FF6CC0" w:rsidRPr="00663D4D">
        <w:t xml:space="preserve">replied </w:t>
      </w:r>
      <w:r w:rsidRPr="00663D4D">
        <w:t>that</w:t>
      </w:r>
      <w:r w:rsidR="00EF4A96" w:rsidRPr="00663D4D">
        <w:t xml:space="preserve"> the </w:t>
      </w:r>
      <w:r w:rsidRPr="00663D4D">
        <w:t>environmental m</w:t>
      </w:r>
      <w:r w:rsidR="00EF4A96" w:rsidRPr="00663D4D">
        <w:t xml:space="preserve">anagement </w:t>
      </w:r>
      <w:r w:rsidRPr="00663D4D">
        <w:t>s</w:t>
      </w:r>
      <w:r w:rsidR="00EF4A96" w:rsidRPr="00663D4D">
        <w:t xml:space="preserve">ystem working group had been strengthened and had proposed </w:t>
      </w:r>
      <w:r w:rsidR="00FF6CC0" w:rsidRPr="00663D4D">
        <w:t>various</w:t>
      </w:r>
      <w:r w:rsidR="00EF4A96" w:rsidRPr="00663D4D">
        <w:t xml:space="preserve"> measures </w:t>
      </w:r>
      <w:r w:rsidR="00FF6CC0" w:rsidRPr="00663D4D">
        <w:t>currently under review</w:t>
      </w:r>
      <w:r w:rsidR="00EF4A96" w:rsidRPr="00663D4D">
        <w:t xml:space="preserve"> by the </w:t>
      </w:r>
      <w:r w:rsidRPr="00663D4D">
        <w:t>C</w:t>
      </w:r>
      <w:r w:rsidR="00EF4A96" w:rsidRPr="00663D4D">
        <w:t xml:space="preserve">oordination </w:t>
      </w:r>
      <w:r w:rsidRPr="00663D4D">
        <w:t>C</w:t>
      </w:r>
      <w:r w:rsidR="00EF4A96" w:rsidRPr="00663D4D">
        <w:t xml:space="preserve">ommittee. </w:t>
      </w:r>
      <w:r w:rsidR="004D28E3" w:rsidRPr="00663D4D">
        <w:t>T</w:t>
      </w:r>
      <w:r w:rsidR="00EF4A96" w:rsidRPr="00663D4D">
        <w:t>he Union</w:t>
      </w:r>
      <w:r w:rsidR="004D28E3" w:rsidRPr="00663D4D">
        <w:t xml:space="preserve"> needed</w:t>
      </w:r>
      <w:r w:rsidR="00EF4A96" w:rsidRPr="00663D4D">
        <w:t xml:space="preserve"> to </w:t>
      </w:r>
      <w:r w:rsidR="00FF6CC0" w:rsidRPr="00663D4D">
        <w:t xml:space="preserve">demonstrate </w:t>
      </w:r>
      <w:r w:rsidR="00EF4A96" w:rsidRPr="00663D4D">
        <w:t xml:space="preserve">leadership </w:t>
      </w:r>
      <w:r w:rsidR="00FF6CC0" w:rsidRPr="00663D4D">
        <w:t>i</w:t>
      </w:r>
      <w:r w:rsidR="00EF4A96" w:rsidRPr="00663D4D">
        <w:t>n environmental sustainability</w:t>
      </w:r>
      <w:r w:rsidR="004D28E3" w:rsidRPr="00663D4D">
        <w:t xml:space="preserve"> and in</w:t>
      </w:r>
      <w:r w:rsidR="00EF4A96" w:rsidRPr="00663D4D">
        <w:t xml:space="preserve"> improv</w:t>
      </w:r>
      <w:r w:rsidR="00FF6CC0" w:rsidRPr="00663D4D">
        <w:t>ing</w:t>
      </w:r>
      <w:r w:rsidR="00EF4A96" w:rsidRPr="00663D4D">
        <w:t xml:space="preserve"> the environmental efficiency of the sector. </w:t>
      </w:r>
    </w:p>
    <w:p w14:paraId="41A97F9B" w14:textId="0B43E0FE" w:rsidR="00EF4A96" w:rsidRPr="00663D4D" w:rsidRDefault="00EF4A96" w:rsidP="007432D5">
      <w:pPr>
        <w:jc w:val="both"/>
      </w:pPr>
      <w:r w:rsidRPr="00663D4D">
        <w:t>3</w:t>
      </w:r>
      <w:r w:rsidR="004D28E3" w:rsidRPr="00663D4D">
        <w:t>.4</w:t>
      </w:r>
      <w:r w:rsidRPr="00663D4D">
        <w:tab/>
        <w:t xml:space="preserve">The Council </w:t>
      </w:r>
      <w:r w:rsidRPr="00663D4D">
        <w:rPr>
          <w:b/>
          <w:bCs/>
        </w:rPr>
        <w:t>note</w:t>
      </w:r>
      <w:r w:rsidR="004D28E3" w:rsidRPr="00663D4D">
        <w:rPr>
          <w:b/>
          <w:bCs/>
        </w:rPr>
        <w:t>d</w:t>
      </w:r>
      <w:r w:rsidRPr="00663D4D">
        <w:t xml:space="preserve"> the report</w:t>
      </w:r>
      <w:r w:rsidR="008D57E4" w:rsidRPr="00663D4D">
        <w:t xml:space="preserve"> contained in Document</w:t>
      </w:r>
      <w:r w:rsidR="00546B87">
        <w:t> </w:t>
      </w:r>
      <w:r w:rsidR="008D57E4" w:rsidRPr="00663D4D">
        <w:t>C25/45</w:t>
      </w:r>
      <w:r w:rsidRPr="00663D4D">
        <w:t>.</w:t>
      </w:r>
    </w:p>
    <w:p w14:paraId="1E912B03" w14:textId="461B28C5" w:rsidR="00EF4A96" w:rsidRPr="00663D4D" w:rsidRDefault="00EF4A96" w:rsidP="00EF4A96">
      <w:pPr>
        <w:pStyle w:val="Heading1"/>
      </w:pPr>
      <w:r w:rsidRPr="00663D4D">
        <w:t>4</w:t>
      </w:r>
      <w:r w:rsidRPr="00663D4D">
        <w:tab/>
        <w:t xml:space="preserve">Activities supporting reconstruction of infrastructure </w:t>
      </w:r>
      <w:r w:rsidR="004D28E3" w:rsidRPr="00663D4D">
        <w:t>in</w:t>
      </w:r>
      <w:r w:rsidRPr="00663D4D">
        <w:t xml:space="preserve"> countries</w:t>
      </w:r>
      <w:r w:rsidR="00DE7A89" w:rsidRPr="00663D4D">
        <w:t xml:space="preserve"> concerned </w:t>
      </w:r>
      <w:r w:rsidRPr="00663D4D">
        <w:t>(Document</w:t>
      </w:r>
      <w:r w:rsidR="00546B87">
        <w:t> </w:t>
      </w:r>
      <w:hyperlink r:id="rId19">
        <w:r w:rsidRPr="00663D4D">
          <w:rPr>
            <w:rStyle w:val="Hyperlink"/>
          </w:rPr>
          <w:t>C25/72</w:t>
        </w:r>
        <w:r w:rsidRPr="00663D4D">
          <w:rPr>
            <w:rStyle w:val="Hyperlink"/>
            <w:color w:val="auto"/>
          </w:rPr>
          <w:t>)</w:t>
        </w:r>
      </w:hyperlink>
    </w:p>
    <w:p w14:paraId="422BD36D" w14:textId="6E06B344" w:rsidR="00EF4A96" w:rsidRPr="00663D4D" w:rsidRDefault="00EF4A96" w:rsidP="007432D5">
      <w:pPr>
        <w:jc w:val="both"/>
      </w:pPr>
      <w:r w:rsidRPr="00663D4D">
        <w:t>4.1</w:t>
      </w:r>
      <w:r w:rsidRPr="00663D4D">
        <w:tab/>
      </w:r>
      <w:r w:rsidR="008F6FB3" w:rsidRPr="00663D4D">
        <w:t xml:space="preserve">The Deputy to the Director of the Telecommunication Development Bureau (BDT) </w:t>
      </w:r>
      <w:r w:rsidRPr="00663D4D">
        <w:t>introduced Document</w:t>
      </w:r>
      <w:r w:rsidR="00546B87">
        <w:t> </w:t>
      </w:r>
      <w:r w:rsidRPr="00663D4D">
        <w:t xml:space="preserve">C25/72, </w:t>
      </w:r>
      <w:r w:rsidR="00F80F0B" w:rsidRPr="00663D4D">
        <w:t xml:space="preserve">offering </w:t>
      </w:r>
      <w:r w:rsidR="008F6FB3" w:rsidRPr="00663D4D">
        <w:t xml:space="preserve">a </w:t>
      </w:r>
      <w:r w:rsidR="00F80F0B" w:rsidRPr="00663D4D">
        <w:t xml:space="preserve">detailed </w:t>
      </w:r>
      <w:r w:rsidR="008F6FB3" w:rsidRPr="00663D4D">
        <w:t xml:space="preserve">overview of </w:t>
      </w:r>
      <w:r w:rsidR="00F80F0B" w:rsidRPr="00663D4D">
        <w:t>ITU</w:t>
      </w:r>
      <w:r w:rsidR="00546B87">
        <w:t>'</w:t>
      </w:r>
      <w:r w:rsidR="00F80F0B" w:rsidRPr="00663D4D">
        <w:t>s</w:t>
      </w:r>
      <w:r w:rsidR="008F6FB3" w:rsidRPr="00663D4D">
        <w:t xml:space="preserve"> activities support</w:t>
      </w:r>
      <w:r w:rsidR="009A62DB" w:rsidRPr="00663D4D">
        <w:t>ing</w:t>
      </w:r>
      <w:r w:rsidR="008F6FB3" w:rsidRPr="00663D4D">
        <w:t xml:space="preserve"> Member States in reconstructin</w:t>
      </w:r>
      <w:r w:rsidR="009A62DB" w:rsidRPr="00663D4D">
        <w:t>g</w:t>
      </w:r>
      <w:r w:rsidR="008F6FB3" w:rsidRPr="00663D4D">
        <w:t xml:space="preserve"> </w:t>
      </w:r>
      <w:r w:rsidR="00171529" w:rsidRPr="00663D4D">
        <w:t>information and communication technology (</w:t>
      </w:r>
      <w:r w:rsidR="008F6FB3" w:rsidRPr="00663D4D">
        <w:t>ICT</w:t>
      </w:r>
      <w:r w:rsidR="00171529" w:rsidRPr="00663D4D">
        <w:t>)</w:t>
      </w:r>
      <w:r w:rsidR="008F6FB3" w:rsidRPr="00663D4D">
        <w:t xml:space="preserve"> infrastructure</w:t>
      </w:r>
      <w:r w:rsidR="009A62DB" w:rsidRPr="00663D4D">
        <w:t xml:space="preserve">. The report was </w:t>
      </w:r>
      <w:r w:rsidR="008F6FB3" w:rsidRPr="00663D4D">
        <w:t xml:space="preserve">in response to a request </w:t>
      </w:r>
      <w:r w:rsidR="009A62DB" w:rsidRPr="00663D4D">
        <w:t xml:space="preserve">made during </w:t>
      </w:r>
      <w:r w:rsidR="008F6FB3" w:rsidRPr="00663D4D">
        <w:t>the 2024 session of the Council</w:t>
      </w:r>
      <w:r w:rsidRPr="00663D4D">
        <w:t>.</w:t>
      </w:r>
    </w:p>
    <w:p w14:paraId="265AE56D" w14:textId="5FD4695F" w:rsidR="00EF4A96" w:rsidRPr="00663D4D" w:rsidRDefault="00EF4A96" w:rsidP="007432D5">
      <w:pPr>
        <w:jc w:val="both"/>
      </w:pPr>
      <w:r w:rsidRPr="00663D4D">
        <w:t>4.2</w:t>
      </w:r>
      <w:r w:rsidRPr="00663D4D">
        <w:tab/>
        <w:t xml:space="preserve">One councillor </w:t>
      </w:r>
      <w:r w:rsidR="00025341" w:rsidRPr="00663D4D">
        <w:t>welcomed the report</w:t>
      </w:r>
      <w:r w:rsidR="00501796" w:rsidRPr="00663D4D">
        <w:t>,</w:t>
      </w:r>
      <w:r w:rsidR="00025341" w:rsidRPr="00663D4D">
        <w:t xml:space="preserve"> </w:t>
      </w:r>
      <w:r w:rsidR="009A62DB" w:rsidRPr="00663D4D">
        <w:t>observing</w:t>
      </w:r>
      <w:r w:rsidR="00501796" w:rsidRPr="00663D4D">
        <w:t xml:space="preserve"> that</w:t>
      </w:r>
      <w:r w:rsidR="009A62DB" w:rsidRPr="00663D4D">
        <w:t xml:space="preserve"> none</w:t>
      </w:r>
      <w:r w:rsidR="00501796" w:rsidRPr="00663D4D">
        <w:t xml:space="preserve"> of</w:t>
      </w:r>
      <w:r w:rsidR="00327E41" w:rsidRPr="00663D4D">
        <w:t xml:space="preserve"> the </w:t>
      </w:r>
      <w:r w:rsidR="00025341" w:rsidRPr="00663D4D">
        <w:t>countries</w:t>
      </w:r>
      <w:r w:rsidR="00327E41" w:rsidRPr="00663D4D">
        <w:t xml:space="preserve"> </w:t>
      </w:r>
      <w:r w:rsidR="009A62DB" w:rsidRPr="00663D4D">
        <w:t>receiving</w:t>
      </w:r>
      <w:r w:rsidR="00327E41" w:rsidRPr="00663D4D">
        <w:t xml:space="preserve"> support </w:t>
      </w:r>
      <w:r w:rsidR="00025341" w:rsidRPr="00663D4D">
        <w:t>under Resolution</w:t>
      </w:r>
      <w:r w:rsidR="00546B87">
        <w:t> </w:t>
      </w:r>
      <w:r w:rsidR="00025341" w:rsidRPr="00663D4D">
        <w:t>34 (Rev.</w:t>
      </w:r>
      <w:r w:rsidR="00546B87">
        <w:t> </w:t>
      </w:r>
      <w:r w:rsidR="00025341" w:rsidRPr="00663D4D">
        <w:t xml:space="preserve">Dubai, 2022) of the Plenipotentiary Conference (PP) </w:t>
      </w:r>
      <w:r w:rsidR="009A62DB" w:rsidRPr="00663D4D">
        <w:t>or</w:t>
      </w:r>
      <w:r w:rsidR="00025341" w:rsidRPr="00663D4D">
        <w:t xml:space="preserve"> country-specific PP and Council resolutions were Council </w:t>
      </w:r>
      <w:r w:rsidR="00327E41" w:rsidRPr="00663D4D">
        <w:t>M</w:t>
      </w:r>
      <w:r w:rsidR="00025341" w:rsidRPr="00663D4D">
        <w:t>ember</w:t>
      </w:r>
      <w:r w:rsidR="00327E41" w:rsidRPr="00663D4D">
        <w:t xml:space="preserve"> States;</w:t>
      </w:r>
      <w:r w:rsidR="00025341" w:rsidRPr="00663D4D">
        <w:t xml:space="preserve"> </w:t>
      </w:r>
      <w:r w:rsidR="00327E41" w:rsidRPr="00663D4D">
        <w:t>v</w:t>
      </w:r>
      <w:r w:rsidR="00025341" w:rsidRPr="00663D4D">
        <w:t xml:space="preserve">igilance and oversight was thus imperative. He called for </w:t>
      </w:r>
      <w:r w:rsidR="00501796" w:rsidRPr="00663D4D">
        <w:t>greater</w:t>
      </w:r>
      <w:r w:rsidRPr="00663D4D">
        <w:t xml:space="preserve"> equitability</w:t>
      </w:r>
      <w:r w:rsidR="00501796" w:rsidRPr="00663D4D">
        <w:t>, in reporting and action,</w:t>
      </w:r>
      <w:r w:rsidRPr="00663D4D">
        <w:t xml:space="preserve"> </w:t>
      </w:r>
      <w:r w:rsidR="00501796" w:rsidRPr="00663D4D">
        <w:t>for</w:t>
      </w:r>
      <w:r w:rsidRPr="00663D4D">
        <w:t xml:space="preserve"> assistance provided to </w:t>
      </w:r>
      <w:r w:rsidR="009A62DB" w:rsidRPr="00663D4D">
        <w:t>such</w:t>
      </w:r>
      <w:r w:rsidRPr="00663D4D">
        <w:t xml:space="preserve"> countries</w:t>
      </w:r>
      <w:r w:rsidR="009A62DB" w:rsidRPr="00663D4D">
        <w:t>, urging</w:t>
      </w:r>
      <w:r w:rsidR="00327E41" w:rsidRPr="00663D4D">
        <w:t xml:space="preserve"> that all countries</w:t>
      </w:r>
      <w:r w:rsidR="00546B87">
        <w:t>'</w:t>
      </w:r>
      <w:r w:rsidR="00327E41" w:rsidRPr="00663D4D">
        <w:t xml:space="preserve"> needs </w:t>
      </w:r>
      <w:r w:rsidR="009A62DB" w:rsidRPr="00663D4D">
        <w:t>be</w:t>
      </w:r>
      <w:r w:rsidR="00501796" w:rsidRPr="00663D4D">
        <w:t xml:space="preserve"> </w:t>
      </w:r>
      <w:r w:rsidR="00327E41" w:rsidRPr="00663D4D">
        <w:t>addressed</w:t>
      </w:r>
      <w:r w:rsidR="009A62DB" w:rsidRPr="00663D4D">
        <w:t xml:space="preserve">. He </w:t>
      </w:r>
      <w:r w:rsidR="00501796" w:rsidRPr="00663D4D">
        <w:t>add</w:t>
      </w:r>
      <w:r w:rsidR="009A62DB" w:rsidRPr="00663D4D">
        <w:t>ed</w:t>
      </w:r>
      <w:r w:rsidR="00025341" w:rsidRPr="00663D4D">
        <w:t xml:space="preserve"> that </w:t>
      </w:r>
      <w:r w:rsidRPr="00663D4D">
        <w:t xml:space="preserve">platforms </w:t>
      </w:r>
      <w:r w:rsidR="00025341" w:rsidRPr="00663D4D">
        <w:t xml:space="preserve">developed for recently affected countries </w:t>
      </w:r>
      <w:r w:rsidRPr="00663D4D">
        <w:t>could be adapted to support others.</w:t>
      </w:r>
    </w:p>
    <w:p w14:paraId="08203E7F" w14:textId="3F4C9E01" w:rsidR="00EF4A96" w:rsidRPr="00663D4D" w:rsidRDefault="00EF4A96" w:rsidP="007432D5">
      <w:pPr>
        <w:jc w:val="both"/>
      </w:pPr>
      <w:r w:rsidRPr="00663D4D">
        <w:t>4.3</w:t>
      </w:r>
      <w:r w:rsidRPr="00663D4D">
        <w:tab/>
      </w:r>
      <w:r w:rsidR="00327E41" w:rsidRPr="00663D4D">
        <w:t xml:space="preserve">The observer for the Russian Federation </w:t>
      </w:r>
      <w:r w:rsidR="009A62DB" w:rsidRPr="00663D4D">
        <w:t>voiced</w:t>
      </w:r>
      <w:r w:rsidR="00327E41" w:rsidRPr="00663D4D">
        <w:t xml:space="preserve"> concern </w:t>
      </w:r>
      <w:r w:rsidR="009A62DB" w:rsidRPr="00663D4D">
        <w:t>over</w:t>
      </w:r>
      <w:r w:rsidR="00327E41" w:rsidRPr="00663D4D">
        <w:t xml:space="preserve"> the lack of progress in restoring telecommunication infrastructure in Palestine</w:t>
      </w:r>
      <w:r w:rsidR="009A62DB" w:rsidRPr="00663D4D">
        <w:t xml:space="preserve"> and over </w:t>
      </w:r>
      <w:r w:rsidR="00327E41" w:rsidRPr="00663D4D">
        <w:t xml:space="preserve">the </w:t>
      </w:r>
      <w:r w:rsidR="009A62DB" w:rsidRPr="00663D4D">
        <w:t>Secretary-General</w:t>
      </w:r>
      <w:r w:rsidR="00546B87">
        <w:t>'</w:t>
      </w:r>
      <w:r w:rsidR="009A62DB" w:rsidRPr="00663D4D">
        <w:t xml:space="preserve">s </w:t>
      </w:r>
      <w:r w:rsidR="00327E41" w:rsidRPr="00663D4D">
        <w:t>lack of response f</w:t>
      </w:r>
      <w:r w:rsidR="009A62DB" w:rsidRPr="00663D4D">
        <w:t>ollowing</w:t>
      </w:r>
      <w:r w:rsidR="00327E41" w:rsidRPr="00663D4D">
        <w:t xml:space="preserve"> direct attacks by</w:t>
      </w:r>
      <w:r w:rsidRPr="00663D4D">
        <w:t xml:space="preserve"> Israel on telecommunication infrastructure</w:t>
      </w:r>
      <w:r w:rsidR="00327E41" w:rsidRPr="00663D4D">
        <w:t xml:space="preserve"> in the Islamic Republic of Iran</w:t>
      </w:r>
      <w:r w:rsidRPr="00663D4D">
        <w:t>. The observer f</w:t>
      </w:r>
      <w:r w:rsidR="00327E41" w:rsidRPr="00663D4D">
        <w:t>o</w:t>
      </w:r>
      <w:r w:rsidRPr="00663D4D">
        <w:t>r Israel refuted th</w:t>
      </w:r>
      <w:r w:rsidR="00327E41" w:rsidRPr="00663D4D">
        <w:t>at</w:t>
      </w:r>
      <w:r w:rsidRPr="00663D4D">
        <w:t xml:space="preserve"> accusation, </w:t>
      </w:r>
      <w:r w:rsidR="009A62DB" w:rsidRPr="00663D4D">
        <w:t>stating</w:t>
      </w:r>
      <w:r w:rsidRPr="00663D4D">
        <w:t xml:space="preserve"> that her </w:t>
      </w:r>
      <w:r w:rsidR="00501796" w:rsidRPr="00663D4D">
        <w:t xml:space="preserve">government </w:t>
      </w:r>
      <w:r w:rsidRPr="00663D4D">
        <w:t>had targeted legitimate military objectives</w:t>
      </w:r>
      <w:r w:rsidR="00327E41" w:rsidRPr="00663D4D">
        <w:t xml:space="preserve">, unlike the Islamic Republic of Iran, which had </w:t>
      </w:r>
      <w:r w:rsidR="009A62DB" w:rsidRPr="00663D4D">
        <w:t xml:space="preserve">attacked </w:t>
      </w:r>
      <w:r w:rsidR="00327E41" w:rsidRPr="00663D4D">
        <w:t>civilians and civilian infrastructure.</w:t>
      </w:r>
    </w:p>
    <w:p w14:paraId="580A54F1" w14:textId="72DB5BCB" w:rsidR="00EF4A96" w:rsidRPr="00663D4D" w:rsidRDefault="00EF4A96" w:rsidP="007432D5">
      <w:pPr>
        <w:jc w:val="both"/>
      </w:pPr>
      <w:r w:rsidRPr="00663D4D">
        <w:t>4.4</w:t>
      </w:r>
      <w:r w:rsidRPr="00663D4D">
        <w:tab/>
      </w:r>
      <w:r w:rsidR="00501796" w:rsidRPr="00663D4D">
        <w:t xml:space="preserve">The Deputy to the Director of BDT said </w:t>
      </w:r>
      <w:r w:rsidR="009A62DB" w:rsidRPr="00663D4D">
        <w:t xml:space="preserve">that infrastructure </w:t>
      </w:r>
      <w:r w:rsidR="00D140FE" w:rsidRPr="00663D4D">
        <w:t>reconstruction</w:t>
      </w:r>
      <w:r w:rsidR="009A62DB" w:rsidRPr="00663D4D">
        <w:t xml:space="preserve"> activities</w:t>
      </w:r>
      <w:r w:rsidR="00D140FE" w:rsidRPr="00663D4D">
        <w:t xml:space="preserve"> had been </w:t>
      </w:r>
      <w:r w:rsidR="008A7EF1" w:rsidRPr="00663D4D">
        <w:t xml:space="preserve">integrated into </w:t>
      </w:r>
      <w:r w:rsidR="00D140FE" w:rsidRPr="00663D4D">
        <w:t>BDT</w:t>
      </w:r>
      <w:r w:rsidR="00546B87">
        <w:t>'</w:t>
      </w:r>
      <w:r w:rsidR="00D140FE" w:rsidRPr="00663D4D">
        <w:t xml:space="preserve">s operational plan to </w:t>
      </w:r>
      <w:r w:rsidR="008A7EF1" w:rsidRPr="00663D4D">
        <w:t xml:space="preserve">optimize resource </w:t>
      </w:r>
      <w:r w:rsidR="00D140FE" w:rsidRPr="00663D4D">
        <w:t xml:space="preserve">use and avoid duplication. </w:t>
      </w:r>
      <w:r w:rsidR="008A7EF1" w:rsidRPr="00663D4D">
        <w:t>R</w:t>
      </w:r>
      <w:r w:rsidR="00D140FE" w:rsidRPr="00663D4D">
        <w:t xml:space="preserve">eports and dashboards were submitted to the </w:t>
      </w:r>
      <w:r w:rsidRPr="00663D4D">
        <w:t xml:space="preserve">Telecommunication Development Advisory Group </w:t>
      </w:r>
      <w:r w:rsidR="008A7EF1" w:rsidRPr="00663D4D">
        <w:t xml:space="preserve">to facilitate </w:t>
      </w:r>
      <w:r w:rsidR="00D140FE" w:rsidRPr="00663D4D">
        <w:t>Member States</w:t>
      </w:r>
      <w:r w:rsidR="00546B87">
        <w:t>'</w:t>
      </w:r>
      <w:r w:rsidR="00D140FE" w:rsidRPr="00663D4D">
        <w:t xml:space="preserve"> oversight</w:t>
      </w:r>
      <w:r w:rsidRPr="00663D4D">
        <w:t>.</w:t>
      </w:r>
    </w:p>
    <w:p w14:paraId="1F699458" w14:textId="645D655E" w:rsidR="00EF4A96" w:rsidRPr="009203E1" w:rsidRDefault="00EF4A96" w:rsidP="007432D5">
      <w:pPr>
        <w:jc w:val="both"/>
        <w:rPr>
          <w:spacing w:val="-2"/>
        </w:rPr>
      </w:pPr>
      <w:r w:rsidRPr="009203E1">
        <w:rPr>
          <w:spacing w:val="-2"/>
        </w:rPr>
        <w:t>4.5</w:t>
      </w:r>
      <w:r w:rsidRPr="009203E1">
        <w:rPr>
          <w:spacing w:val="-2"/>
        </w:rPr>
        <w:tab/>
        <w:t>The Director of BDT</w:t>
      </w:r>
      <w:r w:rsidR="005962CC" w:rsidRPr="009203E1">
        <w:rPr>
          <w:spacing w:val="-2"/>
        </w:rPr>
        <w:t xml:space="preserve"> said that, after </w:t>
      </w:r>
      <w:r w:rsidR="008A7EF1" w:rsidRPr="009203E1">
        <w:rPr>
          <w:spacing w:val="-2"/>
        </w:rPr>
        <w:t xml:space="preserve">the adoption of </w:t>
      </w:r>
      <w:r w:rsidR="005962CC" w:rsidRPr="009203E1">
        <w:rPr>
          <w:spacing w:val="-2"/>
        </w:rPr>
        <w:t>PP Resolution</w:t>
      </w:r>
      <w:r w:rsidR="00546B87" w:rsidRPr="009203E1">
        <w:rPr>
          <w:spacing w:val="-2"/>
        </w:rPr>
        <w:t> </w:t>
      </w:r>
      <w:r w:rsidR="005962CC" w:rsidRPr="009203E1">
        <w:rPr>
          <w:spacing w:val="-2"/>
        </w:rPr>
        <w:t xml:space="preserve">34 in Kyoto, 1994, ITU began </w:t>
      </w:r>
      <w:r w:rsidR="00F42314" w:rsidRPr="009203E1">
        <w:rPr>
          <w:spacing w:val="-2"/>
        </w:rPr>
        <w:t xml:space="preserve">efforts in 2001 to </w:t>
      </w:r>
      <w:r w:rsidR="008A7EF1" w:rsidRPr="009203E1">
        <w:rPr>
          <w:spacing w:val="-2"/>
        </w:rPr>
        <w:t xml:space="preserve">support infrastructure reconstruction </w:t>
      </w:r>
      <w:r w:rsidR="005962CC" w:rsidRPr="009203E1">
        <w:rPr>
          <w:spacing w:val="-2"/>
        </w:rPr>
        <w:t>f</w:t>
      </w:r>
      <w:r w:rsidR="008A7EF1" w:rsidRPr="009203E1">
        <w:rPr>
          <w:spacing w:val="-2"/>
        </w:rPr>
        <w:t>or</w:t>
      </w:r>
      <w:r w:rsidR="005962CC" w:rsidRPr="009203E1">
        <w:rPr>
          <w:spacing w:val="-2"/>
        </w:rPr>
        <w:t xml:space="preserve"> countries emerging from conflict, </w:t>
      </w:r>
      <w:r w:rsidR="008A7EF1" w:rsidRPr="009203E1">
        <w:rPr>
          <w:spacing w:val="-2"/>
        </w:rPr>
        <w:t xml:space="preserve">largely </w:t>
      </w:r>
      <w:r w:rsidR="005962CC" w:rsidRPr="009203E1">
        <w:rPr>
          <w:spacing w:val="-2"/>
        </w:rPr>
        <w:t>thanks to donor</w:t>
      </w:r>
      <w:r w:rsidR="008A7EF1" w:rsidRPr="009203E1">
        <w:rPr>
          <w:spacing w:val="-2"/>
        </w:rPr>
        <w:t xml:space="preserve"> contribution</w:t>
      </w:r>
      <w:r w:rsidR="005962CC" w:rsidRPr="009203E1">
        <w:rPr>
          <w:spacing w:val="-2"/>
        </w:rPr>
        <w:t xml:space="preserve">s. </w:t>
      </w:r>
      <w:r w:rsidR="008A7EF1" w:rsidRPr="009203E1">
        <w:rPr>
          <w:spacing w:val="-2"/>
        </w:rPr>
        <w:t>Although</w:t>
      </w:r>
      <w:r w:rsidR="005962CC" w:rsidRPr="009203E1">
        <w:rPr>
          <w:spacing w:val="-2"/>
        </w:rPr>
        <w:t xml:space="preserve"> no dedicated budget </w:t>
      </w:r>
      <w:r w:rsidR="008A7EF1" w:rsidRPr="009203E1">
        <w:rPr>
          <w:spacing w:val="-2"/>
        </w:rPr>
        <w:t xml:space="preserve">existed </w:t>
      </w:r>
      <w:r w:rsidR="005962CC" w:rsidRPr="009203E1">
        <w:rPr>
          <w:spacing w:val="-2"/>
        </w:rPr>
        <w:t xml:space="preserve">for </w:t>
      </w:r>
      <w:r w:rsidR="009C5CA2" w:rsidRPr="009203E1">
        <w:rPr>
          <w:spacing w:val="-2"/>
        </w:rPr>
        <w:t>infrastructure</w:t>
      </w:r>
      <w:r w:rsidR="005962CC" w:rsidRPr="009203E1">
        <w:rPr>
          <w:spacing w:val="-2"/>
        </w:rPr>
        <w:t xml:space="preserve"> reconstruction, ITU </w:t>
      </w:r>
      <w:r w:rsidR="009C5CA2" w:rsidRPr="009203E1">
        <w:rPr>
          <w:spacing w:val="-2"/>
        </w:rPr>
        <w:t xml:space="preserve">had achieved </w:t>
      </w:r>
      <w:r w:rsidR="008A7EF1" w:rsidRPr="009203E1">
        <w:rPr>
          <w:spacing w:val="-2"/>
        </w:rPr>
        <w:t>meaningful results</w:t>
      </w:r>
      <w:r w:rsidR="009C5CA2" w:rsidRPr="009203E1">
        <w:rPr>
          <w:spacing w:val="-2"/>
        </w:rPr>
        <w:t xml:space="preserve">. </w:t>
      </w:r>
      <w:r w:rsidR="008A7EF1" w:rsidRPr="009203E1">
        <w:rPr>
          <w:spacing w:val="-2"/>
        </w:rPr>
        <w:t xml:space="preserve">Given the varying development levels of </w:t>
      </w:r>
      <w:r w:rsidRPr="009203E1">
        <w:rPr>
          <w:spacing w:val="-2"/>
        </w:rPr>
        <w:t>countries requiring support</w:t>
      </w:r>
      <w:r w:rsidR="008A7EF1" w:rsidRPr="009203E1">
        <w:rPr>
          <w:spacing w:val="-2"/>
        </w:rPr>
        <w:t>,</w:t>
      </w:r>
      <w:r w:rsidRPr="009203E1">
        <w:rPr>
          <w:spacing w:val="-2"/>
        </w:rPr>
        <w:t xml:space="preserve"> </w:t>
      </w:r>
      <w:r w:rsidR="009C5CA2" w:rsidRPr="009203E1">
        <w:rPr>
          <w:spacing w:val="-2"/>
        </w:rPr>
        <w:t>t</w:t>
      </w:r>
      <w:r w:rsidRPr="009203E1">
        <w:rPr>
          <w:spacing w:val="-2"/>
        </w:rPr>
        <w:t xml:space="preserve">he secretariat </w:t>
      </w:r>
      <w:r w:rsidR="009C5CA2" w:rsidRPr="009203E1">
        <w:rPr>
          <w:spacing w:val="-2"/>
        </w:rPr>
        <w:t>conducted gap analys</w:t>
      </w:r>
      <w:r w:rsidR="008A7EF1" w:rsidRPr="009203E1">
        <w:rPr>
          <w:spacing w:val="-2"/>
        </w:rPr>
        <w:t>e</w:t>
      </w:r>
      <w:r w:rsidR="009C5CA2" w:rsidRPr="009203E1">
        <w:rPr>
          <w:spacing w:val="-2"/>
        </w:rPr>
        <w:t xml:space="preserve">s and assessed </w:t>
      </w:r>
      <w:r w:rsidR="008A7EF1" w:rsidRPr="009203E1">
        <w:rPr>
          <w:spacing w:val="-2"/>
        </w:rPr>
        <w:t>destruction</w:t>
      </w:r>
      <w:r w:rsidRPr="009203E1">
        <w:rPr>
          <w:spacing w:val="-2"/>
        </w:rPr>
        <w:t xml:space="preserve"> level</w:t>
      </w:r>
      <w:r w:rsidR="008A7EF1" w:rsidRPr="009203E1">
        <w:rPr>
          <w:spacing w:val="-2"/>
        </w:rPr>
        <w:t>s</w:t>
      </w:r>
      <w:r w:rsidR="009C5CA2" w:rsidRPr="009203E1">
        <w:rPr>
          <w:spacing w:val="-2"/>
        </w:rPr>
        <w:t xml:space="preserve"> before</w:t>
      </w:r>
      <w:r w:rsidRPr="009203E1">
        <w:rPr>
          <w:spacing w:val="-2"/>
        </w:rPr>
        <w:t xml:space="preserve"> </w:t>
      </w:r>
      <w:r w:rsidR="009C5CA2" w:rsidRPr="009203E1">
        <w:rPr>
          <w:spacing w:val="-2"/>
        </w:rPr>
        <w:t xml:space="preserve">appealing to </w:t>
      </w:r>
      <w:r w:rsidRPr="009203E1">
        <w:rPr>
          <w:spacing w:val="-2"/>
        </w:rPr>
        <w:t>donors.</w:t>
      </w:r>
      <w:r w:rsidR="009C5CA2" w:rsidRPr="009203E1">
        <w:rPr>
          <w:spacing w:val="-2"/>
        </w:rPr>
        <w:t xml:space="preserve"> He called on Member States to support th</w:t>
      </w:r>
      <w:r w:rsidR="008A7EF1" w:rsidRPr="009203E1">
        <w:rPr>
          <w:spacing w:val="-2"/>
        </w:rPr>
        <w:t>ose</w:t>
      </w:r>
      <w:r w:rsidR="009C5CA2" w:rsidRPr="009203E1">
        <w:rPr>
          <w:spacing w:val="-2"/>
        </w:rPr>
        <w:t xml:space="preserve"> efforts.</w:t>
      </w:r>
      <w:r w:rsidRPr="009203E1">
        <w:rPr>
          <w:spacing w:val="-2"/>
        </w:rPr>
        <w:t xml:space="preserve"> He explained</w:t>
      </w:r>
      <w:r w:rsidR="009C5CA2" w:rsidRPr="009203E1">
        <w:rPr>
          <w:spacing w:val="-2"/>
        </w:rPr>
        <w:t xml:space="preserve"> that</w:t>
      </w:r>
      <w:r w:rsidRPr="009203E1">
        <w:rPr>
          <w:spacing w:val="-2"/>
        </w:rPr>
        <w:t xml:space="preserve"> </w:t>
      </w:r>
      <w:r w:rsidR="009C5CA2" w:rsidRPr="009203E1">
        <w:rPr>
          <w:spacing w:val="-2"/>
        </w:rPr>
        <w:t xml:space="preserve">intervention in </w:t>
      </w:r>
      <w:r w:rsidRPr="009203E1">
        <w:rPr>
          <w:spacing w:val="-2"/>
        </w:rPr>
        <w:t xml:space="preserve">countries experiencing </w:t>
      </w:r>
      <w:r w:rsidR="008A7EF1" w:rsidRPr="009203E1">
        <w:rPr>
          <w:spacing w:val="-2"/>
        </w:rPr>
        <w:t xml:space="preserve">ongoing </w:t>
      </w:r>
      <w:r w:rsidRPr="009203E1">
        <w:rPr>
          <w:spacing w:val="-2"/>
        </w:rPr>
        <w:t xml:space="preserve">conflict was </w:t>
      </w:r>
      <w:r w:rsidR="008A7EF1" w:rsidRPr="009203E1">
        <w:rPr>
          <w:spacing w:val="-2"/>
        </w:rPr>
        <w:t xml:space="preserve">limited </w:t>
      </w:r>
      <w:r w:rsidR="009C5CA2" w:rsidRPr="009203E1">
        <w:rPr>
          <w:spacing w:val="-2"/>
        </w:rPr>
        <w:t>to essential humanitarian services</w:t>
      </w:r>
      <w:r w:rsidR="008A7EF1" w:rsidRPr="009203E1">
        <w:rPr>
          <w:spacing w:val="-2"/>
        </w:rPr>
        <w:t xml:space="preserve"> under United Nations policy</w:t>
      </w:r>
      <w:r w:rsidRPr="009203E1">
        <w:rPr>
          <w:spacing w:val="-2"/>
        </w:rPr>
        <w:t xml:space="preserve"> but emphasized the secretariat</w:t>
      </w:r>
      <w:r w:rsidR="00EB3442" w:rsidRPr="009203E1">
        <w:rPr>
          <w:spacing w:val="-2"/>
        </w:rPr>
        <w:t>'</w:t>
      </w:r>
      <w:r w:rsidRPr="009203E1">
        <w:rPr>
          <w:spacing w:val="-2"/>
        </w:rPr>
        <w:t xml:space="preserve">s commitment to </w:t>
      </w:r>
      <w:r w:rsidR="008A7EF1" w:rsidRPr="009203E1">
        <w:rPr>
          <w:spacing w:val="-2"/>
        </w:rPr>
        <w:t xml:space="preserve">assisting </w:t>
      </w:r>
      <w:r w:rsidRPr="009203E1">
        <w:rPr>
          <w:spacing w:val="-2"/>
        </w:rPr>
        <w:t xml:space="preserve">countries </w:t>
      </w:r>
      <w:r w:rsidR="00F80F0B" w:rsidRPr="009203E1">
        <w:rPr>
          <w:spacing w:val="-2"/>
        </w:rPr>
        <w:t>emerging</w:t>
      </w:r>
      <w:r w:rsidRPr="009203E1">
        <w:rPr>
          <w:spacing w:val="-2"/>
        </w:rPr>
        <w:t xml:space="preserve"> from </w:t>
      </w:r>
      <w:r w:rsidR="00F80F0B" w:rsidRPr="009203E1">
        <w:rPr>
          <w:spacing w:val="-2"/>
        </w:rPr>
        <w:t>conflict</w:t>
      </w:r>
      <w:r w:rsidRPr="009203E1">
        <w:rPr>
          <w:spacing w:val="-2"/>
        </w:rPr>
        <w:t xml:space="preserve"> and natural disaster</w:t>
      </w:r>
      <w:r w:rsidR="00F80F0B" w:rsidRPr="009203E1">
        <w:rPr>
          <w:spacing w:val="-2"/>
        </w:rPr>
        <w:t>s</w:t>
      </w:r>
      <w:r w:rsidRPr="009203E1">
        <w:rPr>
          <w:spacing w:val="-2"/>
        </w:rPr>
        <w:t>.</w:t>
      </w:r>
    </w:p>
    <w:p w14:paraId="306CB1F0" w14:textId="7A31DD70" w:rsidR="00EF4A96" w:rsidRPr="00663D4D" w:rsidRDefault="00EF4A96" w:rsidP="007432D5">
      <w:pPr>
        <w:jc w:val="both"/>
      </w:pPr>
      <w:r w:rsidRPr="00663D4D">
        <w:t>4.6</w:t>
      </w:r>
      <w:r w:rsidRPr="00663D4D">
        <w:tab/>
        <w:t xml:space="preserve">The Council </w:t>
      </w:r>
      <w:r w:rsidRPr="00663D4D">
        <w:rPr>
          <w:b/>
          <w:bCs/>
        </w:rPr>
        <w:t>note</w:t>
      </w:r>
      <w:r w:rsidR="00334BF1" w:rsidRPr="00663D4D">
        <w:rPr>
          <w:b/>
          <w:bCs/>
        </w:rPr>
        <w:t>d</w:t>
      </w:r>
      <w:r w:rsidRPr="00663D4D">
        <w:t xml:space="preserve"> the report contained in Document</w:t>
      </w:r>
      <w:r w:rsidR="00D03478">
        <w:t> </w:t>
      </w:r>
      <w:r w:rsidRPr="00663D4D">
        <w:t>C25/72.</w:t>
      </w:r>
    </w:p>
    <w:p w14:paraId="09531814" w14:textId="660917E2" w:rsidR="00EF4A96" w:rsidRPr="00663D4D" w:rsidRDefault="00EF4A96" w:rsidP="00EF4A96">
      <w:pPr>
        <w:pStyle w:val="Heading1"/>
      </w:pPr>
      <w:r w:rsidRPr="00663D4D">
        <w:t>5</w:t>
      </w:r>
      <w:r w:rsidRPr="00663D4D">
        <w:tab/>
        <w:t xml:space="preserve">Status report on assistance and support to Palestine </w:t>
      </w:r>
      <w:r w:rsidR="008D57E4" w:rsidRPr="00663D4D">
        <w:t>(</w:t>
      </w:r>
      <w:r w:rsidRPr="00663D4D">
        <w:t>Document</w:t>
      </w:r>
      <w:r w:rsidR="00D03478">
        <w:t> </w:t>
      </w:r>
      <w:hyperlink r:id="rId20">
        <w:r w:rsidRPr="00663D4D">
          <w:rPr>
            <w:rStyle w:val="Hyperlink"/>
          </w:rPr>
          <w:t>C25/71</w:t>
        </w:r>
      </w:hyperlink>
      <w:r w:rsidR="008D57E4" w:rsidRPr="00663D4D">
        <w:t>)</w:t>
      </w:r>
    </w:p>
    <w:p w14:paraId="00EFEDE7" w14:textId="39E7814F" w:rsidR="00EF4A96" w:rsidRPr="00663D4D" w:rsidRDefault="00EF4A96" w:rsidP="007432D5">
      <w:pPr>
        <w:jc w:val="both"/>
      </w:pPr>
      <w:r w:rsidRPr="00663D4D">
        <w:t>5.1</w:t>
      </w:r>
      <w:r w:rsidRPr="00663D4D">
        <w:tab/>
        <w:t xml:space="preserve">The Regional Director </w:t>
      </w:r>
      <w:r w:rsidR="008D57E4" w:rsidRPr="00663D4D">
        <w:t xml:space="preserve">of the Regional Office </w:t>
      </w:r>
      <w:r w:rsidRPr="00663D4D">
        <w:t>for the Arab States introduced Document</w:t>
      </w:r>
      <w:r w:rsidR="00D03478">
        <w:t> </w:t>
      </w:r>
      <w:r w:rsidRPr="00663D4D">
        <w:t xml:space="preserve">C25/71, which </w:t>
      </w:r>
      <w:r w:rsidR="005114C8" w:rsidRPr="00663D4D">
        <w:t>detailed</w:t>
      </w:r>
      <w:r w:rsidRPr="00663D4D">
        <w:t xml:space="preserve"> the implementation of </w:t>
      </w:r>
      <w:r w:rsidR="005114C8" w:rsidRPr="00663D4D">
        <w:t xml:space="preserve">Council </w:t>
      </w:r>
      <w:r w:rsidRPr="00663D4D">
        <w:t>Resolution</w:t>
      </w:r>
      <w:r w:rsidR="00D03478">
        <w:t> </w:t>
      </w:r>
      <w:r w:rsidRPr="00663D4D">
        <w:t>1424 (C24)</w:t>
      </w:r>
      <w:r w:rsidR="00082CDE">
        <w:t xml:space="preserve"> by the different bureau</w:t>
      </w:r>
      <w:r w:rsidR="00C15456">
        <w:t>x</w:t>
      </w:r>
      <w:r w:rsidR="00082CDE">
        <w:t xml:space="preserve"> of the </w:t>
      </w:r>
      <w:r w:rsidR="00C15456">
        <w:t>U</w:t>
      </w:r>
      <w:r w:rsidR="00082CDE">
        <w:t>nion</w:t>
      </w:r>
      <w:r w:rsidR="005114C8" w:rsidRPr="00663D4D">
        <w:t xml:space="preserve"> </w:t>
      </w:r>
      <w:r w:rsidR="00082CDE">
        <w:t xml:space="preserve">(including the </w:t>
      </w:r>
      <w:r w:rsidR="00C15456">
        <w:t>General Secretariat</w:t>
      </w:r>
      <w:r w:rsidR="00082CDE">
        <w:t xml:space="preserve">, the </w:t>
      </w:r>
      <w:r w:rsidR="00C15456">
        <w:t xml:space="preserve">Radiocommunication Bureau </w:t>
      </w:r>
      <w:r w:rsidR="00082CDE">
        <w:t xml:space="preserve">and the </w:t>
      </w:r>
      <w:r w:rsidR="00C15456">
        <w:t>Development Bureau</w:t>
      </w:r>
      <w:r w:rsidR="00082CDE">
        <w:t xml:space="preserve">) </w:t>
      </w:r>
      <w:r w:rsidR="005114C8" w:rsidRPr="00663D4D">
        <w:t>and</w:t>
      </w:r>
      <w:r w:rsidRPr="00663D4D">
        <w:t xml:space="preserve"> provid</w:t>
      </w:r>
      <w:r w:rsidR="005114C8" w:rsidRPr="00663D4D">
        <w:t>ed</w:t>
      </w:r>
      <w:r w:rsidRPr="00663D4D">
        <w:t xml:space="preserve"> a status report on assistance and support to Palestine. He </w:t>
      </w:r>
      <w:r w:rsidR="005114C8" w:rsidRPr="00663D4D">
        <w:t xml:space="preserve">highlighted </w:t>
      </w:r>
      <w:r w:rsidRPr="00663D4D">
        <w:t xml:space="preserve">the </w:t>
      </w:r>
      <w:r w:rsidR="005114C8" w:rsidRPr="00663D4D">
        <w:t>extensive</w:t>
      </w:r>
      <w:r w:rsidRPr="00663D4D">
        <w:t xml:space="preserve"> damage to ICT infrastructure and the </w:t>
      </w:r>
      <w:r w:rsidR="005114C8" w:rsidRPr="00663D4D">
        <w:t>estimated</w:t>
      </w:r>
      <w:r w:rsidRPr="00663D4D">
        <w:t xml:space="preserve"> recovery costs and </w:t>
      </w:r>
      <w:r w:rsidR="005114C8" w:rsidRPr="00663D4D">
        <w:t>outlined</w:t>
      </w:r>
      <w:r w:rsidRPr="00663D4D">
        <w:t xml:space="preserve"> actions </w:t>
      </w:r>
      <w:r w:rsidR="005114C8" w:rsidRPr="00663D4D">
        <w:t>undertaken</w:t>
      </w:r>
      <w:r w:rsidRPr="00663D4D">
        <w:t xml:space="preserve"> over the previous year</w:t>
      </w:r>
      <w:r w:rsidR="005114C8" w:rsidRPr="00663D4D">
        <w:t>. Those included</w:t>
      </w:r>
      <w:r w:rsidR="002A1AE6" w:rsidRPr="00663D4D">
        <w:t xml:space="preserve"> establishment of an Inter-Sectoral Task Force on implementation of </w:t>
      </w:r>
      <w:r w:rsidR="005114C8" w:rsidRPr="00663D4D">
        <w:t>the r</w:t>
      </w:r>
      <w:r w:rsidR="002A1AE6" w:rsidRPr="00663D4D">
        <w:t>esolution,</w:t>
      </w:r>
      <w:r w:rsidR="0063436E" w:rsidRPr="00663D4D">
        <w:t xml:space="preserve"> collaboration with the United Nations Emergency Telecommunications Cluster (ETC),</w:t>
      </w:r>
      <w:r w:rsidR="002A1AE6" w:rsidRPr="00663D4D">
        <w:t xml:space="preserve"> delivery of satellite phones to Gaza, contribution to interim damage assessments </w:t>
      </w:r>
      <w:r w:rsidR="00082CDE">
        <w:t xml:space="preserve">along with other international partners </w:t>
      </w:r>
      <w:r w:rsidR="002A1AE6" w:rsidRPr="00663D4D">
        <w:t xml:space="preserve">and the holding of meetings with </w:t>
      </w:r>
      <w:r w:rsidR="008D57E4" w:rsidRPr="00663D4D">
        <w:t xml:space="preserve">the </w:t>
      </w:r>
      <w:r w:rsidR="002A1AE6" w:rsidRPr="00663D4D">
        <w:t xml:space="preserve">Palestinian </w:t>
      </w:r>
      <w:r w:rsidR="00082CDE">
        <w:t xml:space="preserve">stakeholders including the </w:t>
      </w:r>
      <w:r w:rsidR="002A1AE6" w:rsidRPr="00663D4D">
        <w:t xml:space="preserve">Ministry of Telecommunications and </w:t>
      </w:r>
      <w:r w:rsidR="008D57E4" w:rsidRPr="00663D4D">
        <w:t>Digital Economy</w:t>
      </w:r>
      <w:r w:rsidR="00082CDE">
        <w:t>, the telecommunication operators</w:t>
      </w:r>
      <w:r w:rsidR="002A1AE6" w:rsidRPr="00663D4D">
        <w:t xml:space="preserve"> and other stakeholders</w:t>
      </w:r>
      <w:r w:rsidR="0063436E" w:rsidRPr="00663D4D">
        <w:t>.</w:t>
      </w:r>
      <w:r w:rsidR="002A1AE6" w:rsidRPr="00663D4D">
        <w:t xml:space="preserve"> </w:t>
      </w:r>
      <w:r w:rsidR="008D57E4" w:rsidRPr="00663D4D">
        <w:t>Additionally</w:t>
      </w:r>
      <w:r w:rsidR="0063436E" w:rsidRPr="00663D4D">
        <w:t>, t</w:t>
      </w:r>
      <w:r w:rsidRPr="00663D4D">
        <w:t xml:space="preserve">he Secretary-General, Deputy Secretary-General and Director of </w:t>
      </w:r>
      <w:r w:rsidR="002A1AE6" w:rsidRPr="00663D4D">
        <w:t>the Radiocommunication Bureau</w:t>
      </w:r>
      <w:r w:rsidRPr="00663D4D">
        <w:t xml:space="preserve"> continued </w:t>
      </w:r>
      <w:r w:rsidR="00171529" w:rsidRPr="00663D4D">
        <w:t xml:space="preserve">to </w:t>
      </w:r>
      <w:r w:rsidRPr="00663D4D">
        <w:t xml:space="preserve">engage </w:t>
      </w:r>
      <w:r w:rsidR="008D57E4" w:rsidRPr="00663D4D">
        <w:t xml:space="preserve">with </w:t>
      </w:r>
      <w:r w:rsidRPr="00663D4D">
        <w:t>Israel</w:t>
      </w:r>
      <w:r w:rsidR="005114C8" w:rsidRPr="00663D4D">
        <w:t>i</w:t>
      </w:r>
      <w:r w:rsidRPr="00663D4D">
        <w:t xml:space="preserve"> and Palestin</w:t>
      </w:r>
      <w:r w:rsidR="005114C8" w:rsidRPr="00663D4D">
        <w:t>ian authorities</w:t>
      </w:r>
      <w:r w:rsidRPr="00663D4D">
        <w:t xml:space="preserve"> to </w:t>
      </w:r>
      <w:r w:rsidR="005114C8" w:rsidRPr="00663D4D">
        <w:t>facilitate</w:t>
      </w:r>
      <w:r w:rsidRPr="00663D4D">
        <w:t xml:space="preserve"> implementation of Resolution</w:t>
      </w:r>
      <w:r w:rsidR="00D03478">
        <w:t> </w:t>
      </w:r>
      <w:r w:rsidRPr="00663D4D">
        <w:t>12 (Rev.</w:t>
      </w:r>
      <w:r w:rsidR="00D03478">
        <w:t> </w:t>
      </w:r>
      <w:r w:rsidRPr="00663D4D">
        <w:t>WRC</w:t>
      </w:r>
      <w:r w:rsidR="00D03478">
        <w:noBreakHyphen/>
      </w:r>
      <w:r w:rsidR="002A1AE6" w:rsidRPr="00663D4D">
        <w:t>23</w:t>
      </w:r>
      <w:r w:rsidRPr="00663D4D">
        <w:t>)</w:t>
      </w:r>
      <w:r w:rsidR="002A1AE6" w:rsidRPr="00663D4D">
        <w:t xml:space="preserve"> of the World Radiocommunication Conference</w:t>
      </w:r>
      <w:r w:rsidR="008D57E4" w:rsidRPr="00663D4D">
        <w:t>, in particular access to radio-frequency spectrum and 4G and 5G telecommunication networks</w:t>
      </w:r>
      <w:r w:rsidRPr="00663D4D">
        <w:t>.</w:t>
      </w:r>
    </w:p>
    <w:p w14:paraId="163277A5" w14:textId="484C1547" w:rsidR="0019368B" w:rsidRPr="009203E1" w:rsidRDefault="00EB3442" w:rsidP="007432D5">
      <w:pPr>
        <w:jc w:val="both"/>
        <w:rPr>
          <w:spacing w:val="-2"/>
        </w:rPr>
      </w:pPr>
      <w:r w:rsidRPr="009203E1">
        <w:rPr>
          <w:spacing w:val="-2"/>
        </w:rPr>
        <w:t>5.2</w:t>
      </w:r>
      <w:r w:rsidRPr="009203E1">
        <w:rPr>
          <w:spacing w:val="-2"/>
        </w:rPr>
        <w:tab/>
      </w:r>
      <w:r w:rsidR="00EF4A96" w:rsidRPr="009203E1">
        <w:rPr>
          <w:spacing w:val="-2"/>
        </w:rPr>
        <w:t>The observer for the State of Palestine</w:t>
      </w:r>
      <w:r w:rsidR="0019368B" w:rsidRPr="009203E1">
        <w:rPr>
          <w:spacing w:val="-2"/>
        </w:rPr>
        <w:t xml:space="preserve"> delivered the following statement:</w:t>
      </w:r>
      <w:r w:rsidR="007432D5" w:rsidRPr="009203E1">
        <w:rPr>
          <w:spacing w:val="-2"/>
        </w:rPr>
        <w:br/>
      </w:r>
      <w:hyperlink r:id="rId21" w:history="1">
        <w:r w:rsidR="007051BF" w:rsidRPr="009203E1">
          <w:rPr>
            <w:rStyle w:val="Hyperlink"/>
            <w:spacing w:val="-2"/>
          </w:rPr>
          <w:t>council.itu.int/2025/wp-content/uploads/sites/5/2025/07/Statement_Palestine-250625e.pdf</w:t>
        </w:r>
      </w:hyperlink>
      <w:r w:rsidR="007051BF" w:rsidRPr="009203E1">
        <w:rPr>
          <w:spacing w:val="-2"/>
        </w:rPr>
        <w:t>.</w:t>
      </w:r>
    </w:p>
    <w:p w14:paraId="5001A78E" w14:textId="1064C91A" w:rsidR="00EF4A96" w:rsidRPr="00663D4D" w:rsidRDefault="0016513F" w:rsidP="007432D5">
      <w:pPr>
        <w:jc w:val="both"/>
      </w:pPr>
      <w:r w:rsidRPr="00663D4D">
        <w:t>5.3</w:t>
      </w:r>
      <w:r w:rsidRPr="00663D4D">
        <w:tab/>
      </w:r>
      <w:r>
        <w:t xml:space="preserve">While some </w:t>
      </w:r>
      <w:r w:rsidRPr="00663D4D">
        <w:t>Councillors and observers</w:t>
      </w:r>
      <w:r w:rsidRPr="00736BDA">
        <w:t xml:space="preserve"> </w:t>
      </w:r>
      <w:r>
        <w:t xml:space="preserve">acknowledged </w:t>
      </w:r>
      <w:r w:rsidRPr="00663D4D">
        <w:t>ITU</w:t>
      </w:r>
      <w:r>
        <w:t>'</w:t>
      </w:r>
      <w:r w:rsidRPr="00663D4D">
        <w:t>s efforts under Resolution</w:t>
      </w:r>
      <w:r>
        <w:t> </w:t>
      </w:r>
      <w:r w:rsidRPr="00663D4D">
        <w:t>1424 (C24), many</w:t>
      </w:r>
      <w:r>
        <w:t xml:space="preserve"> Councillors and observers</w:t>
      </w:r>
      <w:r w:rsidRPr="00663D4D">
        <w:t xml:space="preserve"> noted </w:t>
      </w:r>
      <w:r>
        <w:t xml:space="preserve">with deep concern </w:t>
      </w:r>
      <w:r w:rsidRPr="00663D4D">
        <w:t xml:space="preserve">that the report </w:t>
      </w:r>
      <w:r>
        <w:t xml:space="preserve">showed </w:t>
      </w:r>
      <w:r w:rsidRPr="00663D4D">
        <w:t xml:space="preserve">little </w:t>
      </w:r>
      <w:r>
        <w:t xml:space="preserve">tangible </w:t>
      </w:r>
      <w:r w:rsidRPr="00663D4D">
        <w:t>progress in implementing the resolution or improving the humanitarian situation. Some councillors criticized the report</w:t>
      </w:r>
      <w:r>
        <w:t>'</w:t>
      </w:r>
      <w:r w:rsidRPr="00663D4D">
        <w:t>s reliance on open-source third-party data rather than ITU-led assessment of the situation on the ground. In their view, support to Palestine appeared insufficient compared to assistance provided to other countries in special need, with Palestine</w:t>
      </w:r>
      <w:r>
        <w:t>'</w:t>
      </w:r>
      <w:r w:rsidRPr="00663D4D">
        <w:t>s basic needs not being met. Several councillors welcomed the call to recognize telecommunication services as a basic human need, requiring protection and maintenance during conflict. It was requested that future reports clarify challenges and achievements and the steps to be taken by ITU to support Palestinians. Several councillors supported the call for six-monthly reporting on the implementation of Resolution</w:t>
      </w:r>
      <w:r>
        <w:t> </w:t>
      </w:r>
      <w:r w:rsidRPr="00663D4D">
        <w:t>1424 (C24), while one councillor requested that a full report be presented at the 2026 plenipotentiary conference.</w:t>
      </w:r>
    </w:p>
    <w:p w14:paraId="6DCCC1D2" w14:textId="2581F615" w:rsidR="00F17DF6" w:rsidRPr="00663D4D" w:rsidRDefault="00F17DF6" w:rsidP="007432D5">
      <w:pPr>
        <w:jc w:val="both"/>
      </w:pPr>
      <w:r w:rsidRPr="00663D4D">
        <w:t>5.</w:t>
      </w:r>
      <w:r w:rsidR="00DE7A89" w:rsidRPr="00663D4D">
        <w:t>4</w:t>
      </w:r>
      <w:r w:rsidRPr="00663D4D">
        <w:tab/>
        <w:t>Many councillors and observers expressed support for the statement by the observer for Palestine</w:t>
      </w:r>
      <w:r w:rsidR="006F23DD" w:rsidRPr="00663D4D">
        <w:t>, noting that</w:t>
      </w:r>
      <w:r w:rsidRPr="00663D4D">
        <w:t xml:space="preserve"> </w:t>
      </w:r>
      <w:r w:rsidR="006F23DD" w:rsidRPr="00663D4D">
        <w:t>t</w:t>
      </w:r>
      <w:r w:rsidRPr="00663D4D">
        <w:t>he proposals made could facilitate progress in implementation of Resolution</w:t>
      </w:r>
      <w:r w:rsidR="00D03478">
        <w:t> </w:t>
      </w:r>
      <w:r w:rsidRPr="00663D4D">
        <w:t>1424 (C24)</w:t>
      </w:r>
      <w:r w:rsidR="008D4103" w:rsidRPr="00663D4D">
        <w:t xml:space="preserve">. </w:t>
      </w:r>
      <w:r w:rsidR="006F23DD" w:rsidRPr="00663D4D">
        <w:t>They emphasized the need for a</w:t>
      </w:r>
      <w:r w:rsidR="008D4103" w:rsidRPr="00663D4D">
        <w:t xml:space="preserve"> c</w:t>
      </w:r>
      <w:r w:rsidR="006F23DD" w:rsidRPr="00663D4D">
        <w:t xml:space="preserve">omprehensive </w:t>
      </w:r>
      <w:r w:rsidR="008D4103" w:rsidRPr="00663D4D">
        <w:t>plan</w:t>
      </w:r>
      <w:r w:rsidR="00171529" w:rsidRPr="00663D4D">
        <w:t xml:space="preserve"> of action</w:t>
      </w:r>
      <w:r w:rsidR="008D4103" w:rsidRPr="00663D4D">
        <w:t xml:space="preserve"> with</w:t>
      </w:r>
      <w:r w:rsidR="006F23DD" w:rsidRPr="00663D4D">
        <w:t xml:space="preserve"> clear</w:t>
      </w:r>
      <w:r w:rsidR="008D4103" w:rsidRPr="00663D4D">
        <w:t xml:space="preserve"> objectives, timelines and </w:t>
      </w:r>
      <w:r w:rsidR="006F23DD" w:rsidRPr="00663D4D">
        <w:t>defined</w:t>
      </w:r>
      <w:r w:rsidR="008D4103" w:rsidRPr="00663D4D">
        <w:t xml:space="preserve"> stakeholders, a </w:t>
      </w:r>
      <w:r w:rsidRPr="00663D4D">
        <w:t xml:space="preserve">high-level </w:t>
      </w:r>
      <w:r w:rsidR="006F23DD" w:rsidRPr="00663D4D">
        <w:t xml:space="preserve">stakeholder and donor </w:t>
      </w:r>
      <w:r w:rsidRPr="00663D4D">
        <w:t>conference</w:t>
      </w:r>
      <w:r w:rsidR="008D4103" w:rsidRPr="00663D4D">
        <w:t xml:space="preserve"> and</w:t>
      </w:r>
      <w:r w:rsidRPr="00663D4D">
        <w:t xml:space="preserve"> a dedicated fund for </w:t>
      </w:r>
      <w:r w:rsidR="006F23DD" w:rsidRPr="00663D4D">
        <w:t>rebuilding Palestine</w:t>
      </w:r>
      <w:r w:rsidR="00D03478">
        <w:t>'</w:t>
      </w:r>
      <w:r w:rsidR="006F23DD" w:rsidRPr="00663D4D">
        <w:t xml:space="preserve">s </w:t>
      </w:r>
      <w:r w:rsidR="008D4103" w:rsidRPr="00663D4D">
        <w:t>telecommunication infrastructure</w:t>
      </w:r>
      <w:r w:rsidR="006F23DD" w:rsidRPr="00663D4D">
        <w:t>,</w:t>
      </w:r>
      <w:r w:rsidR="008D4103" w:rsidRPr="00663D4D">
        <w:t xml:space="preserve"> all before WTDC</w:t>
      </w:r>
      <w:r w:rsidR="00D03478">
        <w:noBreakHyphen/>
      </w:r>
      <w:r w:rsidR="008D4103" w:rsidRPr="00663D4D">
        <w:t>25</w:t>
      </w:r>
      <w:r w:rsidRPr="00663D4D">
        <w:t>.</w:t>
      </w:r>
      <w:r w:rsidR="008D4103" w:rsidRPr="00663D4D">
        <w:t xml:space="preserve"> The secretariat was urged to continue coordination with all stakeholders to ensure access to 4G and 5G telecommunication technology and implementation of Resolution</w:t>
      </w:r>
      <w:r w:rsidR="00D03478">
        <w:t> </w:t>
      </w:r>
      <w:r w:rsidR="008D4103" w:rsidRPr="00663D4D">
        <w:t>12 (Rev.</w:t>
      </w:r>
      <w:r w:rsidR="00D03478">
        <w:t> </w:t>
      </w:r>
      <w:r w:rsidR="008D4103" w:rsidRPr="00663D4D">
        <w:t>WRC</w:t>
      </w:r>
      <w:r w:rsidR="00D03478">
        <w:noBreakHyphen/>
      </w:r>
      <w:r w:rsidR="008D4103" w:rsidRPr="00663D4D">
        <w:t>23), also prior to WTDC</w:t>
      </w:r>
      <w:r w:rsidR="00D03478">
        <w:rPr>
          <w:lang w:val="en-US"/>
        </w:rPr>
        <w:noBreakHyphen/>
      </w:r>
      <w:r w:rsidR="008D4103" w:rsidRPr="00663D4D">
        <w:t xml:space="preserve">25, and to ensure access to </w:t>
      </w:r>
      <w:r w:rsidR="0007496A" w:rsidRPr="00663D4D">
        <w:t>necessary</w:t>
      </w:r>
      <w:r w:rsidR="008D4103" w:rsidRPr="00663D4D">
        <w:t xml:space="preserve"> technology and fuel</w:t>
      </w:r>
      <w:r w:rsidR="008E52FA" w:rsidRPr="00663D4D">
        <w:t xml:space="preserve"> for </w:t>
      </w:r>
      <w:r w:rsidR="00171529" w:rsidRPr="00663D4D">
        <w:t xml:space="preserve">the </w:t>
      </w:r>
      <w:r w:rsidR="008E52FA" w:rsidRPr="00663D4D">
        <w:t>full operation of telecommunication networks</w:t>
      </w:r>
      <w:r w:rsidR="008D4103" w:rsidRPr="00663D4D">
        <w:t>.</w:t>
      </w:r>
      <w:r w:rsidR="008E52FA" w:rsidRPr="00663D4D">
        <w:t xml:space="preserve"> </w:t>
      </w:r>
      <w:r w:rsidR="0007496A" w:rsidRPr="00663D4D">
        <w:t>S</w:t>
      </w:r>
      <w:r w:rsidR="008E52FA" w:rsidRPr="00663D4D">
        <w:t xml:space="preserve">everal councillors </w:t>
      </w:r>
      <w:r w:rsidR="0007496A" w:rsidRPr="00663D4D">
        <w:t>called for</w:t>
      </w:r>
      <w:r w:rsidR="008E52FA" w:rsidRPr="00663D4D">
        <w:t xml:space="preserve"> </w:t>
      </w:r>
      <w:r w:rsidR="0007496A" w:rsidRPr="00663D4D">
        <w:t xml:space="preserve">measures to ensure the safety of </w:t>
      </w:r>
      <w:r w:rsidR="008E52FA" w:rsidRPr="00663D4D">
        <w:t>personnel working to re</w:t>
      </w:r>
      <w:r w:rsidR="0007496A" w:rsidRPr="00663D4D">
        <w:t>store</w:t>
      </w:r>
      <w:r w:rsidR="008E52FA" w:rsidRPr="00663D4D">
        <w:t xml:space="preserve"> telecommunication services.</w:t>
      </w:r>
    </w:p>
    <w:p w14:paraId="6A85D231" w14:textId="6549B420" w:rsidR="00EF4A96" w:rsidRPr="00663D4D" w:rsidRDefault="00EB3442" w:rsidP="007432D5">
      <w:pPr>
        <w:jc w:val="both"/>
      </w:pPr>
      <w:r w:rsidRPr="00663D4D">
        <w:t>5.</w:t>
      </w:r>
      <w:r w:rsidR="00DE7A89" w:rsidRPr="00663D4D">
        <w:t>5</w:t>
      </w:r>
      <w:r w:rsidRPr="00663D4D">
        <w:tab/>
      </w:r>
      <w:r w:rsidR="00EF4A96" w:rsidRPr="00663D4D">
        <w:t xml:space="preserve">One councillor </w:t>
      </w:r>
      <w:r w:rsidR="008E52FA" w:rsidRPr="00663D4D">
        <w:t xml:space="preserve">called for timely dissemination of damage assessment </w:t>
      </w:r>
      <w:r w:rsidR="0007496A" w:rsidRPr="00663D4D">
        <w:t>findings to support</w:t>
      </w:r>
      <w:r w:rsidR="00EF4A96" w:rsidRPr="00663D4D">
        <w:t xml:space="preserve"> evidence-based planning and resource mobilization. Another requested further </w:t>
      </w:r>
      <w:r w:rsidR="0007496A" w:rsidRPr="00663D4D">
        <w:t xml:space="preserve">details </w:t>
      </w:r>
      <w:r w:rsidR="00EF4A96" w:rsidRPr="00663D4D">
        <w:t xml:space="preserve">on financial resources </w:t>
      </w:r>
      <w:r w:rsidR="0007496A" w:rsidRPr="00663D4D">
        <w:t xml:space="preserve">allocated </w:t>
      </w:r>
      <w:r w:rsidR="00EF4A96" w:rsidRPr="00663D4D">
        <w:t xml:space="preserve">by ITU </w:t>
      </w:r>
      <w:r w:rsidR="0007496A" w:rsidRPr="00663D4D">
        <w:t>to</w:t>
      </w:r>
      <w:r w:rsidR="00EF4A96" w:rsidRPr="00663D4D">
        <w:t xml:space="preserve"> implementation of Resolution</w:t>
      </w:r>
      <w:r w:rsidR="00D03478">
        <w:t> </w:t>
      </w:r>
      <w:r w:rsidR="00EF4A96" w:rsidRPr="00663D4D">
        <w:t xml:space="preserve">1424 (C24) and </w:t>
      </w:r>
      <w:r w:rsidR="0007496A" w:rsidRPr="00663D4D">
        <w:t xml:space="preserve">proposed </w:t>
      </w:r>
      <w:r w:rsidR="00EF4A96" w:rsidRPr="00663D4D">
        <w:t>establishment of a website to monitor activities.</w:t>
      </w:r>
    </w:p>
    <w:p w14:paraId="39EEC66B" w14:textId="7E5020B1" w:rsidR="007A6142" w:rsidRPr="00663D4D" w:rsidRDefault="00EB3442" w:rsidP="007432D5">
      <w:pPr>
        <w:jc w:val="both"/>
      </w:pPr>
      <w:r w:rsidRPr="00663D4D">
        <w:t>5.</w:t>
      </w:r>
      <w:r w:rsidR="00DE7A89" w:rsidRPr="00663D4D">
        <w:t>6</w:t>
      </w:r>
      <w:r w:rsidRPr="00663D4D">
        <w:tab/>
      </w:r>
      <w:r w:rsidR="008E52FA" w:rsidRPr="00663D4D">
        <w:t xml:space="preserve">Councillors welcomed </w:t>
      </w:r>
      <w:r w:rsidR="0007496A" w:rsidRPr="00663D4D">
        <w:t>ITU</w:t>
      </w:r>
      <w:r w:rsidR="00D03478">
        <w:t>'</w:t>
      </w:r>
      <w:r w:rsidR="0007496A" w:rsidRPr="00663D4D">
        <w:t>s</w:t>
      </w:r>
      <w:r w:rsidR="008E52FA" w:rsidRPr="00663D4D">
        <w:t xml:space="preserve"> </w:t>
      </w:r>
      <w:r w:rsidR="0007496A" w:rsidRPr="00663D4D">
        <w:t>collaboration</w:t>
      </w:r>
      <w:r w:rsidR="008E52FA" w:rsidRPr="00663D4D">
        <w:t xml:space="preserve"> </w:t>
      </w:r>
      <w:r w:rsidR="0007496A" w:rsidRPr="00663D4D">
        <w:t>with</w:t>
      </w:r>
      <w:r w:rsidR="008E52FA" w:rsidRPr="00663D4D">
        <w:t xml:space="preserve"> other organizations and the </w:t>
      </w:r>
      <w:r w:rsidR="0007496A" w:rsidRPr="00663D4D">
        <w:t>creation</w:t>
      </w:r>
      <w:r w:rsidR="008E52FA" w:rsidRPr="00663D4D">
        <w:t xml:space="preserve"> of the Inter-Sectoral Task Force</w:t>
      </w:r>
      <w:r w:rsidR="00EF4A96" w:rsidRPr="00663D4D">
        <w:t>.</w:t>
      </w:r>
      <w:r w:rsidR="008E52FA" w:rsidRPr="00663D4D">
        <w:t xml:space="preserve"> </w:t>
      </w:r>
      <w:r w:rsidR="007A6142" w:rsidRPr="00663D4D">
        <w:t xml:space="preserve">One councillor </w:t>
      </w:r>
      <w:r w:rsidR="0007496A" w:rsidRPr="00663D4D">
        <w:t xml:space="preserve">urged continued </w:t>
      </w:r>
      <w:r w:rsidR="007A6142" w:rsidRPr="00663D4D">
        <w:t>focus on practical and technical measures</w:t>
      </w:r>
      <w:r w:rsidR="0007496A" w:rsidRPr="00663D4D">
        <w:t>, cautioning against actions that might</w:t>
      </w:r>
      <w:r w:rsidR="007A6142" w:rsidRPr="00663D4D">
        <w:t xml:space="preserve"> </w:t>
      </w:r>
      <w:r w:rsidR="0007496A" w:rsidRPr="00663D4D">
        <w:t>hinder</w:t>
      </w:r>
      <w:r w:rsidR="007A6142" w:rsidRPr="00663D4D">
        <w:t xml:space="preserve"> important bilateral discussions to enhance connectivity for the Palestinian people. </w:t>
      </w:r>
      <w:r w:rsidR="0007496A" w:rsidRPr="00663D4D">
        <w:t>An</w:t>
      </w:r>
      <w:r w:rsidR="007A6142" w:rsidRPr="00663D4D">
        <w:t xml:space="preserve"> observer </w:t>
      </w:r>
      <w:r w:rsidR="0007496A" w:rsidRPr="00663D4D">
        <w:t>underlined</w:t>
      </w:r>
      <w:r w:rsidR="008E52FA" w:rsidRPr="00663D4D">
        <w:t xml:space="preserve"> </w:t>
      </w:r>
      <w:r w:rsidR="007A6142" w:rsidRPr="00663D4D">
        <w:t>that</w:t>
      </w:r>
      <w:r w:rsidR="0007496A" w:rsidRPr="00663D4D">
        <w:t xml:space="preserve"> ITU</w:t>
      </w:r>
      <w:r w:rsidR="00D03478">
        <w:t>'</w:t>
      </w:r>
      <w:r w:rsidR="0007496A" w:rsidRPr="00663D4D">
        <w:t>s activities under</w:t>
      </w:r>
      <w:r w:rsidR="007A6142" w:rsidRPr="00663D4D">
        <w:t xml:space="preserve"> Resolution</w:t>
      </w:r>
      <w:r w:rsidR="00D03478">
        <w:t> </w:t>
      </w:r>
      <w:r w:rsidR="007A6142" w:rsidRPr="00663D4D">
        <w:t xml:space="preserve">1424 (C24) must </w:t>
      </w:r>
      <w:r w:rsidR="008E52FA" w:rsidRPr="00663D4D">
        <w:t>remain within</w:t>
      </w:r>
      <w:r w:rsidR="007A6142" w:rsidRPr="00663D4D">
        <w:t xml:space="preserve"> </w:t>
      </w:r>
      <w:r w:rsidR="0007496A" w:rsidRPr="00663D4D">
        <w:t>its</w:t>
      </w:r>
      <w:r w:rsidR="007A6142" w:rsidRPr="00663D4D">
        <w:t xml:space="preserve"> mandate.</w:t>
      </w:r>
    </w:p>
    <w:p w14:paraId="124F610A" w14:textId="630328AD" w:rsidR="00EF4A96" w:rsidRPr="00663D4D" w:rsidRDefault="00EB3442" w:rsidP="007432D5">
      <w:pPr>
        <w:jc w:val="both"/>
      </w:pPr>
      <w:r w:rsidRPr="00663D4D">
        <w:t>5.</w:t>
      </w:r>
      <w:r w:rsidR="00DE7A89" w:rsidRPr="00663D4D">
        <w:t>7</w:t>
      </w:r>
      <w:r w:rsidRPr="00663D4D">
        <w:tab/>
      </w:r>
      <w:r w:rsidR="00EF4A96" w:rsidRPr="00663D4D">
        <w:t xml:space="preserve">Expressing solidarity with the Palestinian people, </w:t>
      </w:r>
      <w:r w:rsidR="0007496A" w:rsidRPr="00663D4D">
        <w:t xml:space="preserve">many </w:t>
      </w:r>
      <w:r w:rsidR="00EF4A96" w:rsidRPr="00663D4D">
        <w:t>councillors and observers called for an immediate ceasefire in Gaza, the release of hostages and unimpeded access to humanitarian assistance</w:t>
      </w:r>
      <w:r w:rsidR="008E52FA" w:rsidRPr="00663D4D">
        <w:t xml:space="preserve">, </w:t>
      </w:r>
      <w:r w:rsidR="00DF20C3" w:rsidRPr="00663D4D">
        <w:t>equipment</w:t>
      </w:r>
      <w:r w:rsidR="008E52FA" w:rsidRPr="00663D4D">
        <w:t xml:space="preserve"> and fuel</w:t>
      </w:r>
      <w:r w:rsidR="00EF4A96" w:rsidRPr="00663D4D">
        <w:t xml:space="preserve">. The </w:t>
      </w:r>
      <w:r w:rsidR="0007496A" w:rsidRPr="00663D4D">
        <w:t>extensive</w:t>
      </w:r>
      <w:r w:rsidR="00EF4A96" w:rsidRPr="00663D4D">
        <w:t xml:space="preserve"> damage to telecommunication infrastructure in Palestine, compounded by restrictions on fuel and equipment, was of serious concern</w:t>
      </w:r>
      <w:r w:rsidR="00DF20C3" w:rsidRPr="00663D4D">
        <w:t xml:space="preserve"> and </w:t>
      </w:r>
      <w:r w:rsidR="00EF4A96" w:rsidRPr="00663D4D">
        <w:t>affected delivery of humanitarian assistance. Urgent action was needed to</w:t>
      </w:r>
      <w:r w:rsidR="00DF20C3" w:rsidRPr="00663D4D">
        <w:t xml:space="preserve"> </w:t>
      </w:r>
      <w:r w:rsidR="0007496A" w:rsidRPr="00663D4D">
        <w:t>uphold</w:t>
      </w:r>
      <w:r w:rsidR="00DF20C3" w:rsidRPr="00663D4D">
        <w:t xml:space="preserve"> </w:t>
      </w:r>
      <w:r w:rsidR="00EF4A96" w:rsidRPr="00663D4D">
        <w:t>Palestinian</w:t>
      </w:r>
      <w:r w:rsidR="0007496A" w:rsidRPr="00663D4D">
        <w:t>s</w:t>
      </w:r>
      <w:r w:rsidR="00D03478">
        <w:t>'</w:t>
      </w:r>
      <w:r w:rsidR="00EF4A96" w:rsidRPr="00663D4D">
        <w:t xml:space="preserve"> rights to connectivity and access</w:t>
      </w:r>
      <w:r w:rsidR="0007496A" w:rsidRPr="00663D4D">
        <w:t xml:space="preserve"> to</w:t>
      </w:r>
      <w:r w:rsidR="00EF4A96" w:rsidRPr="00663D4D">
        <w:t xml:space="preserve"> information, as enshrined in the </w:t>
      </w:r>
      <w:r w:rsidR="0007496A" w:rsidRPr="00663D4D">
        <w:t xml:space="preserve">United Nations </w:t>
      </w:r>
      <w:r w:rsidR="00EF4A96" w:rsidRPr="00663D4D">
        <w:t xml:space="preserve">Charter. </w:t>
      </w:r>
    </w:p>
    <w:p w14:paraId="5EDB5AC8" w14:textId="77D0EAB7" w:rsidR="00EF4A96" w:rsidRPr="00663D4D" w:rsidRDefault="00EB3442" w:rsidP="007432D5">
      <w:pPr>
        <w:jc w:val="both"/>
      </w:pPr>
      <w:r w:rsidRPr="00663D4D">
        <w:t>5.</w:t>
      </w:r>
      <w:r w:rsidR="00DE7A89" w:rsidRPr="00663D4D">
        <w:t>8</w:t>
      </w:r>
      <w:r w:rsidRPr="00663D4D">
        <w:tab/>
      </w:r>
      <w:r w:rsidR="00EF4A96" w:rsidRPr="00663D4D">
        <w:t xml:space="preserve">The observer for Israel, </w:t>
      </w:r>
      <w:r w:rsidR="00DF20C3" w:rsidRPr="00663D4D">
        <w:t xml:space="preserve">refuting </w:t>
      </w:r>
      <w:r w:rsidR="00EF4A96" w:rsidRPr="00663D4D">
        <w:t xml:space="preserve">the comments of the observer for Palestine, said that </w:t>
      </w:r>
      <w:r w:rsidR="003B4D66" w:rsidRPr="00663D4D">
        <w:t>Israel</w:t>
      </w:r>
      <w:r w:rsidR="00EF4A96" w:rsidRPr="00663D4D">
        <w:t xml:space="preserve"> continued to engage directly with the Palestinian </w:t>
      </w:r>
      <w:r w:rsidR="00F365BB">
        <w:t>a</w:t>
      </w:r>
      <w:r w:rsidR="00EF4A96" w:rsidRPr="00663D4D">
        <w:t>uthorit</w:t>
      </w:r>
      <w:r w:rsidR="00F365BB">
        <w:t>ies</w:t>
      </w:r>
      <w:r w:rsidR="00EF4A96" w:rsidRPr="00663D4D">
        <w:t xml:space="preserve"> to address telecommunication needs</w:t>
      </w:r>
      <w:r w:rsidR="003B4D66" w:rsidRPr="00663D4D">
        <w:t xml:space="preserve"> under bilateral agreements,</w:t>
      </w:r>
      <w:r w:rsidR="00EF4A96" w:rsidRPr="00663D4D">
        <w:t xml:space="preserve"> ma</w:t>
      </w:r>
      <w:r w:rsidR="003B4D66" w:rsidRPr="00663D4D">
        <w:t xml:space="preserve">king </w:t>
      </w:r>
      <w:r w:rsidR="00EF4A96" w:rsidRPr="00663D4D">
        <w:t xml:space="preserve">progress </w:t>
      </w:r>
      <w:r w:rsidR="003B4D66" w:rsidRPr="00663D4D">
        <w:t xml:space="preserve">towards </w:t>
      </w:r>
      <w:r w:rsidR="00EF4A96" w:rsidRPr="00663D4D">
        <w:t xml:space="preserve">introducing advanced </w:t>
      </w:r>
      <w:r w:rsidR="00F365BB">
        <w:t>telecommunication</w:t>
      </w:r>
      <w:r w:rsidR="00F365BB" w:rsidRPr="00663D4D">
        <w:t xml:space="preserve"> </w:t>
      </w:r>
      <w:r w:rsidR="00EF4A96" w:rsidRPr="00663D4D">
        <w:t>services. Israel had f</w:t>
      </w:r>
      <w:r w:rsidR="003B4D66" w:rsidRPr="00663D4D">
        <w:t>ou</w:t>
      </w:r>
      <w:r w:rsidR="00EF4A96" w:rsidRPr="00663D4D">
        <w:t>nd solutions to many of the issues presented; however</w:t>
      </w:r>
      <w:r w:rsidR="003B4D66" w:rsidRPr="00663D4D">
        <w:t xml:space="preserve">, there were </w:t>
      </w:r>
      <w:r w:rsidR="00EF4A96" w:rsidRPr="00663D4D">
        <w:t xml:space="preserve">sometimes </w:t>
      </w:r>
      <w:r w:rsidR="003B4D66" w:rsidRPr="00663D4D">
        <w:t xml:space="preserve">delays in responses from </w:t>
      </w:r>
      <w:r w:rsidR="00EF4A96" w:rsidRPr="00663D4D">
        <w:t xml:space="preserve">the Palestinian </w:t>
      </w:r>
      <w:r w:rsidR="00F365BB">
        <w:t>a</w:t>
      </w:r>
      <w:r w:rsidR="00EF4A96" w:rsidRPr="00663D4D">
        <w:t>uthorit</w:t>
      </w:r>
      <w:r w:rsidR="00F365BB">
        <w:t>ies</w:t>
      </w:r>
      <w:r w:rsidR="00EF4A96" w:rsidRPr="00663D4D">
        <w:t xml:space="preserve">. Any discussion on </w:t>
      </w:r>
      <w:r w:rsidR="00DF20C3" w:rsidRPr="00663D4D">
        <w:t xml:space="preserve">reconstruction of </w:t>
      </w:r>
      <w:r w:rsidR="00EF4A96" w:rsidRPr="00663D4D">
        <w:t xml:space="preserve">telecommunication infrastructure in Gaza should acknowledge the responsibility of Hamas, a terrorist organization, for the situation and should only take place when </w:t>
      </w:r>
      <w:r w:rsidR="00DF20C3" w:rsidRPr="00663D4D">
        <w:t>all hostages had been released and</w:t>
      </w:r>
      <w:r w:rsidR="00EF4A96" w:rsidRPr="00663D4D">
        <w:t xml:space="preserve"> control of Hamas over Gaza had ended.</w:t>
      </w:r>
    </w:p>
    <w:p w14:paraId="70A45486" w14:textId="77777777" w:rsidR="00A431A8" w:rsidRDefault="00EB3442" w:rsidP="007432D5">
      <w:pPr>
        <w:jc w:val="both"/>
      </w:pPr>
      <w:r w:rsidRPr="00663D4D">
        <w:t>5.</w:t>
      </w:r>
      <w:r w:rsidR="00DE7A89" w:rsidRPr="00663D4D">
        <w:t>9</w:t>
      </w:r>
      <w:r w:rsidRPr="00663D4D">
        <w:tab/>
      </w:r>
      <w:r w:rsidR="00EF4A96" w:rsidRPr="00663D4D">
        <w:t xml:space="preserve">The Secretary-General said that ITU coordinated closely with operators and </w:t>
      </w:r>
      <w:r w:rsidR="00DF20C3" w:rsidRPr="00663D4D">
        <w:t>ETC</w:t>
      </w:r>
      <w:r w:rsidR="00EF4A96" w:rsidRPr="00663D4D">
        <w:t xml:space="preserve">, as well as </w:t>
      </w:r>
      <w:r w:rsidR="00DF20C3" w:rsidRPr="00663D4D">
        <w:t xml:space="preserve">with other </w:t>
      </w:r>
      <w:r w:rsidR="00EF4A96" w:rsidRPr="00663D4D">
        <w:t>bodies across the United Nations system, on the implementation of Resolution</w:t>
      </w:r>
      <w:r w:rsidR="00D03478">
        <w:t> </w:t>
      </w:r>
      <w:r w:rsidR="00EF4A96" w:rsidRPr="00663D4D">
        <w:t>1424 (C24</w:t>
      </w:r>
      <w:r w:rsidR="00171529" w:rsidRPr="00663D4D">
        <w:t>); h</w:t>
      </w:r>
      <w:r w:rsidR="00EF4A96" w:rsidRPr="00663D4D">
        <w:t xml:space="preserve">owever, circumstances on the ground were highly challenging. She thanked Member States for their vital support, noting the donation of satellite phones by </w:t>
      </w:r>
      <w:r w:rsidR="00DF20C3" w:rsidRPr="00663D4D">
        <w:t>the United Arab Emirates</w:t>
      </w:r>
      <w:r w:rsidR="00EF4A96" w:rsidRPr="00663D4D">
        <w:t>, and encouraged them to make voluntary contributions directly to ITU or through the Partner2Connect Digital Coalition</w:t>
      </w:r>
      <w:r w:rsidR="00A84328" w:rsidRPr="00663D4D">
        <w:t xml:space="preserve"> (P2C)</w:t>
      </w:r>
      <w:r w:rsidR="00EF4A96" w:rsidRPr="00663D4D">
        <w:t>. The secretariat would provide a clear plan</w:t>
      </w:r>
      <w:r w:rsidR="00F41EB4" w:rsidRPr="00663D4D">
        <w:t xml:space="preserve"> of action</w:t>
      </w:r>
      <w:r w:rsidR="00EF4A96" w:rsidRPr="00663D4D">
        <w:t xml:space="preserve"> and timeline </w:t>
      </w:r>
      <w:r w:rsidR="00DF20C3" w:rsidRPr="00663D4D">
        <w:t xml:space="preserve">for </w:t>
      </w:r>
      <w:r w:rsidR="00EF4A96" w:rsidRPr="00663D4D">
        <w:t>ITU activities to support the ICT sector in Palestine through the Inter-Sectoral Task Force.</w:t>
      </w:r>
    </w:p>
    <w:p w14:paraId="2036986E" w14:textId="067CB167" w:rsidR="00EF4A96" w:rsidRPr="00663D4D" w:rsidRDefault="00A431A8" w:rsidP="007432D5">
      <w:pPr>
        <w:jc w:val="both"/>
      </w:pPr>
      <w:r>
        <w:t>5.10</w:t>
      </w:r>
      <w:r>
        <w:tab/>
      </w:r>
      <w:r w:rsidR="00E4399C" w:rsidRPr="00E4399C">
        <w:t xml:space="preserve">The Councillor of the Kingdom of Saudi Arabia </w:t>
      </w:r>
      <w:r w:rsidR="000D5B4C">
        <w:t xml:space="preserve">reiterated the need for implementation of the </w:t>
      </w:r>
      <w:r>
        <w:t>proposals made by the observer for Palestine</w:t>
      </w:r>
      <w:r w:rsidR="000D5B4C">
        <w:t>, noting councillors’ and observers’ broad support for those proposals</w:t>
      </w:r>
      <w:r>
        <w:t xml:space="preserve"> and the absence of any objections.</w:t>
      </w:r>
      <w:r w:rsidR="00EF4A96" w:rsidRPr="00663D4D">
        <w:t xml:space="preserve"> </w:t>
      </w:r>
    </w:p>
    <w:p w14:paraId="69826B68" w14:textId="690EB712" w:rsidR="00EF4A96" w:rsidRPr="00663D4D" w:rsidRDefault="0016513F" w:rsidP="0016513F">
      <w:pPr>
        <w:jc w:val="both"/>
      </w:pPr>
      <w:r w:rsidRPr="0016513F">
        <w:t>5.1</w:t>
      </w:r>
      <w:r w:rsidR="00A431A8">
        <w:t>1</w:t>
      </w:r>
      <w:r w:rsidRPr="0016513F">
        <w:tab/>
        <w:t>The Chair took it that the Council wished to note</w:t>
      </w:r>
      <w:r w:rsidRPr="0016513F">
        <w:rPr>
          <w:b/>
          <w:bCs/>
        </w:rPr>
        <w:t xml:space="preserve"> </w:t>
      </w:r>
      <w:r w:rsidRPr="0016513F">
        <w:t>the report contained in Document C25/71 and instruct the Secretary-General to develop a concrete plan of action and timeline for implementation of Resolution 1424 (C24) and report on it to the 2026 session of the Council.</w:t>
      </w:r>
    </w:p>
    <w:p w14:paraId="6E99149D" w14:textId="7E750A0C" w:rsidR="002913ED" w:rsidRPr="00663D4D" w:rsidRDefault="002913ED" w:rsidP="007432D5">
      <w:pPr>
        <w:jc w:val="both"/>
      </w:pPr>
      <w:r w:rsidRPr="00663D4D">
        <w:t>5.1</w:t>
      </w:r>
      <w:r w:rsidR="00A52841">
        <w:t>2</w:t>
      </w:r>
      <w:r w:rsidRPr="00663D4D">
        <w:tab/>
        <w:t xml:space="preserve">It was so </w:t>
      </w:r>
      <w:r w:rsidRPr="00663D4D">
        <w:rPr>
          <w:b/>
          <w:bCs/>
        </w:rPr>
        <w:t>agreed</w:t>
      </w:r>
      <w:r w:rsidRPr="00663D4D">
        <w:t>.</w:t>
      </w:r>
    </w:p>
    <w:p w14:paraId="579DA86D" w14:textId="1FE79B6F" w:rsidR="00EF4A96" w:rsidRPr="00663D4D" w:rsidRDefault="00EF4A96" w:rsidP="00EF4A96">
      <w:pPr>
        <w:pStyle w:val="Heading1"/>
      </w:pPr>
      <w:r w:rsidRPr="00663D4D">
        <w:t>6</w:t>
      </w:r>
      <w:r w:rsidRPr="00663D4D">
        <w:tab/>
        <w:t xml:space="preserve">Update on the implementation of </w:t>
      </w:r>
      <w:r w:rsidR="003B4D66" w:rsidRPr="00663D4D">
        <w:t xml:space="preserve">Council </w:t>
      </w:r>
      <w:r w:rsidRPr="00663D4D">
        <w:t>R</w:t>
      </w:r>
      <w:r w:rsidR="003B4D66" w:rsidRPr="00663D4D">
        <w:t>esolution</w:t>
      </w:r>
      <w:r w:rsidR="00EF308A">
        <w:t> </w:t>
      </w:r>
      <w:r w:rsidRPr="00663D4D">
        <w:t>1408</w:t>
      </w:r>
      <w:r w:rsidR="00F41EB4" w:rsidRPr="00663D4D">
        <w:t xml:space="preserve"> </w:t>
      </w:r>
      <w:r w:rsidR="003B4D66" w:rsidRPr="00663D4D">
        <w:t>(C22, last amended C23),</w:t>
      </w:r>
      <w:r w:rsidRPr="00663D4D">
        <w:t xml:space="preserve"> on assistance and support to Ukraine for rebuilding their telecommunication sector</w:t>
      </w:r>
      <w:r w:rsidR="00EB3442" w:rsidRPr="00663D4D">
        <w:t xml:space="preserve"> (</w:t>
      </w:r>
      <w:r w:rsidRPr="00663D4D">
        <w:t>Document</w:t>
      </w:r>
      <w:r w:rsidR="00EB3442" w:rsidRPr="00663D4D">
        <w:t> </w:t>
      </w:r>
      <w:hyperlink r:id="rId22">
        <w:r w:rsidRPr="00663D4D">
          <w:rPr>
            <w:rStyle w:val="Hyperlink"/>
          </w:rPr>
          <w:t>C25/68</w:t>
        </w:r>
      </w:hyperlink>
      <w:r w:rsidR="00EB3442" w:rsidRPr="00663D4D">
        <w:t>)</w:t>
      </w:r>
    </w:p>
    <w:p w14:paraId="308760CA" w14:textId="2045EAF4" w:rsidR="00EB3442" w:rsidRPr="00663D4D" w:rsidRDefault="00EB3442" w:rsidP="007432D5">
      <w:pPr>
        <w:jc w:val="both"/>
      </w:pPr>
      <w:r w:rsidRPr="00663D4D">
        <w:t>6.1</w:t>
      </w:r>
      <w:r w:rsidRPr="00663D4D">
        <w:tab/>
        <w:t>The Head of the ITU Office for Europe introduced Document</w:t>
      </w:r>
      <w:r w:rsidR="00EF308A">
        <w:t> </w:t>
      </w:r>
      <w:r w:rsidRPr="00663D4D">
        <w:t>C25/68, which outlined the activities and developments since Council-24 on assistance and support to Ukraine for rebuilding their telecommunication sector, in response to Resolution</w:t>
      </w:r>
      <w:r w:rsidR="00EF308A">
        <w:t> </w:t>
      </w:r>
      <w:r w:rsidRPr="00663D4D">
        <w:t>1408 (C22, last amended C23). He drew attention to the findings of the Rapid Damage and Needs Assessment Report</w:t>
      </w:r>
      <w:r w:rsidR="00A50CFF">
        <w:t xml:space="preserve"> and the recent Digital Development Country Profile as well as </w:t>
      </w:r>
      <w:r w:rsidRPr="00663D4D">
        <w:t>provided an overview of stakeholder engagement, the coordination mechanisms for the implementation of Resolution</w:t>
      </w:r>
      <w:r w:rsidR="00EF308A">
        <w:t> </w:t>
      </w:r>
      <w:r w:rsidRPr="00663D4D">
        <w:t>1408 (C22, last amended C23), technical assistance, capacity-building activities and resource mobilization. He looked forward to the Ukraine Recovery Conference to be held in July</w:t>
      </w:r>
      <w:r w:rsidR="00EF308A">
        <w:t> </w:t>
      </w:r>
      <w:r w:rsidRPr="00663D4D">
        <w:t>2025</w:t>
      </w:r>
      <w:r w:rsidR="00F41EB4" w:rsidRPr="00663D4D">
        <w:t xml:space="preserve"> and</w:t>
      </w:r>
      <w:r w:rsidRPr="00663D4D">
        <w:t xml:space="preserve"> expressed his thanks to the Government of Ukraine for its proactive approach and to the countries and institutions that had provided financial means and support in kind.</w:t>
      </w:r>
    </w:p>
    <w:p w14:paraId="2A6D16D8" w14:textId="5848DA89" w:rsidR="0019368B" w:rsidRPr="00663D4D" w:rsidRDefault="00EB3442" w:rsidP="0008074F">
      <w:r w:rsidRPr="00663D4D">
        <w:t>6.2</w:t>
      </w:r>
      <w:r w:rsidRPr="00663D4D">
        <w:tab/>
        <w:t>The observer for Ukraine, speaking on behalf of 42</w:t>
      </w:r>
      <w:r w:rsidR="00EF308A">
        <w:t> </w:t>
      </w:r>
      <w:r w:rsidRPr="00663D4D">
        <w:t xml:space="preserve">countries, </w:t>
      </w:r>
      <w:r w:rsidR="0019368B" w:rsidRPr="00663D4D">
        <w:t>delivered the following statement:</w:t>
      </w:r>
      <w:r w:rsidR="0008074F">
        <w:t xml:space="preserve"> </w:t>
      </w:r>
      <w:hyperlink r:id="rId23" w:history="1">
        <w:r w:rsidR="0008074F" w:rsidRPr="00581FB0">
          <w:rPr>
            <w:rStyle w:val="Hyperlink"/>
          </w:rPr>
          <w:t>council.itu.int/2025/wp-content/uploads/sites/5/2025/07/Statement-joint-Ukraine-co-countries-250625-e.pdf</w:t>
        </w:r>
      </w:hyperlink>
      <w:r w:rsidR="0008074F">
        <w:t>.</w:t>
      </w:r>
    </w:p>
    <w:p w14:paraId="214ABB68" w14:textId="01DD4398" w:rsidR="0019368B" w:rsidRPr="00663D4D" w:rsidRDefault="00EB3442" w:rsidP="0008074F">
      <w:r w:rsidRPr="00663D4D">
        <w:t>6.</w:t>
      </w:r>
      <w:r w:rsidR="00DE7A89" w:rsidRPr="00663D4D">
        <w:t>3</w:t>
      </w:r>
      <w:r w:rsidRPr="00663D4D">
        <w:tab/>
        <w:t>The councillor from Poland, speaking on behalf of 26</w:t>
      </w:r>
      <w:r w:rsidR="00EF308A">
        <w:t> </w:t>
      </w:r>
      <w:r w:rsidR="004459D9" w:rsidRPr="00663D4D">
        <w:t xml:space="preserve">of the European Union </w:t>
      </w:r>
      <w:r w:rsidRPr="00663D4D">
        <w:t xml:space="preserve">countries, </w:t>
      </w:r>
      <w:r w:rsidR="0019368B" w:rsidRPr="00663D4D">
        <w:t xml:space="preserve">delivered the following statement: </w:t>
      </w:r>
      <w:hyperlink r:id="rId24" w:history="1">
        <w:r w:rsidR="0008074F" w:rsidRPr="00581FB0">
          <w:rPr>
            <w:rStyle w:val="Hyperlink"/>
          </w:rPr>
          <w:t>council.itu.int/2025/wp-content/uploads/sites/5/2025/07/Statement-joint-Poland-multicountries-250625.pdf</w:t>
        </w:r>
      </w:hyperlink>
      <w:r w:rsidR="0008074F">
        <w:t>.</w:t>
      </w:r>
    </w:p>
    <w:p w14:paraId="4D82EDD2" w14:textId="4D386C60" w:rsidR="00EB3442" w:rsidRPr="00663D4D" w:rsidRDefault="00EB3442" w:rsidP="007432D5">
      <w:pPr>
        <w:jc w:val="both"/>
      </w:pPr>
      <w:r w:rsidRPr="00663D4D">
        <w:t>6.</w:t>
      </w:r>
      <w:r w:rsidR="00DE7A89" w:rsidRPr="00663D4D">
        <w:t>4</w:t>
      </w:r>
      <w:r w:rsidRPr="00663D4D">
        <w:tab/>
        <w:t xml:space="preserve">The councillor from Sweden, speaking on behalf of </w:t>
      </w:r>
      <w:r w:rsidR="004459D9" w:rsidRPr="00663D4D">
        <w:t xml:space="preserve">the </w:t>
      </w:r>
      <w:r w:rsidRPr="00663D4D">
        <w:t>eight</w:t>
      </w:r>
      <w:r w:rsidR="004459D9" w:rsidRPr="00663D4D">
        <w:t xml:space="preserve"> Nordic-Baltic</w:t>
      </w:r>
      <w:r w:rsidRPr="00663D4D">
        <w:t xml:space="preserve"> countries, condemned the unprovoked aggression against Ukraine by the Russian Federation in the strongest possible terms. The commendable efforts of ITU to implement Resolution</w:t>
      </w:r>
      <w:r w:rsidR="00EF308A">
        <w:t> </w:t>
      </w:r>
      <w:r w:rsidRPr="00663D4D">
        <w:t xml:space="preserve">1408 (C22, last amended C23) should be continued. </w:t>
      </w:r>
      <w:r w:rsidR="00323E3A" w:rsidRPr="00663D4D">
        <w:t xml:space="preserve">The Nordic-Baltic countries would stand resolutely with Ukraine as long as necessary and were </w:t>
      </w:r>
      <w:r w:rsidRPr="00663D4D">
        <w:t xml:space="preserve">unwavering </w:t>
      </w:r>
      <w:r w:rsidR="00323E3A" w:rsidRPr="00663D4D">
        <w:t xml:space="preserve">in their </w:t>
      </w:r>
      <w:r w:rsidRPr="00663D4D">
        <w:t>support for a comprehensive, just and lasting peace in Ukraine, based on international law.</w:t>
      </w:r>
    </w:p>
    <w:p w14:paraId="3D7EE791" w14:textId="18B594FD" w:rsidR="0019368B" w:rsidRPr="00663D4D" w:rsidRDefault="0019368B" w:rsidP="00661434">
      <w:r w:rsidRPr="00663D4D">
        <w:t>6.</w:t>
      </w:r>
      <w:r w:rsidR="00DE7A89" w:rsidRPr="00663D4D">
        <w:t>5</w:t>
      </w:r>
      <w:r w:rsidRPr="00663D4D">
        <w:tab/>
        <w:t xml:space="preserve">The councillor from Canada delivered the following statement: </w:t>
      </w:r>
      <w:hyperlink r:id="rId25" w:history="1">
        <w:r w:rsidR="00661434" w:rsidRPr="00581FB0">
          <w:rPr>
            <w:rStyle w:val="Hyperlink"/>
          </w:rPr>
          <w:t>council.itu.int/2025/wp-content/uploads/sites/5/2025/07/Statement_Canada-250625-e.pdf</w:t>
        </w:r>
      </w:hyperlink>
      <w:r w:rsidR="00661434">
        <w:t>.</w:t>
      </w:r>
    </w:p>
    <w:p w14:paraId="32EA5D31" w14:textId="08A27EDD" w:rsidR="00EB3442" w:rsidRPr="00663D4D" w:rsidRDefault="00EB3442" w:rsidP="007432D5">
      <w:pPr>
        <w:jc w:val="both"/>
      </w:pPr>
      <w:r w:rsidRPr="00663D4D">
        <w:t>6.</w:t>
      </w:r>
      <w:r w:rsidR="00DE7A89" w:rsidRPr="00663D4D">
        <w:t>6</w:t>
      </w:r>
      <w:r w:rsidRPr="00663D4D">
        <w:tab/>
        <w:t>Welcoming the steps taken to operationalize Resolution</w:t>
      </w:r>
      <w:r w:rsidR="00EF308A">
        <w:t> </w:t>
      </w:r>
      <w:r w:rsidRPr="00663D4D">
        <w:t xml:space="preserve">1408 (C22, last amended C23), </w:t>
      </w:r>
      <w:proofErr w:type="gramStart"/>
      <w:r w:rsidRPr="00663D4D">
        <w:t>a number of</w:t>
      </w:r>
      <w:proofErr w:type="gramEnd"/>
      <w:r w:rsidRPr="00663D4D">
        <w:t xml:space="preserve"> councillors called for an immediate halt to hostilities in Ukraine, which violated international law, the Charter of the United Nations and resolutions of the United Nations General Assembly. Concern was expressed about the scale of damage </w:t>
      </w:r>
      <w:r w:rsidR="00323E3A" w:rsidRPr="00663D4D">
        <w:t>and loss caused by attacks on</w:t>
      </w:r>
      <w:r w:rsidRPr="00663D4D">
        <w:t xml:space="preserve"> telecommunication infrastructure</w:t>
      </w:r>
      <w:r w:rsidR="00323E3A" w:rsidRPr="00663D4D">
        <w:t>, which was critical to national resilienc</w:t>
      </w:r>
      <w:r w:rsidR="00A84328" w:rsidRPr="00663D4D">
        <w:t>e</w:t>
      </w:r>
      <w:r w:rsidRPr="00663D4D">
        <w:t xml:space="preserve">. </w:t>
      </w:r>
    </w:p>
    <w:p w14:paraId="6405FAB6" w14:textId="54BB52F0" w:rsidR="00EB3442" w:rsidRPr="00F06A7F" w:rsidRDefault="00EB3442" w:rsidP="007432D5">
      <w:pPr>
        <w:jc w:val="both"/>
        <w:rPr>
          <w:spacing w:val="-2"/>
        </w:rPr>
      </w:pPr>
      <w:r w:rsidRPr="00F06A7F">
        <w:rPr>
          <w:spacing w:val="-2"/>
        </w:rPr>
        <w:t>6.</w:t>
      </w:r>
      <w:r w:rsidR="00DE7A89" w:rsidRPr="00F06A7F">
        <w:rPr>
          <w:spacing w:val="-2"/>
        </w:rPr>
        <w:t>7</w:t>
      </w:r>
      <w:r w:rsidRPr="00F06A7F">
        <w:rPr>
          <w:spacing w:val="-2"/>
        </w:rPr>
        <w:tab/>
        <w:t>Reiterating their unwavering solidarity with Ukraine, councillors encouraged ITU to continue to provide technical assistance to Ukraine and to leverage further financial resources, including through other international institutions and Member State contributions. A resilient digital ecosystem was essential to the recovery and long-term development of Ukraine.</w:t>
      </w:r>
    </w:p>
    <w:p w14:paraId="5470171F" w14:textId="3DC03272" w:rsidR="00EB3442" w:rsidRPr="00663D4D" w:rsidRDefault="00EB3442" w:rsidP="007432D5">
      <w:pPr>
        <w:jc w:val="both"/>
      </w:pPr>
      <w:r w:rsidRPr="00663D4D">
        <w:t>6.</w:t>
      </w:r>
      <w:r w:rsidR="00DE7A89" w:rsidRPr="00663D4D">
        <w:t>8</w:t>
      </w:r>
      <w:r w:rsidRPr="00663D4D">
        <w:tab/>
        <w:t>One councillor said that the Union's provision of ICT-related assistance to Member States affected by conflict or disaster must be impartial, inclusive and proportional. It was encouraged to apply a needs-based approach that reflected realities on the ground and responded to the requirements of all Member States.</w:t>
      </w:r>
    </w:p>
    <w:p w14:paraId="6B33D587" w14:textId="5A4BB2DC" w:rsidR="00EB3442" w:rsidRPr="00F06A7F" w:rsidRDefault="00EB3442" w:rsidP="00661434">
      <w:pPr>
        <w:rPr>
          <w:spacing w:val="-2"/>
        </w:rPr>
      </w:pPr>
      <w:r w:rsidRPr="00F06A7F">
        <w:rPr>
          <w:spacing w:val="-2"/>
        </w:rPr>
        <w:t>6.</w:t>
      </w:r>
      <w:r w:rsidR="00DE7A89" w:rsidRPr="00F06A7F">
        <w:rPr>
          <w:spacing w:val="-2"/>
        </w:rPr>
        <w:t>9</w:t>
      </w:r>
      <w:r w:rsidRPr="00F06A7F">
        <w:rPr>
          <w:spacing w:val="-2"/>
        </w:rPr>
        <w:tab/>
        <w:t>The observer for the Russian Federation delivered the following statement:</w:t>
      </w:r>
      <w:r w:rsidR="00661434" w:rsidRPr="00F06A7F">
        <w:rPr>
          <w:spacing w:val="-2"/>
        </w:rPr>
        <w:t xml:space="preserve"> </w:t>
      </w:r>
      <w:hyperlink r:id="rId26" w:history="1">
        <w:r w:rsidR="00661434" w:rsidRPr="00F06A7F">
          <w:rPr>
            <w:rStyle w:val="Hyperlink"/>
            <w:spacing w:val="-2"/>
          </w:rPr>
          <w:t>council.itu.int/2025/wp-content/uploads/sites/5/2025/07/Statement_1408_Russia_250625-e-1.pdf</w:t>
        </w:r>
      </w:hyperlink>
      <w:r w:rsidR="00661434" w:rsidRPr="00F06A7F">
        <w:rPr>
          <w:spacing w:val="-2"/>
        </w:rPr>
        <w:t xml:space="preserve">. </w:t>
      </w:r>
    </w:p>
    <w:p w14:paraId="3E939102" w14:textId="069B5A98" w:rsidR="00EB3442" w:rsidRPr="00663D4D" w:rsidRDefault="00EB3442" w:rsidP="007432D5">
      <w:pPr>
        <w:jc w:val="both"/>
      </w:pPr>
      <w:r w:rsidRPr="00663D4D">
        <w:t>6.1</w:t>
      </w:r>
      <w:r w:rsidR="00DE7A89" w:rsidRPr="00663D4D">
        <w:t>0</w:t>
      </w:r>
      <w:r w:rsidRPr="00663D4D">
        <w:tab/>
        <w:t>The Secretary-General said that the secretariat would continue to implement Resolution</w:t>
      </w:r>
      <w:r w:rsidR="00EF308A">
        <w:t> </w:t>
      </w:r>
      <w:r w:rsidRPr="00663D4D">
        <w:t>1408 (C22, last amended C23) through the Special Task Force on Resolution</w:t>
      </w:r>
      <w:r w:rsidR="00EF308A">
        <w:t> </w:t>
      </w:r>
      <w:r w:rsidRPr="00663D4D">
        <w:t xml:space="preserve">1408. </w:t>
      </w:r>
      <w:proofErr w:type="gramStart"/>
      <w:r w:rsidRPr="00663D4D">
        <w:t>In order to</w:t>
      </w:r>
      <w:proofErr w:type="gramEnd"/>
      <w:r w:rsidRPr="00663D4D">
        <w:t xml:space="preserve"> facilitate technical assistance to Ukraine, Member States and partners were encouraged to make voluntary contributions directly to ITU or through P2C; she expressed her appreciation for contributions that had already been received.</w:t>
      </w:r>
    </w:p>
    <w:p w14:paraId="3E2EC208" w14:textId="10EF3FCE" w:rsidR="00EB3442" w:rsidRPr="00663D4D" w:rsidRDefault="00EB3442" w:rsidP="007432D5">
      <w:pPr>
        <w:jc w:val="both"/>
      </w:pPr>
      <w:r w:rsidRPr="00663D4D">
        <w:t>6.1</w:t>
      </w:r>
      <w:r w:rsidR="00DE7A89" w:rsidRPr="00663D4D">
        <w:t>1</w:t>
      </w:r>
      <w:r w:rsidRPr="00663D4D">
        <w:tab/>
        <w:t xml:space="preserve">The Council </w:t>
      </w:r>
      <w:r w:rsidRPr="00663D4D">
        <w:rPr>
          <w:b/>
          <w:bCs/>
        </w:rPr>
        <w:t xml:space="preserve">noted </w:t>
      </w:r>
      <w:r w:rsidRPr="00663D4D">
        <w:t>the report contained in Document</w:t>
      </w:r>
      <w:r w:rsidR="00EF308A">
        <w:t> </w:t>
      </w:r>
      <w:r w:rsidRPr="00663D4D">
        <w:t>C25/68.</w:t>
      </w:r>
    </w:p>
    <w:p w14:paraId="5ABABD84" w14:textId="06C36C59" w:rsidR="00390154" w:rsidRPr="00663D4D" w:rsidRDefault="00390154" w:rsidP="005259CE">
      <w:pPr>
        <w:tabs>
          <w:tab w:val="clear" w:pos="567"/>
          <w:tab w:val="clear" w:pos="1134"/>
          <w:tab w:val="clear" w:pos="1701"/>
          <w:tab w:val="clear" w:pos="2268"/>
          <w:tab w:val="clear" w:pos="2835"/>
          <w:tab w:val="left" w:pos="6237"/>
        </w:tabs>
        <w:spacing w:before="600"/>
        <w:jc w:val="both"/>
        <w:rPr>
          <w:szCs w:val="24"/>
        </w:rPr>
      </w:pPr>
      <w:r w:rsidRPr="00663D4D">
        <w:rPr>
          <w:szCs w:val="24"/>
        </w:rPr>
        <w:t>The Secretary-General</w:t>
      </w:r>
      <w:r w:rsidR="00EA358F" w:rsidRPr="00663D4D">
        <w:rPr>
          <w:szCs w:val="24"/>
        </w:rPr>
        <w:t>:</w:t>
      </w:r>
      <w:r w:rsidRPr="00663D4D">
        <w:rPr>
          <w:szCs w:val="24"/>
        </w:rPr>
        <w:tab/>
        <w:t>The Chair:</w:t>
      </w:r>
    </w:p>
    <w:p w14:paraId="49055415" w14:textId="0860424B" w:rsidR="00390154" w:rsidRDefault="00390154" w:rsidP="00390154">
      <w:pPr>
        <w:tabs>
          <w:tab w:val="clear" w:pos="567"/>
          <w:tab w:val="clear" w:pos="1134"/>
          <w:tab w:val="clear" w:pos="1701"/>
          <w:tab w:val="clear" w:pos="2268"/>
          <w:tab w:val="clear" w:pos="2835"/>
          <w:tab w:val="left" w:pos="6237"/>
        </w:tabs>
        <w:spacing w:before="0" w:after="120"/>
        <w:jc w:val="both"/>
        <w:rPr>
          <w:szCs w:val="24"/>
        </w:rPr>
      </w:pPr>
      <w:r w:rsidRPr="00663D4D">
        <w:rPr>
          <w:szCs w:val="24"/>
        </w:rPr>
        <w:t>D. BOGDAN-MARTIN</w:t>
      </w:r>
      <w:r w:rsidRPr="00663D4D">
        <w:rPr>
          <w:szCs w:val="24"/>
        </w:rPr>
        <w:tab/>
      </w:r>
      <w:r w:rsidR="00EF4A96" w:rsidRPr="00663D4D">
        <w:rPr>
          <w:szCs w:val="24"/>
        </w:rPr>
        <w:t>C. FLUTUR</w:t>
      </w:r>
    </w:p>
    <w:p w14:paraId="2CC87EF0" w14:textId="77777777" w:rsidR="00472041" w:rsidRDefault="00472041">
      <w:pPr>
        <w:jc w:val="center"/>
      </w:pPr>
      <w:bookmarkStart w:id="13" w:name="_Hlk206159947"/>
      <w:r>
        <w:t>______________</w:t>
      </w:r>
      <w:bookmarkEnd w:id="13"/>
    </w:p>
    <w:sectPr w:rsidR="00472041" w:rsidSect="00AF00D0">
      <w:footerReference w:type="default" r:id="rId27"/>
      <w:headerReference w:type="first" r:id="rId28"/>
      <w:footerReference w:type="first" r:id="rId29"/>
      <w:pgSz w:w="11907" w:h="16834"/>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A06D6" w14:textId="77777777" w:rsidR="0074290E" w:rsidRDefault="0074290E">
      <w:r>
        <w:separator/>
      </w:r>
    </w:p>
  </w:endnote>
  <w:endnote w:type="continuationSeparator" w:id="0">
    <w:p w14:paraId="2A98A9AD" w14:textId="77777777" w:rsidR="0074290E" w:rsidRDefault="0074290E">
      <w:r>
        <w:continuationSeparator/>
      </w:r>
    </w:p>
  </w:endnote>
  <w:endnote w:type="continuationNotice" w:id="1">
    <w:p w14:paraId="737A1C30" w14:textId="77777777" w:rsidR="0074290E" w:rsidRDefault="0074290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F00D0" w:rsidRPr="000C7AD9" w14:paraId="50AFB848" w14:textId="77777777" w:rsidTr="000E09E2">
      <w:trPr>
        <w:jc w:val="center"/>
      </w:trPr>
      <w:tc>
        <w:tcPr>
          <w:tcW w:w="1803" w:type="dxa"/>
          <w:vAlign w:val="center"/>
        </w:tcPr>
        <w:p w14:paraId="6EC76EBA" w14:textId="77777777" w:rsidR="00AF00D0" w:rsidRPr="00AF00D0" w:rsidRDefault="00AF00D0" w:rsidP="00AF00D0">
          <w:pPr>
            <w:pStyle w:val="Footer"/>
            <w:rPr>
              <w:rFonts w:eastAsia="Times New Roman" w:cs="Times New Roman"/>
              <w:szCs w:val="20"/>
            </w:rPr>
          </w:pPr>
        </w:p>
      </w:tc>
      <w:tc>
        <w:tcPr>
          <w:tcW w:w="8261" w:type="dxa"/>
        </w:tcPr>
        <w:p w14:paraId="73EFC6EF" w14:textId="47DE2BCC" w:rsidR="00AF00D0" w:rsidRPr="000C7AD9" w:rsidRDefault="00AF00D0" w:rsidP="00661434">
          <w:pPr>
            <w:pStyle w:val="Footer"/>
            <w:tabs>
              <w:tab w:val="clear" w:pos="5954"/>
              <w:tab w:val="left" w:pos="6602"/>
            </w:tabs>
            <w:rPr>
              <w:rFonts w:eastAsia="Times New Roman" w:cs="Times New Roman"/>
              <w:b/>
              <w:bCs/>
              <w:sz w:val="18"/>
              <w:szCs w:val="18"/>
            </w:rPr>
          </w:pPr>
          <w:r w:rsidRPr="000C7AD9">
            <w:rPr>
              <w:rFonts w:eastAsia="Times New Roman" w:cs="Times New Roman"/>
              <w:bCs/>
              <w:sz w:val="18"/>
              <w:szCs w:val="18"/>
            </w:rPr>
            <w:tab/>
            <w:t>C2</w:t>
          </w:r>
          <w:r w:rsidR="00AE67FC" w:rsidRPr="000C7AD9">
            <w:rPr>
              <w:rFonts w:eastAsia="Times New Roman" w:cs="Times New Roman"/>
              <w:bCs/>
              <w:sz w:val="18"/>
              <w:szCs w:val="18"/>
            </w:rPr>
            <w:t>5</w:t>
          </w:r>
          <w:r w:rsidRPr="000C7AD9">
            <w:rPr>
              <w:rFonts w:eastAsia="Times New Roman" w:cs="Times New Roman"/>
              <w:bCs/>
              <w:sz w:val="18"/>
              <w:szCs w:val="18"/>
            </w:rPr>
            <w:t>/</w:t>
          </w:r>
          <w:r w:rsidR="00661434">
            <w:rPr>
              <w:rFonts w:eastAsia="Times New Roman" w:cs="Times New Roman"/>
              <w:bCs/>
              <w:sz w:val="18"/>
              <w:szCs w:val="18"/>
            </w:rPr>
            <w:t>112</w:t>
          </w:r>
          <w:r w:rsidRPr="000C7AD9">
            <w:rPr>
              <w:rFonts w:eastAsia="Times New Roman" w:cs="Times New Roman"/>
              <w:bCs/>
              <w:sz w:val="18"/>
              <w:szCs w:val="18"/>
            </w:rPr>
            <w:t>-E</w:t>
          </w:r>
          <w:r w:rsidRPr="000C7AD9">
            <w:rPr>
              <w:rFonts w:eastAsia="Times New Roman" w:cs="Times New Roman"/>
              <w:bCs/>
              <w:sz w:val="18"/>
              <w:szCs w:val="18"/>
            </w:rPr>
            <w:tab/>
          </w:r>
          <w:r w:rsidRPr="000C7AD9">
            <w:rPr>
              <w:sz w:val="18"/>
              <w:szCs w:val="18"/>
            </w:rPr>
            <w:fldChar w:fldCharType="begin"/>
          </w:r>
          <w:r w:rsidRPr="000C7AD9">
            <w:rPr>
              <w:rFonts w:eastAsia="Times New Roman" w:cs="Times New Roman"/>
              <w:sz w:val="18"/>
              <w:szCs w:val="18"/>
            </w:rPr>
            <w:instrText>PAGE</w:instrText>
          </w:r>
          <w:r w:rsidRPr="000C7AD9">
            <w:rPr>
              <w:sz w:val="18"/>
              <w:szCs w:val="18"/>
            </w:rPr>
            <w:fldChar w:fldCharType="separate"/>
          </w:r>
          <w:r w:rsidRPr="000C7AD9">
            <w:rPr>
              <w:rFonts w:eastAsia="Times New Roman" w:cs="Times New Roman"/>
              <w:sz w:val="18"/>
              <w:szCs w:val="18"/>
            </w:rPr>
            <w:t>1</w:t>
          </w:r>
          <w:r w:rsidRPr="000C7AD9">
            <w:rPr>
              <w:sz w:val="18"/>
              <w:szCs w:val="18"/>
            </w:rPr>
            <w:fldChar w:fldCharType="end"/>
          </w:r>
        </w:p>
      </w:tc>
    </w:tr>
  </w:tbl>
  <w:p w14:paraId="518C160F" w14:textId="77777777" w:rsidR="00AF00D0" w:rsidRPr="00AF00D0" w:rsidRDefault="00AF00D0" w:rsidP="00AF00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079"/>
    </w:tblGrid>
    <w:tr w:rsidR="003A3BDC" w:rsidRPr="00784011" w14:paraId="41A75AFB" w14:textId="77777777" w:rsidTr="000C76A9">
      <w:trPr>
        <w:jc w:val="center"/>
      </w:trPr>
      <w:tc>
        <w:tcPr>
          <w:tcW w:w="1985" w:type="dxa"/>
          <w:vAlign w:val="center"/>
        </w:tcPr>
        <w:p w14:paraId="018CF727" w14:textId="6F31118D" w:rsidR="003A3BDC" w:rsidRDefault="000C76A9" w:rsidP="003A3BDC">
          <w:pPr>
            <w:pStyle w:val="Header"/>
            <w:jc w:val="left"/>
            <w:rPr>
              <w:noProof/>
            </w:rPr>
          </w:pPr>
          <w:hyperlink r:id="rId1" w:history="1">
            <w:r w:rsidRPr="000C76A9">
              <w:rPr>
                <w:rStyle w:val="Hyperlink"/>
              </w:rPr>
              <w:t>council.itu.int/2025</w:t>
            </w:r>
          </w:hyperlink>
        </w:p>
      </w:tc>
      <w:tc>
        <w:tcPr>
          <w:tcW w:w="8079" w:type="dxa"/>
        </w:tcPr>
        <w:p w14:paraId="17F23351" w14:textId="66415099" w:rsidR="003A3BDC" w:rsidRPr="000C7AD9" w:rsidRDefault="003A3BDC" w:rsidP="006703E6">
          <w:pPr>
            <w:pStyle w:val="Header"/>
            <w:tabs>
              <w:tab w:val="left" w:pos="6547"/>
              <w:tab w:val="right" w:pos="8505"/>
              <w:tab w:val="right" w:pos="9639"/>
            </w:tabs>
            <w:jc w:val="left"/>
            <w:rPr>
              <w:rFonts w:ascii="Arial" w:hAnsi="Arial" w:cs="Arial"/>
              <w:b/>
              <w:bCs/>
              <w:szCs w:val="18"/>
            </w:rPr>
          </w:pPr>
          <w:r w:rsidRPr="000C7AD9">
            <w:rPr>
              <w:bCs/>
              <w:szCs w:val="18"/>
            </w:rPr>
            <w:tab/>
            <w:t>C2</w:t>
          </w:r>
          <w:r w:rsidR="000C76A9" w:rsidRPr="000C7AD9">
            <w:rPr>
              <w:bCs/>
              <w:szCs w:val="18"/>
            </w:rPr>
            <w:t>5</w:t>
          </w:r>
          <w:r w:rsidRPr="000C7AD9">
            <w:rPr>
              <w:bCs/>
              <w:szCs w:val="18"/>
            </w:rPr>
            <w:t>/</w:t>
          </w:r>
          <w:r w:rsidR="006703E6">
            <w:rPr>
              <w:bCs/>
              <w:szCs w:val="18"/>
            </w:rPr>
            <w:t>112</w:t>
          </w:r>
          <w:r w:rsidRPr="000C7AD9">
            <w:rPr>
              <w:bCs/>
              <w:szCs w:val="18"/>
            </w:rPr>
            <w:t>-E</w:t>
          </w:r>
          <w:r w:rsidRPr="000C7AD9">
            <w:rPr>
              <w:bCs/>
              <w:szCs w:val="18"/>
            </w:rPr>
            <w:tab/>
          </w:r>
          <w:r w:rsidRPr="000C7AD9">
            <w:rPr>
              <w:szCs w:val="18"/>
            </w:rPr>
            <w:fldChar w:fldCharType="begin"/>
          </w:r>
          <w:r w:rsidRPr="000C7AD9">
            <w:rPr>
              <w:szCs w:val="18"/>
            </w:rPr>
            <w:instrText>PAGE</w:instrText>
          </w:r>
          <w:r w:rsidRPr="000C7AD9">
            <w:rPr>
              <w:szCs w:val="18"/>
            </w:rPr>
            <w:fldChar w:fldCharType="separate"/>
          </w:r>
          <w:r w:rsidRPr="000C7AD9">
            <w:rPr>
              <w:szCs w:val="18"/>
            </w:rPr>
            <w:t>1</w:t>
          </w:r>
          <w:r w:rsidRPr="000C7AD9">
            <w:rPr>
              <w:noProof/>
              <w:szCs w:val="18"/>
            </w:rPr>
            <w:fldChar w:fldCharType="end"/>
          </w:r>
        </w:p>
      </w:tc>
    </w:tr>
  </w:tbl>
  <w:p w14:paraId="4E1884F8" w14:textId="77777777" w:rsidR="00EA1D83" w:rsidRPr="003A3BDC" w:rsidRDefault="00EA1D83" w:rsidP="003A3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49541" w14:textId="77777777" w:rsidR="0074290E" w:rsidRDefault="0074290E">
      <w:r>
        <w:t>____________________</w:t>
      </w:r>
    </w:p>
  </w:footnote>
  <w:footnote w:type="continuationSeparator" w:id="0">
    <w:p w14:paraId="7CADD4DD" w14:textId="77777777" w:rsidR="0074290E" w:rsidRDefault="0074290E">
      <w:r>
        <w:continuationSeparator/>
      </w:r>
    </w:p>
  </w:footnote>
  <w:footnote w:type="continuationNotice" w:id="1">
    <w:p w14:paraId="367F87BF" w14:textId="77777777" w:rsidR="0074290E" w:rsidRDefault="0074290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905336" w:rsidRPr="00784011" w14:paraId="439FF91B" w14:textId="77777777" w:rsidTr="000E09E2">
      <w:trPr>
        <w:trHeight w:val="1104"/>
        <w:jc w:val="center"/>
      </w:trPr>
      <w:tc>
        <w:tcPr>
          <w:tcW w:w="4390" w:type="dxa"/>
          <w:vAlign w:val="center"/>
        </w:tcPr>
        <w:p w14:paraId="688532F9" w14:textId="7EE325E6" w:rsidR="00905336" w:rsidRPr="009621F8" w:rsidRDefault="000C76A9" w:rsidP="00905336">
          <w:pPr>
            <w:pStyle w:val="Header"/>
            <w:jc w:val="left"/>
            <w:rPr>
              <w:rFonts w:ascii="Arial" w:hAnsi="Arial" w:cs="Arial"/>
              <w:b/>
              <w:bCs/>
              <w:color w:val="009CD6"/>
              <w:sz w:val="36"/>
              <w:szCs w:val="36"/>
            </w:rPr>
          </w:pPr>
          <w:bookmarkStart w:id="14" w:name="_Hlk133422111"/>
          <w:r>
            <w:rPr>
              <w:rFonts w:ascii="Arial" w:hAnsi="Arial" w:cs="Arial"/>
              <w:b/>
              <w:bCs/>
              <w:noProof/>
              <w:color w:val="009CD6"/>
              <w:sz w:val="36"/>
              <w:szCs w:val="36"/>
            </w:rPr>
            <w:drawing>
              <wp:inline distT="0" distB="0" distL="0" distR="0" wp14:anchorId="6B31D1AD" wp14:editId="7145D40E">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59017ABC" w14:textId="77777777" w:rsidR="00905336" w:rsidRDefault="00905336" w:rsidP="00905336">
          <w:pPr>
            <w:pStyle w:val="Header"/>
            <w:jc w:val="right"/>
            <w:rPr>
              <w:rFonts w:ascii="Arial" w:hAnsi="Arial" w:cs="Arial"/>
              <w:b/>
              <w:bCs/>
              <w:color w:val="009CD6"/>
              <w:szCs w:val="18"/>
            </w:rPr>
          </w:pPr>
        </w:p>
        <w:p w14:paraId="28CE56F0" w14:textId="77777777" w:rsidR="00905336" w:rsidRDefault="00905336" w:rsidP="00905336">
          <w:pPr>
            <w:pStyle w:val="Header"/>
            <w:jc w:val="right"/>
            <w:rPr>
              <w:rFonts w:ascii="Arial" w:hAnsi="Arial" w:cs="Arial"/>
              <w:b/>
              <w:bCs/>
              <w:color w:val="009CD6"/>
              <w:szCs w:val="18"/>
            </w:rPr>
          </w:pPr>
        </w:p>
        <w:p w14:paraId="0EEA0A76" w14:textId="77777777" w:rsidR="00905336" w:rsidRPr="00784011" w:rsidRDefault="00905336" w:rsidP="0090533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4"/>
  <w:p w14:paraId="7B71BF44" w14:textId="03F66972" w:rsidR="00EA1D83" w:rsidRDefault="00197DD2">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BA838C0" wp14:editId="6920FF90">
              <wp:simplePos x="0" y="0"/>
              <wp:positionH relativeFrom="page">
                <wp:posOffset>24130</wp:posOffset>
              </wp:positionH>
              <wp:positionV relativeFrom="topMargin">
                <wp:posOffset>652780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42A06" id="Rectangle 5" o:spid="_x0000_s1026" style="position:absolute;margin-left:1.9pt;margin-top:51.4pt;width:7.25pt;height:2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391C77"/>
    <w:multiLevelType w:val="hybridMultilevel"/>
    <w:tmpl w:val="789A2CBC"/>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B2814"/>
    <w:multiLevelType w:val="hybridMultilevel"/>
    <w:tmpl w:val="DFB82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211D4C"/>
    <w:multiLevelType w:val="hybridMultilevel"/>
    <w:tmpl w:val="A90E0648"/>
    <w:lvl w:ilvl="0" w:tplc="2486767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B683B"/>
    <w:multiLevelType w:val="hybridMultilevel"/>
    <w:tmpl w:val="BA4E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5432B9"/>
    <w:multiLevelType w:val="hybridMultilevel"/>
    <w:tmpl w:val="4F7CA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0F0915"/>
    <w:multiLevelType w:val="hybridMultilevel"/>
    <w:tmpl w:val="5238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CB299D"/>
    <w:multiLevelType w:val="hybridMultilevel"/>
    <w:tmpl w:val="66DC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E93A31"/>
    <w:multiLevelType w:val="hybridMultilevel"/>
    <w:tmpl w:val="6F3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715829"/>
    <w:multiLevelType w:val="hybridMultilevel"/>
    <w:tmpl w:val="ED14C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103EFB"/>
    <w:multiLevelType w:val="hybridMultilevel"/>
    <w:tmpl w:val="BC546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F704F7"/>
    <w:multiLevelType w:val="hybridMultilevel"/>
    <w:tmpl w:val="40881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9B152E"/>
    <w:multiLevelType w:val="hybridMultilevel"/>
    <w:tmpl w:val="5594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F424DD"/>
    <w:multiLevelType w:val="hybridMultilevel"/>
    <w:tmpl w:val="C4D4B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8147C5"/>
    <w:multiLevelType w:val="hybridMultilevel"/>
    <w:tmpl w:val="177AF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5E0AF9"/>
    <w:multiLevelType w:val="hybridMultilevel"/>
    <w:tmpl w:val="3A0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351884950">
    <w:abstractNumId w:val="3"/>
  </w:num>
  <w:num w:numId="3" w16cid:durableId="1210730298">
    <w:abstractNumId w:val="1"/>
  </w:num>
  <w:num w:numId="4" w16cid:durableId="942224820">
    <w:abstractNumId w:val="14"/>
  </w:num>
  <w:num w:numId="5" w16cid:durableId="1478301495">
    <w:abstractNumId w:val="7"/>
  </w:num>
  <w:num w:numId="6" w16cid:durableId="2045328376">
    <w:abstractNumId w:val="8"/>
  </w:num>
  <w:num w:numId="7" w16cid:durableId="650913780">
    <w:abstractNumId w:val="13"/>
  </w:num>
  <w:num w:numId="8" w16cid:durableId="1079475666">
    <w:abstractNumId w:val="6"/>
  </w:num>
  <w:num w:numId="9" w16cid:durableId="108011777">
    <w:abstractNumId w:val="11"/>
  </w:num>
  <w:num w:numId="10" w16cid:durableId="449980474">
    <w:abstractNumId w:val="15"/>
  </w:num>
  <w:num w:numId="11" w16cid:durableId="768937311">
    <w:abstractNumId w:val="4"/>
  </w:num>
  <w:num w:numId="12" w16cid:durableId="422576947">
    <w:abstractNumId w:val="9"/>
  </w:num>
  <w:num w:numId="13" w16cid:durableId="1855724044">
    <w:abstractNumId w:val="12"/>
  </w:num>
  <w:num w:numId="14" w16cid:durableId="752051971">
    <w:abstractNumId w:val="5"/>
  </w:num>
  <w:num w:numId="15" w16cid:durableId="2034186178">
    <w:abstractNumId w:val="10"/>
  </w:num>
  <w:num w:numId="16" w16cid:durableId="903685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23112"/>
    <w:rsid w:val="00025341"/>
    <w:rsid w:val="00033307"/>
    <w:rsid w:val="0004698E"/>
    <w:rsid w:val="00047E35"/>
    <w:rsid w:val="00063016"/>
    <w:rsid w:val="00066795"/>
    <w:rsid w:val="0007406E"/>
    <w:rsid w:val="0007496A"/>
    <w:rsid w:val="00074FA0"/>
    <w:rsid w:val="00076AF6"/>
    <w:rsid w:val="00076E88"/>
    <w:rsid w:val="0008074F"/>
    <w:rsid w:val="00082CDE"/>
    <w:rsid w:val="00085A4B"/>
    <w:rsid w:val="00085CF2"/>
    <w:rsid w:val="0009109C"/>
    <w:rsid w:val="00093A91"/>
    <w:rsid w:val="00094460"/>
    <w:rsid w:val="000B1705"/>
    <w:rsid w:val="000C1A3D"/>
    <w:rsid w:val="000C76A9"/>
    <w:rsid w:val="000C7AD9"/>
    <w:rsid w:val="000D5B4C"/>
    <w:rsid w:val="000D75B2"/>
    <w:rsid w:val="000E37CE"/>
    <w:rsid w:val="000F35A3"/>
    <w:rsid w:val="0010202B"/>
    <w:rsid w:val="001121F5"/>
    <w:rsid w:val="0013114B"/>
    <w:rsid w:val="001400DC"/>
    <w:rsid w:val="00140CE1"/>
    <w:rsid w:val="00153171"/>
    <w:rsid w:val="0015770D"/>
    <w:rsid w:val="0016513F"/>
    <w:rsid w:val="00170C41"/>
    <w:rsid w:val="00171529"/>
    <w:rsid w:val="001722A2"/>
    <w:rsid w:val="0017539C"/>
    <w:rsid w:val="00175AC2"/>
    <w:rsid w:val="0017609F"/>
    <w:rsid w:val="00177DFC"/>
    <w:rsid w:val="001836BB"/>
    <w:rsid w:val="0019368B"/>
    <w:rsid w:val="00193DAC"/>
    <w:rsid w:val="00194073"/>
    <w:rsid w:val="00197DD2"/>
    <w:rsid w:val="001A7D1D"/>
    <w:rsid w:val="001B0A82"/>
    <w:rsid w:val="001B1D3C"/>
    <w:rsid w:val="001B51DD"/>
    <w:rsid w:val="001C1440"/>
    <w:rsid w:val="001C2314"/>
    <w:rsid w:val="001C596C"/>
    <w:rsid w:val="001C628E"/>
    <w:rsid w:val="001E0F7B"/>
    <w:rsid w:val="001F074A"/>
    <w:rsid w:val="001F1A27"/>
    <w:rsid w:val="002119FD"/>
    <w:rsid w:val="002130E0"/>
    <w:rsid w:val="00231A68"/>
    <w:rsid w:val="002521BA"/>
    <w:rsid w:val="00253BA0"/>
    <w:rsid w:val="00264425"/>
    <w:rsid w:val="00265875"/>
    <w:rsid w:val="0027303B"/>
    <w:rsid w:val="0028109B"/>
    <w:rsid w:val="002913ED"/>
    <w:rsid w:val="002A1AE6"/>
    <w:rsid w:val="002A2188"/>
    <w:rsid w:val="002B1F58"/>
    <w:rsid w:val="002B512C"/>
    <w:rsid w:val="002B6471"/>
    <w:rsid w:val="002C1C7A"/>
    <w:rsid w:val="002C49F1"/>
    <w:rsid w:val="002C54E2"/>
    <w:rsid w:val="002C5A26"/>
    <w:rsid w:val="002D136B"/>
    <w:rsid w:val="002D5F25"/>
    <w:rsid w:val="0030160F"/>
    <w:rsid w:val="00304076"/>
    <w:rsid w:val="003075D8"/>
    <w:rsid w:val="00312322"/>
    <w:rsid w:val="00320223"/>
    <w:rsid w:val="00322D0D"/>
    <w:rsid w:val="00323E3A"/>
    <w:rsid w:val="00327875"/>
    <w:rsid w:val="00327E41"/>
    <w:rsid w:val="00334BF1"/>
    <w:rsid w:val="0034119F"/>
    <w:rsid w:val="003420C2"/>
    <w:rsid w:val="00361465"/>
    <w:rsid w:val="003741D3"/>
    <w:rsid w:val="00374DD6"/>
    <w:rsid w:val="00383647"/>
    <w:rsid w:val="00386D4D"/>
    <w:rsid w:val="003877F5"/>
    <w:rsid w:val="00390154"/>
    <w:rsid w:val="003942D4"/>
    <w:rsid w:val="003958A8"/>
    <w:rsid w:val="00395A56"/>
    <w:rsid w:val="003A3BDC"/>
    <w:rsid w:val="003A7542"/>
    <w:rsid w:val="003B4D66"/>
    <w:rsid w:val="003B773A"/>
    <w:rsid w:val="003C2533"/>
    <w:rsid w:val="003D5A7F"/>
    <w:rsid w:val="003D6F72"/>
    <w:rsid w:val="004016E2"/>
    <w:rsid w:val="0040435A"/>
    <w:rsid w:val="004072E9"/>
    <w:rsid w:val="00410949"/>
    <w:rsid w:val="00410F8B"/>
    <w:rsid w:val="00413B31"/>
    <w:rsid w:val="0041576D"/>
    <w:rsid w:val="00416A24"/>
    <w:rsid w:val="00431D9E"/>
    <w:rsid w:val="00433C73"/>
    <w:rsid w:val="00433CE8"/>
    <w:rsid w:val="00434A5C"/>
    <w:rsid w:val="00436AB7"/>
    <w:rsid w:val="004459D9"/>
    <w:rsid w:val="00446A30"/>
    <w:rsid w:val="004544D9"/>
    <w:rsid w:val="00462E3B"/>
    <w:rsid w:val="00472041"/>
    <w:rsid w:val="00472BAD"/>
    <w:rsid w:val="004822C4"/>
    <w:rsid w:val="00484009"/>
    <w:rsid w:val="00490E72"/>
    <w:rsid w:val="00491157"/>
    <w:rsid w:val="004921C8"/>
    <w:rsid w:val="0049489B"/>
    <w:rsid w:val="00495B0B"/>
    <w:rsid w:val="004A1980"/>
    <w:rsid w:val="004A1B8B"/>
    <w:rsid w:val="004A5804"/>
    <w:rsid w:val="004B7E0F"/>
    <w:rsid w:val="004D1851"/>
    <w:rsid w:val="004D28E3"/>
    <w:rsid w:val="004D599D"/>
    <w:rsid w:val="004E0E39"/>
    <w:rsid w:val="004E2EA5"/>
    <w:rsid w:val="004E3AEB"/>
    <w:rsid w:val="004E4F55"/>
    <w:rsid w:val="004E7D70"/>
    <w:rsid w:val="004F3803"/>
    <w:rsid w:val="004F7742"/>
    <w:rsid w:val="00501796"/>
    <w:rsid w:val="0050223C"/>
    <w:rsid w:val="005114C8"/>
    <w:rsid w:val="0051181E"/>
    <w:rsid w:val="005243FF"/>
    <w:rsid w:val="005259CE"/>
    <w:rsid w:val="00546B87"/>
    <w:rsid w:val="00550028"/>
    <w:rsid w:val="0055581B"/>
    <w:rsid w:val="0056361C"/>
    <w:rsid w:val="00564FBC"/>
    <w:rsid w:val="00566BE4"/>
    <w:rsid w:val="00573EB5"/>
    <w:rsid w:val="005800BC"/>
    <w:rsid w:val="00582442"/>
    <w:rsid w:val="005962CC"/>
    <w:rsid w:val="005B19AD"/>
    <w:rsid w:val="005B766E"/>
    <w:rsid w:val="005C0658"/>
    <w:rsid w:val="005D018B"/>
    <w:rsid w:val="005D2437"/>
    <w:rsid w:val="005D26C5"/>
    <w:rsid w:val="005D3EFA"/>
    <w:rsid w:val="005D65B6"/>
    <w:rsid w:val="005E3201"/>
    <w:rsid w:val="005F3269"/>
    <w:rsid w:val="00601AB4"/>
    <w:rsid w:val="006057F8"/>
    <w:rsid w:val="00610C00"/>
    <w:rsid w:val="00611253"/>
    <w:rsid w:val="006224F8"/>
    <w:rsid w:val="00623AE3"/>
    <w:rsid w:val="00624D20"/>
    <w:rsid w:val="00627E8B"/>
    <w:rsid w:val="0063436E"/>
    <w:rsid w:val="0064233E"/>
    <w:rsid w:val="00642D44"/>
    <w:rsid w:val="0064737F"/>
    <w:rsid w:val="00651377"/>
    <w:rsid w:val="006535F1"/>
    <w:rsid w:val="00653B06"/>
    <w:rsid w:val="0065557D"/>
    <w:rsid w:val="00657423"/>
    <w:rsid w:val="00660D50"/>
    <w:rsid w:val="00661434"/>
    <w:rsid w:val="006627D0"/>
    <w:rsid w:val="00662984"/>
    <w:rsid w:val="00663D4D"/>
    <w:rsid w:val="006703E6"/>
    <w:rsid w:val="006714F4"/>
    <w:rsid w:val="006716BB"/>
    <w:rsid w:val="006730F2"/>
    <w:rsid w:val="006812EF"/>
    <w:rsid w:val="006850BE"/>
    <w:rsid w:val="006918AC"/>
    <w:rsid w:val="006A51FC"/>
    <w:rsid w:val="006B1751"/>
    <w:rsid w:val="006B1859"/>
    <w:rsid w:val="006B3002"/>
    <w:rsid w:val="006B6680"/>
    <w:rsid w:val="006B6DCC"/>
    <w:rsid w:val="006C5526"/>
    <w:rsid w:val="006E107F"/>
    <w:rsid w:val="006E2191"/>
    <w:rsid w:val="006F23DD"/>
    <w:rsid w:val="00702DEF"/>
    <w:rsid w:val="00703142"/>
    <w:rsid w:val="007041DA"/>
    <w:rsid w:val="00705104"/>
    <w:rsid w:val="007051BF"/>
    <w:rsid w:val="00706861"/>
    <w:rsid w:val="00715501"/>
    <w:rsid w:val="007244B9"/>
    <w:rsid w:val="007405E4"/>
    <w:rsid w:val="0074290E"/>
    <w:rsid w:val="007432D5"/>
    <w:rsid w:val="0074567B"/>
    <w:rsid w:val="0075051B"/>
    <w:rsid w:val="00770A00"/>
    <w:rsid w:val="00786F43"/>
    <w:rsid w:val="00793188"/>
    <w:rsid w:val="00794D34"/>
    <w:rsid w:val="007A6142"/>
    <w:rsid w:val="007C03A7"/>
    <w:rsid w:val="007C129D"/>
    <w:rsid w:val="007C4D79"/>
    <w:rsid w:val="007D5343"/>
    <w:rsid w:val="007E0D55"/>
    <w:rsid w:val="007F1CF3"/>
    <w:rsid w:val="007F3093"/>
    <w:rsid w:val="007F4D12"/>
    <w:rsid w:val="007F59B3"/>
    <w:rsid w:val="007F63F7"/>
    <w:rsid w:val="007F6ADD"/>
    <w:rsid w:val="00813E5E"/>
    <w:rsid w:val="00824B00"/>
    <w:rsid w:val="008330AB"/>
    <w:rsid w:val="0083581B"/>
    <w:rsid w:val="0084243D"/>
    <w:rsid w:val="00863874"/>
    <w:rsid w:val="00864AFF"/>
    <w:rsid w:val="00865925"/>
    <w:rsid w:val="00881A82"/>
    <w:rsid w:val="00885029"/>
    <w:rsid w:val="00885F2E"/>
    <w:rsid w:val="00892CF3"/>
    <w:rsid w:val="00897A00"/>
    <w:rsid w:val="008A2630"/>
    <w:rsid w:val="008A7EF1"/>
    <w:rsid w:val="008B4A6A"/>
    <w:rsid w:val="008C2D09"/>
    <w:rsid w:val="008C7E27"/>
    <w:rsid w:val="008D2A9F"/>
    <w:rsid w:val="008D4103"/>
    <w:rsid w:val="008D57E4"/>
    <w:rsid w:val="008D649E"/>
    <w:rsid w:val="008D70E8"/>
    <w:rsid w:val="008E52FA"/>
    <w:rsid w:val="008E5A4A"/>
    <w:rsid w:val="008F4F2E"/>
    <w:rsid w:val="008F6FB3"/>
    <w:rsid w:val="008F7448"/>
    <w:rsid w:val="0090147A"/>
    <w:rsid w:val="00905336"/>
    <w:rsid w:val="009124A6"/>
    <w:rsid w:val="009156F1"/>
    <w:rsid w:val="009173EF"/>
    <w:rsid w:val="009203E1"/>
    <w:rsid w:val="00932906"/>
    <w:rsid w:val="00936B01"/>
    <w:rsid w:val="009370FB"/>
    <w:rsid w:val="00957BCE"/>
    <w:rsid w:val="00961B0B"/>
    <w:rsid w:val="0096298C"/>
    <w:rsid w:val="00962D33"/>
    <w:rsid w:val="009A18D9"/>
    <w:rsid w:val="009A62DB"/>
    <w:rsid w:val="009B38C3"/>
    <w:rsid w:val="009C2762"/>
    <w:rsid w:val="009C5CA2"/>
    <w:rsid w:val="009D4F14"/>
    <w:rsid w:val="009D6836"/>
    <w:rsid w:val="009E17BD"/>
    <w:rsid w:val="009E485A"/>
    <w:rsid w:val="009F7E36"/>
    <w:rsid w:val="00A04CEC"/>
    <w:rsid w:val="00A27F92"/>
    <w:rsid w:val="00A31F3F"/>
    <w:rsid w:val="00A32257"/>
    <w:rsid w:val="00A36D20"/>
    <w:rsid w:val="00A431A8"/>
    <w:rsid w:val="00A501D6"/>
    <w:rsid w:val="00A50CFF"/>
    <w:rsid w:val="00A514A4"/>
    <w:rsid w:val="00A524E4"/>
    <w:rsid w:val="00A52841"/>
    <w:rsid w:val="00A55622"/>
    <w:rsid w:val="00A70A90"/>
    <w:rsid w:val="00A83502"/>
    <w:rsid w:val="00A84328"/>
    <w:rsid w:val="00A90E7E"/>
    <w:rsid w:val="00AB2A25"/>
    <w:rsid w:val="00AB3CF1"/>
    <w:rsid w:val="00AC1BE6"/>
    <w:rsid w:val="00AD15B3"/>
    <w:rsid w:val="00AD3606"/>
    <w:rsid w:val="00AD4A3D"/>
    <w:rsid w:val="00AE1DFF"/>
    <w:rsid w:val="00AE67FC"/>
    <w:rsid w:val="00AF00D0"/>
    <w:rsid w:val="00AF2F6B"/>
    <w:rsid w:val="00AF302F"/>
    <w:rsid w:val="00AF6E49"/>
    <w:rsid w:val="00B04A67"/>
    <w:rsid w:val="00B0583C"/>
    <w:rsid w:val="00B11694"/>
    <w:rsid w:val="00B138EA"/>
    <w:rsid w:val="00B17D78"/>
    <w:rsid w:val="00B2144B"/>
    <w:rsid w:val="00B27D64"/>
    <w:rsid w:val="00B32A93"/>
    <w:rsid w:val="00B40A81"/>
    <w:rsid w:val="00B44910"/>
    <w:rsid w:val="00B45980"/>
    <w:rsid w:val="00B464CD"/>
    <w:rsid w:val="00B72046"/>
    <w:rsid w:val="00B72267"/>
    <w:rsid w:val="00B76EB6"/>
    <w:rsid w:val="00B77329"/>
    <w:rsid w:val="00B7737B"/>
    <w:rsid w:val="00B824C8"/>
    <w:rsid w:val="00B84B9D"/>
    <w:rsid w:val="00B92200"/>
    <w:rsid w:val="00BA68FC"/>
    <w:rsid w:val="00BC251A"/>
    <w:rsid w:val="00BD032B"/>
    <w:rsid w:val="00BD0696"/>
    <w:rsid w:val="00BD207C"/>
    <w:rsid w:val="00BE2640"/>
    <w:rsid w:val="00BF4881"/>
    <w:rsid w:val="00C01189"/>
    <w:rsid w:val="00C15456"/>
    <w:rsid w:val="00C374DE"/>
    <w:rsid w:val="00C4602D"/>
    <w:rsid w:val="00C47AD4"/>
    <w:rsid w:val="00C52D81"/>
    <w:rsid w:val="00C55198"/>
    <w:rsid w:val="00C72166"/>
    <w:rsid w:val="00C81318"/>
    <w:rsid w:val="00CA3CC9"/>
    <w:rsid w:val="00CA6393"/>
    <w:rsid w:val="00CB18FF"/>
    <w:rsid w:val="00CB1AD4"/>
    <w:rsid w:val="00CC4287"/>
    <w:rsid w:val="00CD0C08"/>
    <w:rsid w:val="00CD2596"/>
    <w:rsid w:val="00CD7065"/>
    <w:rsid w:val="00CE03FB"/>
    <w:rsid w:val="00CE433C"/>
    <w:rsid w:val="00CF0161"/>
    <w:rsid w:val="00CF0AC4"/>
    <w:rsid w:val="00CF124B"/>
    <w:rsid w:val="00CF33F3"/>
    <w:rsid w:val="00CF5223"/>
    <w:rsid w:val="00D03478"/>
    <w:rsid w:val="00D06183"/>
    <w:rsid w:val="00D140FE"/>
    <w:rsid w:val="00D14260"/>
    <w:rsid w:val="00D15E83"/>
    <w:rsid w:val="00D22C42"/>
    <w:rsid w:val="00D64CCA"/>
    <w:rsid w:val="00D65041"/>
    <w:rsid w:val="00D65BC1"/>
    <w:rsid w:val="00D661DE"/>
    <w:rsid w:val="00D70025"/>
    <w:rsid w:val="00D70ED9"/>
    <w:rsid w:val="00D74C0A"/>
    <w:rsid w:val="00D8227D"/>
    <w:rsid w:val="00D84504"/>
    <w:rsid w:val="00D966BA"/>
    <w:rsid w:val="00DB1936"/>
    <w:rsid w:val="00DB384B"/>
    <w:rsid w:val="00DB6BDD"/>
    <w:rsid w:val="00DE7A89"/>
    <w:rsid w:val="00DF0189"/>
    <w:rsid w:val="00DF20C3"/>
    <w:rsid w:val="00DF5B1D"/>
    <w:rsid w:val="00DF5B3A"/>
    <w:rsid w:val="00DF69D2"/>
    <w:rsid w:val="00E06FD5"/>
    <w:rsid w:val="00E10E80"/>
    <w:rsid w:val="00E124F0"/>
    <w:rsid w:val="00E13863"/>
    <w:rsid w:val="00E224F8"/>
    <w:rsid w:val="00E227F3"/>
    <w:rsid w:val="00E23618"/>
    <w:rsid w:val="00E23832"/>
    <w:rsid w:val="00E309C6"/>
    <w:rsid w:val="00E335C6"/>
    <w:rsid w:val="00E4399C"/>
    <w:rsid w:val="00E43BEF"/>
    <w:rsid w:val="00E545C6"/>
    <w:rsid w:val="00E60F04"/>
    <w:rsid w:val="00E65B24"/>
    <w:rsid w:val="00E854E4"/>
    <w:rsid w:val="00E86DBF"/>
    <w:rsid w:val="00E94CDB"/>
    <w:rsid w:val="00E96D2A"/>
    <w:rsid w:val="00EA1D83"/>
    <w:rsid w:val="00EA358F"/>
    <w:rsid w:val="00EB0D6F"/>
    <w:rsid w:val="00EB2232"/>
    <w:rsid w:val="00EB3442"/>
    <w:rsid w:val="00EC215C"/>
    <w:rsid w:val="00EC5337"/>
    <w:rsid w:val="00ED6829"/>
    <w:rsid w:val="00ED6D46"/>
    <w:rsid w:val="00ED7E64"/>
    <w:rsid w:val="00EE49E8"/>
    <w:rsid w:val="00EF308A"/>
    <w:rsid w:val="00EF4A96"/>
    <w:rsid w:val="00F06A7F"/>
    <w:rsid w:val="00F1529D"/>
    <w:rsid w:val="00F16724"/>
    <w:rsid w:val="00F16BAB"/>
    <w:rsid w:val="00F17DF6"/>
    <w:rsid w:val="00F2150A"/>
    <w:rsid w:val="00F231D8"/>
    <w:rsid w:val="00F24BB9"/>
    <w:rsid w:val="00F2696D"/>
    <w:rsid w:val="00F32D3D"/>
    <w:rsid w:val="00F365BB"/>
    <w:rsid w:val="00F41EB4"/>
    <w:rsid w:val="00F42314"/>
    <w:rsid w:val="00F44C00"/>
    <w:rsid w:val="00F45D2C"/>
    <w:rsid w:val="00F46644"/>
    <w:rsid w:val="00F46C5F"/>
    <w:rsid w:val="00F57722"/>
    <w:rsid w:val="00F62BC0"/>
    <w:rsid w:val="00F632C0"/>
    <w:rsid w:val="00F658AF"/>
    <w:rsid w:val="00F66005"/>
    <w:rsid w:val="00F74710"/>
    <w:rsid w:val="00F80F0B"/>
    <w:rsid w:val="00F82E1E"/>
    <w:rsid w:val="00F94051"/>
    <w:rsid w:val="00F94A63"/>
    <w:rsid w:val="00F96FD5"/>
    <w:rsid w:val="00FA1C28"/>
    <w:rsid w:val="00FB1279"/>
    <w:rsid w:val="00FB6B76"/>
    <w:rsid w:val="00FB7596"/>
    <w:rsid w:val="00FD2579"/>
    <w:rsid w:val="00FD6A7F"/>
    <w:rsid w:val="00FE4077"/>
    <w:rsid w:val="00FE500D"/>
    <w:rsid w:val="00FE6522"/>
    <w:rsid w:val="00FE7298"/>
    <w:rsid w:val="00FE77D2"/>
    <w:rsid w:val="00FF5D5D"/>
    <w:rsid w:val="00FF6CC0"/>
    <w:rsid w:val="058AC576"/>
    <w:rsid w:val="19AA7067"/>
    <w:rsid w:val="1C796D00"/>
    <w:rsid w:val="1E2D52C8"/>
    <w:rsid w:val="28EA9D13"/>
    <w:rsid w:val="3BD6A6F4"/>
    <w:rsid w:val="4022AFA4"/>
    <w:rsid w:val="42CF1146"/>
    <w:rsid w:val="481758D4"/>
    <w:rsid w:val="56C39A5B"/>
    <w:rsid w:val="56D196FD"/>
    <w:rsid w:val="5D22BD84"/>
    <w:rsid w:val="62D8C77F"/>
    <w:rsid w:val="63EF51C3"/>
    <w:rsid w:val="72634E97"/>
    <w:rsid w:val="7A27DD6A"/>
    <w:rsid w:val="7F82D1F1"/>
    <w:rsid w:val="7F8E2677"/>
    <w:rsid w:val="7FF387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link w:val="FooterChar"/>
    <w:uiPriority w:val="99"/>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850BE"/>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1">
    <w:name w:val="Subtitle1"/>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9D4F14"/>
    <w:rPr>
      <w:color w:val="605E5C"/>
      <w:shd w:val="clear" w:color="auto" w:fill="E1DFDD"/>
    </w:rPr>
  </w:style>
  <w:style w:type="paragraph" w:styleId="ListParagraph">
    <w:name w:val="List Paragraph"/>
    <w:basedOn w:val="Normal"/>
    <w:uiPriority w:val="34"/>
    <w:qFormat/>
    <w:rsid w:val="00390154"/>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 w:type="paragraph" w:styleId="NoSpacing">
    <w:name w:val="No Spacing"/>
    <w:uiPriority w:val="1"/>
    <w:qFormat/>
    <w:rsid w:val="005D018B"/>
    <w:rPr>
      <w:rFonts w:asciiTheme="minorHAnsi" w:eastAsiaTheme="minorHAnsi" w:hAnsiTheme="minorHAnsi" w:cstheme="minorBidi"/>
      <w:kern w:val="2"/>
      <w:sz w:val="24"/>
      <w:szCs w:val="24"/>
      <w:lang w:val="en-GB" w:eastAsia="en-US"/>
      <w14:ligatures w14:val="standardContextual"/>
    </w:rPr>
  </w:style>
  <w:style w:type="character" w:styleId="CommentReference">
    <w:name w:val="annotation reference"/>
    <w:basedOn w:val="DefaultParagraphFont"/>
    <w:uiPriority w:val="99"/>
    <w:semiHidden/>
    <w:unhideWhenUsed/>
    <w:qFormat/>
    <w:rsid w:val="008D70E8"/>
    <w:rPr>
      <w:sz w:val="16"/>
      <w:szCs w:val="16"/>
    </w:rPr>
  </w:style>
  <w:style w:type="paragraph" w:styleId="CommentText">
    <w:name w:val="annotation text"/>
    <w:basedOn w:val="Normal"/>
    <w:link w:val="CommentTextChar"/>
    <w:uiPriority w:val="99"/>
    <w:unhideWhenUsed/>
    <w:rsid w:val="008D70E8"/>
    <w:pPr>
      <w:suppressAutoHyphens/>
      <w:overflowPunct/>
      <w:autoSpaceDE/>
      <w:autoSpaceDN/>
      <w:adjustRightInd/>
    </w:pPr>
    <w:rPr>
      <w:sz w:val="20"/>
    </w:rPr>
  </w:style>
  <w:style w:type="character" w:customStyle="1" w:styleId="CommentTextChar">
    <w:name w:val="Comment Text Char"/>
    <w:basedOn w:val="DefaultParagraphFont"/>
    <w:link w:val="CommentText"/>
    <w:uiPriority w:val="99"/>
    <w:rsid w:val="008D70E8"/>
    <w:rPr>
      <w:rFonts w:ascii="Calibri" w:hAnsi="Calibri"/>
      <w:lang w:val="en-GB" w:eastAsia="en-US"/>
    </w:rPr>
  </w:style>
  <w:style w:type="character" w:customStyle="1" w:styleId="apple-converted-space">
    <w:name w:val="apple-converted-space"/>
    <w:basedOn w:val="DefaultParagraphFont"/>
    <w:rsid w:val="00047E35"/>
  </w:style>
  <w:style w:type="paragraph" w:styleId="Revision">
    <w:name w:val="Revision"/>
    <w:hidden/>
    <w:uiPriority w:val="99"/>
    <w:semiHidden/>
    <w:rsid w:val="004B7E0F"/>
    <w:rPr>
      <w:rFonts w:ascii="Calibri" w:hAnsi="Calibri"/>
      <w:sz w:val="24"/>
      <w:lang w:val="en-GB" w:eastAsia="en-US"/>
    </w:rPr>
  </w:style>
  <w:style w:type="paragraph" w:styleId="CommentSubject">
    <w:name w:val="annotation subject"/>
    <w:basedOn w:val="CommentText"/>
    <w:next w:val="CommentText"/>
    <w:link w:val="CommentSubjectChar"/>
    <w:semiHidden/>
    <w:unhideWhenUsed/>
    <w:rsid w:val="00D8227D"/>
    <w:pPr>
      <w:suppressAutoHyphens w:val="0"/>
      <w:overflowPunct w:val="0"/>
      <w:autoSpaceDE w:val="0"/>
      <w:autoSpaceDN w:val="0"/>
      <w:adjustRightInd w:val="0"/>
    </w:pPr>
    <w:rPr>
      <w:b/>
      <w:bCs/>
    </w:rPr>
  </w:style>
  <w:style w:type="character" w:customStyle="1" w:styleId="CommentSubjectChar">
    <w:name w:val="Comment Subject Char"/>
    <w:basedOn w:val="CommentTextChar"/>
    <w:link w:val="CommentSubject"/>
    <w:semiHidden/>
    <w:rsid w:val="00D8227D"/>
    <w:rPr>
      <w:rFonts w:ascii="Calibri" w:hAnsi="Calibri"/>
      <w:b/>
      <w:bCs/>
      <w:lang w:val="en-GB" w:eastAsia="en-US"/>
    </w:rPr>
  </w:style>
  <w:style w:type="character" w:styleId="Mention">
    <w:name w:val="Mention"/>
    <w:basedOn w:val="DefaultParagraphFont"/>
    <w:uiPriority w:val="99"/>
    <w:unhideWhenUsed/>
    <w:rsid w:val="00D8227D"/>
    <w:rPr>
      <w:color w:val="2B579A"/>
      <w:shd w:val="clear" w:color="auto" w:fill="E1DFDD"/>
    </w:rPr>
  </w:style>
  <w:style w:type="character" w:customStyle="1" w:styleId="FooterChar">
    <w:name w:val="Footer Char"/>
    <w:basedOn w:val="DefaultParagraphFont"/>
    <w:link w:val="Footer"/>
    <w:uiPriority w:val="99"/>
    <w:rsid w:val="00EF4A96"/>
    <w:rPr>
      <w:rFonts w:ascii="Calibri" w:hAnsi="Calibri"/>
      <w:caps/>
      <w:noProof/>
      <w:sz w:val="16"/>
      <w:lang w:val="en-GB" w:eastAsia="en-US"/>
    </w:rPr>
  </w:style>
  <w:style w:type="paragraph" w:customStyle="1" w:styleId="Reasons">
    <w:name w:val="Reasons"/>
    <w:basedOn w:val="Normal"/>
    <w:qFormat/>
    <w:rsid w:val="00472041"/>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250617-TD-0004/en" TargetMode="External"/><Relationship Id="rId13" Type="http://schemas.openxmlformats.org/officeDocument/2006/relationships/hyperlink" Target="http://www.itu.int/md/S25-CL-C-0033/en" TargetMode="External"/><Relationship Id="rId18" Type="http://schemas.openxmlformats.org/officeDocument/2006/relationships/hyperlink" Target="https://www.itu.int/md/S25-CL-C-0035/en" TargetMode="External"/><Relationship Id="rId26" Type="http://schemas.openxmlformats.org/officeDocument/2006/relationships/hyperlink" Target="http://council.itu.int/2025/wp-content/uploads/sites/5/2025/07/Statement_1408_Russia_250625-e-1.pdf" TargetMode="External"/><Relationship Id="rId3" Type="http://schemas.openxmlformats.org/officeDocument/2006/relationships/styles" Target="styles.xml"/><Relationship Id="rId21" Type="http://schemas.openxmlformats.org/officeDocument/2006/relationships/hyperlink" Target="http://council.itu.int/2025/wp-content/uploads/sites/5/2025/07/Statement_Palestine-250625e.pdf" TargetMode="External"/><Relationship Id="rId7" Type="http://schemas.openxmlformats.org/officeDocument/2006/relationships/endnotes" Target="endnotes.xml"/><Relationship Id="rId12" Type="http://schemas.openxmlformats.org/officeDocument/2006/relationships/hyperlink" Target="http://www.itu.int/md/S25-CL-C-0068/en" TargetMode="External"/><Relationship Id="rId17" Type="http://schemas.openxmlformats.org/officeDocument/2006/relationships/hyperlink" Target="http://www.itu.int/md/S25-CL-C-0045/en" TargetMode="External"/><Relationship Id="rId25" Type="http://schemas.openxmlformats.org/officeDocument/2006/relationships/hyperlink" Target="http://council.itu.int/2025/wp-content/uploads/sites/5/2025/07/Statement_Canada-250625-e.pdf" TargetMode="External"/><Relationship Id="rId2" Type="http://schemas.openxmlformats.org/officeDocument/2006/relationships/numbering" Target="numbering.xml"/><Relationship Id="rId16" Type="http://schemas.openxmlformats.org/officeDocument/2006/relationships/hyperlink" Target="http://www.itu.int/md/S25-CL-C-0101/en" TargetMode="External"/><Relationship Id="rId20" Type="http://schemas.openxmlformats.org/officeDocument/2006/relationships/hyperlink" Target="http://www.itu.int/md/S25-CL-C-0071/e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S25-CL-C-0071/en" TargetMode="External"/><Relationship Id="rId24" Type="http://schemas.openxmlformats.org/officeDocument/2006/relationships/hyperlink" Target="http://council.itu.int/2025/wp-content/uploads/sites/5/2025/07/Statement-joint-Poland-multicountries-250625.pdf" TargetMode="External"/><Relationship Id="rId5" Type="http://schemas.openxmlformats.org/officeDocument/2006/relationships/webSettings" Target="webSettings.xml"/><Relationship Id="rId15" Type="http://schemas.openxmlformats.org/officeDocument/2006/relationships/hyperlink" Target="http://www.itu.int/md/S25-CL-C-0058/en" TargetMode="External"/><Relationship Id="rId23" Type="http://schemas.openxmlformats.org/officeDocument/2006/relationships/hyperlink" Target="http://council.itu.int/2025/wp-content/uploads/sites/5/2025/07/Statement-joint-Ukraine-co-countries-250625-e.pdf" TargetMode="External"/><Relationship Id="rId28" Type="http://schemas.openxmlformats.org/officeDocument/2006/relationships/header" Target="header1.xml"/><Relationship Id="rId10" Type="http://schemas.openxmlformats.org/officeDocument/2006/relationships/hyperlink" Target="http://www.itu.int/md/S25-CL-C-0101/en" TargetMode="External"/><Relationship Id="rId19" Type="http://schemas.openxmlformats.org/officeDocument/2006/relationships/hyperlink" Target="http://www.itu.int/md/S25-CL-C-0072/e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tu.int/md/S25-CL-C-0058/en" TargetMode="External"/><Relationship Id="rId14" Type="http://schemas.openxmlformats.org/officeDocument/2006/relationships/hyperlink" Target="https://www.itu.int/md/S25-CL-250617-TD-0004/en" TargetMode="External"/><Relationship Id="rId22" Type="http://schemas.openxmlformats.org/officeDocument/2006/relationships/hyperlink" Target="http://www.itu.int/md/S25-CL-C-0068/en"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3201</Words>
  <Characters>20780</Characters>
  <Application>Microsoft Office Word</Application>
  <DocSecurity>0</DocSecurity>
  <Lines>173</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sixth Plenary meeting of the ITU Council-25</dc:title>
  <dc:subject/>
  <cp:keywords>C2025, C25, Council-25</cp:keywords>
  <dc:description/>
  <cp:lastModifiedBy/>
  <cp:revision>1</cp:revision>
  <dcterms:created xsi:type="dcterms:W3CDTF">2025-09-11T14:09:00Z</dcterms:created>
  <dcterms:modified xsi:type="dcterms:W3CDTF">2025-09-11T14:09:00Z</dcterms:modified>
  <cp:category/>
</cp:coreProperties>
</file>