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6"/>
        <w:gridCol w:w="2985"/>
      </w:tblGrid>
      <w:tr w:rsidR="007B0AA0" w14:paraId="092B236D" w14:textId="77777777" w:rsidTr="00191333">
        <w:tc>
          <w:tcPr>
            <w:tcW w:w="6086" w:type="dxa"/>
          </w:tcPr>
          <w:p w14:paraId="557984F0" w14:textId="040975BA" w:rsidR="007B0AA0" w:rsidRPr="007B0AA0" w:rsidRDefault="007B0AA0" w:rsidP="00F363FE">
            <w:pPr>
              <w:spacing w:before="60" w:after="60" w:line="260" w:lineRule="exact"/>
              <w:rPr>
                <w:b/>
                <w:bCs/>
                <w:lang w:bidi="ar-EG"/>
              </w:rPr>
            </w:pPr>
          </w:p>
        </w:tc>
        <w:tc>
          <w:tcPr>
            <w:tcW w:w="2985" w:type="dxa"/>
          </w:tcPr>
          <w:p w14:paraId="31EDC1A8" w14:textId="4082AD3E"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6F363C">
              <w:rPr>
                <w:b/>
                <w:bCs/>
                <w:lang w:bidi="ar-EG"/>
              </w:rPr>
              <w:t>5</w:t>
            </w:r>
            <w:r w:rsidRPr="007B0AA0">
              <w:rPr>
                <w:b/>
                <w:bCs/>
                <w:lang w:bidi="ar-EG"/>
              </w:rPr>
              <w:t>/</w:t>
            </w:r>
            <w:r w:rsidR="00FE18C2">
              <w:rPr>
                <w:b/>
                <w:bCs/>
                <w:lang w:bidi="ar-EG"/>
              </w:rPr>
              <w:t>112</w:t>
            </w:r>
            <w:r w:rsidRPr="007B0AA0">
              <w:rPr>
                <w:b/>
                <w:bCs/>
                <w:lang w:bidi="ar-EG"/>
              </w:rPr>
              <w:t>-A</w:t>
            </w:r>
          </w:p>
        </w:tc>
      </w:tr>
      <w:tr w:rsidR="007B0AA0" w14:paraId="290E45BE" w14:textId="77777777" w:rsidTr="00191333">
        <w:tc>
          <w:tcPr>
            <w:tcW w:w="6086" w:type="dxa"/>
          </w:tcPr>
          <w:p w14:paraId="56FAB475" w14:textId="77777777" w:rsidR="007B0AA0" w:rsidRPr="007B0AA0" w:rsidRDefault="007B0AA0" w:rsidP="00F363FE">
            <w:pPr>
              <w:spacing w:before="60" w:after="60" w:line="260" w:lineRule="exact"/>
              <w:rPr>
                <w:b/>
                <w:bCs/>
                <w:rtl/>
                <w:lang w:bidi="ar-EG"/>
              </w:rPr>
            </w:pPr>
          </w:p>
        </w:tc>
        <w:tc>
          <w:tcPr>
            <w:tcW w:w="2985" w:type="dxa"/>
          </w:tcPr>
          <w:p w14:paraId="6AE9DE9E" w14:textId="5D4C4F76" w:rsidR="007B0AA0" w:rsidRPr="00DA5451" w:rsidRDefault="00191333" w:rsidP="00F363FE">
            <w:pPr>
              <w:spacing w:before="60" w:after="60" w:line="260" w:lineRule="exact"/>
              <w:rPr>
                <w:b/>
                <w:bCs/>
                <w:rtl/>
                <w:lang w:bidi="ar-EG"/>
              </w:rPr>
            </w:pPr>
            <w:r w:rsidRPr="00DA5451">
              <w:rPr>
                <w:rFonts w:hint="cs"/>
                <w:b/>
                <w:bCs/>
                <w:rtl/>
              </w:rPr>
              <w:t>‏</w:t>
            </w:r>
            <w:r w:rsidR="00E11EF3">
              <w:rPr>
                <w:b/>
                <w:bCs/>
              </w:rPr>
              <w:t>9</w:t>
            </w:r>
            <w:r w:rsidRPr="00DA5451">
              <w:rPr>
                <w:rFonts w:hint="cs"/>
                <w:b/>
                <w:bCs/>
                <w:rtl/>
              </w:rPr>
              <w:t xml:space="preserve">‏ </w:t>
            </w:r>
            <w:r w:rsidR="00E11EF3">
              <w:rPr>
                <w:rFonts w:hint="cs"/>
                <w:b/>
                <w:bCs/>
                <w:rtl/>
              </w:rPr>
              <w:t>سبتمبر</w:t>
            </w:r>
            <w:r w:rsidRPr="00DA5451">
              <w:rPr>
                <w:rFonts w:hint="cs"/>
                <w:b/>
                <w:bCs/>
                <w:rtl/>
              </w:rPr>
              <w:t>‏ 2025</w:t>
            </w:r>
          </w:p>
        </w:tc>
      </w:tr>
      <w:tr w:rsidR="007B0AA0" w14:paraId="6F1A0BE0" w14:textId="77777777" w:rsidTr="00191333">
        <w:tc>
          <w:tcPr>
            <w:tcW w:w="6086" w:type="dxa"/>
          </w:tcPr>
          <w:p w14:paraId="239644B2" w14:textId="77777777" w:rsidR="007B0AA0" w:rsidRPr="007B0AA0" w:rsidRDefault="007B0AA0" w:rsidP="00F363FE">
            <w:pPr>
              <w:spacing w:before="60" w:after="60" w:line="260" w:lineRule="exact"/>
              <w:rPr>
                <w:b/>
                <w:bCs/>
                <w:rtl/>
                <w:lang w:bidi="ar-EG"/>
              </w:rPr>
            </w:pPr>
          </w:p>
        </w:tc>
        <w:tc>
          <w:tcPr>
            <w:tcW w:w="2985" w:type="dxa"/>
          </w:tcPr>
          <w:p w14:paraId="56D61CC1"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17F5FB87" w14:textId="77777777" w:rsidTr="00191333">
        <w:tc>
          <w:tcPr>
            <w:tcW w:w="6086" w:type="dxa"/>
          </w:tcPr>
          <w:p w14:paraId="55468291" w14:textId="77777777" w:rsidR="007B0AA0" w:rsidRDefault="007B0AA0" w:rsidP="00F363FE">
            <w:pPr>
              <w:spacing w:before="60" w:after="60" w:line="260" w:lineRule="exact"/>
              <w:rPr>
                <w:lang w:bidi="ar-EG"/>
              </w:rPr>
            </w:pPr>
          </w:p>
        </w:tc>
        <w:tc>
          <w:tcPr>
            <w:tcW w:w="2985" w:type="dxa"/>
          </w:tcPr>
          <w:p w14:paraId="0D0BC7A0" w14:textId="77777777" w:rsidR="007B0AA0" w:rsidRDefault="007B0AA0" w:rsidP="00F363FE">
            <w:pPr>
              <w:spacing w:before="60" w:after="60" w:line="260" w:lineRule="exact"/>
              <w:rPr>
                <w:rtl/>
                <w:lang w:bidi="ar-EG"/>
              </w:rPr>
            </w:pPr>
          </w:p>
        </w:tc>
      </w:tr>
      <w:tr w:rsidR="007B0AA0" w14:paraId="081E9187" w14:textId="77777777" w:rsidTr="00191333">
        <w:tc>
          <w:tcPr>
            <w:tcW w:w="9071" w:type="dxa"/>
            <w:gridSpan w:val="2"/>
          </w:tcPr>
          <w:p w14:paraId="52BF1893" w14:textId="5330DF33" w:rsidR="007B0AA0" w:rsidRDefault="00191333" w:rsidP="00191333">
            <w:pPr>
              <w:pStyle w:val="Source"/>
              <w:rPr>
                <w:lang w:bidi="ar-EG"/>
              </w:rPr>
            </w:pPr>
            <w:r>
              <w:rPr>
                <w:rtl/>
                <w:lang w:bidi="ar-EG"/>
              </w:rPr>
              <w:t>محضر موجز</w:t>
            </w:r>
            <w:r>
              <w:rPr>
                <w:rtl/>
                <w:lang w:bidi="ar-EG"/>
              </w:rPr>
              <w:br/>
              <w:t>للجلسة العامة</w:t>
            </w:r>
            <w:r>
              <w:rPr>
                <w:rFonts w:hint="cs"/>
                <w:rtl/>
              </w:rPr>
              <w:t xml:space="preserve"> </w:t>
            </w:r>
            <w:r w:rsidR="00FE18C2">
              <w:rPr>
                <w:rFonts w:hint="cs"/>
                <w:rtl/>
                <w:lang w:bidi="ar-EG"/>
              </w:rPr>
              <w:t>السادسة</w:t>
            </w:r>
          </w:p>
        </w:tc>
      </w:tr>
      <w:tr w:rsidR="007B0AA0" w14:paraId="79EB09D0" w14:textId="77777777" w:rsidTr="00191333">
        <w:tc>
          <w:tcPr>
            <w:tcW w:w="9071" w:type="dxa"/>
            <w:gridSpan w:val="2"/>
          </w:tcPr>
          <w:p w14:paraId="3C4B68AD" w14:textId="56FAC30A" w:rsidR="007714B6" w:rsidRDefault="00FE18C2" w:rsidP="007714B6">
            <w:pPr>
              <w:jc w:val="center"/>
            </w:pPr>
            <w:r w:rsidRPr="00FE18C2">
              <w:rPr>
                <w:rtl/>
              </w:rPr>
              <w:t>الأربعاء</w:t>
            </w:r>
            <w:r>
              <w:rPr>
                <w:rFonts w:hint="cs"/>
                <w:rtl/>
              </w:rPr>
              <w:t>،</w:t>
            </w:r>
            <w:r w:rsidRPr="00FE18C2">
              <w:rPr>
                <w:rtl/>
              </w:rPr>
              <w:t xml:space="preserve"> 25 يونيو 2025، من الساعة </w:t>
            </w:r>
            <w:r>
              <w:t>14:30</w:t>
            </w:r>
            <w:r w:rsidRPr="00FE18C2">
              <w:rPr>
                <w:rtl/>
              </w:rPr>
              <w:t xml:space="preserve"> إلى الساعة </w:t>
            </w:r>
            <w:r>
              <w:t>18:00</w:t>
            </w:r>
          </w:p>
          <w:p w14:paraId="17C19E85" w14:textId="33FB7D28" w:rsidR="007B0AA0" w:rsidRPr="005546CF" w:rsidRDefault="007714B6" w:rsidP="007714B6">
            <w:pPr>
              <w:jc w:val="center"/>
            </w:pPr>
            <w:r w:rsidRPr="007714B6">
              <w:rPr>
                <w:b/>
                <w:bCs/>
                <w:rtl/>
              </w:rPr>
              <w:t>الرئيسة</w:t>
            </w:r>
            <w:r>
              <w:rPr>
                <w:rtl/>
              </w:rPr>
              <w:t xml:space="preserve">: السيدة ك. </w:t>
            </w:r>
            <w:proofErr w:type="spellStart"/>
            <w:r>
              <w:rPr>
                <w:rtl/>
              </w:rPr>
              <w:t>فلوتور</w:t>
            </w:r>
            <w:proofErr w:type="spellEnd"/>
            <w:r>
              <w:rPr>
                <w:rtl/>
              </w:rPr>
              <w:t xml:space="preserve"> (رومانيا)</w:t>
            </w:r>
          </w:p>
        </w:tc>
      </w:tr>
    </w:tbl>
    <w:p w14:paraId="21FE2EE0" w14:textId="77777777" w:rsidR="00E61BE8" w:rsidRDefault="00E61BE8" w:rsidP="00E61BE8">
      <w:pPr>
        <w:rPr>
          <w:rtl/>
          <w:lang w:bidi="ar-EG"/>
        </w:rPr>
      </w:pPr>
    </w:p>
    <w:tbl>
      <w:tblPr>
        <w:bidiVisual/>
        <w:tblW w:w="5000" w:type="pct"/>
        <w:jc w:val="center"/>
        <w:tblLayout w:type="fixed"/>
        <w:tblLook w:val="04A0" w:firstRow="1" w:lastRow="0" w:firstColumn="1" w:lastColumn="0" w:noHBand="0" w:noVBand="1"/>
      </w:tblPr>
      <w:tblGrid>
        <w:gridCol w:w="439"/>
        <w:gridCol w:w="6644"/>
        <w:gridCol w:w="1988"/>
      </w:tblGrid>
      <w:tr w:rsidR="00191333" w:rsidRPr="00191333" w14:paraId="3D361F9B" w14:textId="77777777" w:rsidTr="00B22572">
        <w:trPr>
          <w:jc w:val="center"/>
        </w:trPr>
        <w:tc>
          <w:tcPr>
            <w:tcW w:w="242" w:type="pct"/>
          </w:tcPr>
          <w:p w14:paraId="277FC4A9" w14:textId="77777777" w:rsidR="00191333" w:rsidRPr="00191333" w:rsidRDefault="00191333" w:rsidP="009578B0">
            <w:pPr>
              <w:spacing w:before="80" w:after="80" w:line="280" w:lineRule="exact"/>
              <w:rPr>
                <w:lang w:bidi="ar-EG"/>
              </w:rPr>
            </w:pPr>
            <w:bookmarkStart w:id="0" w:name="_Hlk141438382"/>
            <w:r w:rsidRPr="00191333">
              <w:rPr>
                <w:rtl/>
              </w:rPr>
              <w:br w:type="page"/>
            </w:r>
            <w:r w:rsidRPr="00191333">
              <w:rPr>
                <w:rtl/>
              </w:rPr>
              <w:br w:type="page"/>
            </w:r>
          </w:p>
        </w:tc>
        <w:tc>
          <w:tcPr>
            <w:tcW w:w="3662" w:type="pct"/>
            <w:hideMark/>
          </w:tcPr>
          <w:p w14:paraId="6BA860DB" w14:textId="77777777" w:rsidR="00191333" w:rsidRPr="00191333" w:rsidRDefault="00191333" w:rsidP="009578B0">
            <w:pPr>
              <w:spacing w:before="80" w:after="80" w:line="280" w:lineRule="exact"/>
              <w:rPr>
                <w:b/>
                <w:bCs/>
                <w:lang w:bidi="ar-EG"/>
              </w:rPr>
            </w:pPr>
            <w:r w:rsidRPr="00191333">
              <w:rPr>
                <w:b/>
                <w:bCs/>
                <w:rtl/>
              </w:rPr>
              <w:t>المواضيع التي نوقشت</w:t>
            </w:r>
          </w:p>
        </w:tc>
        <w:tc>
          <w:tcPr>
            <w:tcW w:w="1096" w:type="pct"/>
            <w:hideMark/>
          </w:tcPr>
          <w:p w14:paraId="3598AD1E" w14:textId="77777777" w:rsidR="00191333" w:rsidRPr="00191333" w:rsidRDefault="00191333" w:rsidP="009578B0">
            <w:pPr>
              <w:spacing w:before="80" w:after="80" w:line="280" w:lineRule="exact"/>
              <w:jc w:val="center"/>
              <w:rPr>
                <w:b/>
                <w:bCs/>
                <w:lang w:bidi="ar-EG"/>
              </w:rPr>
            </w:pPr>
            <w:r w:rsidRPr="00191333">
              <w:rPr>
                <w:b/>
                <w:bCs/>
                <w:rtl/>
              </w:rPr>
              <w:t>الوثائق</w:t>
            </w:r>
          </w:p>
        </w:tc>
      </w:tr>
      <w:tr w:rsidR="007D0CEE" w:rsidRPr="00191333" w14:paraId="71AA5DD9" w14:textId="77777777" w:rsidTr="00B22572">
        <w:trPr>
          <w:trHeight w:val="20"/>
          <w:jc w:val="center"/>
        </w:trPr>
        <w:tc>
          <w:tcPr>
            <w:tcW w:w="242" w:type="pct"/>
            <w:hideMark/>
          </w:tcPr>
          <w:p w14:paraId="606750A1" w14:textId="77777777" w:rsidR="007D0CEE" w:rsidRPr="00191333" w:rsidRDefault="007D0CEE" w:rsidP="007D0CEE">
            <w:pPr>
              <w:spacing w:before="80" w:after="80" w:line="280" w:lineRule="exact"/>
              <w:rPr>
                <w:lang w:bidi="ar-EG"/>
              </w:rPr>
            </w:pPr>
            <w:bookmarkStart w:id="1" w:name="_Hlk203750205"/>
            <w:r w:rsidRPr="00191333">
              <w:rPr>
                <w:lang w:bidi="ar-EG"/>
              </w:rPr>
              <w:t>1</w:t>
            </w:r>
          </w:p>
        </w:tc>
        <w:tc>
          <w:tcPr>
            <w:tcW w:w="3662" w:type="pct"/>
          </w:tcPr>
          <w:p w14:paraId="768D09BA" w14:textId="15C7F24E" w:rsidR="007D0CEE" w:rsidRPr="00191333" w:rsidRDefault="009B6CB2" w:rsidP="007D0CEE">
            <w:pPr>
              <w:spacing w:before="80" w:after="80" w:line="280" w:lineRule="exact"/>
              <w:rPr>
                <w:lang w:bidi="ar-EG"/>
              </w:rPr>
            </w:pPr>
            <w:r w:rsidRPr="009B6CB2">
              <w:rPr>
                <w:rtl/>
                <w:lang w:bidi="ar-EG"/>
              </w:rPr>
              <w:t xml:space="preserve">أنشطة الاتحاد المتصلة بالإنترنت: القرارات 101 و102 و133 و180 و206 لمؤتمر المندوبين المفوضين </w:t>
            </w:r>
            <w:proofErr w:type="gramStart"/>
            <w:r w:rsidRPr="009B6CB2">
              <w:rPr>
                <w:rtl/>
                <w:lang w:bidi="ar-EG"/>
              </w:rPr>
              <w:t xml:space="preserve">( </w:t>
            </w:r>
            <w:r w:rsidRPr="009B6CB2">
              <w:rPr>
                <w:i/>
                <w:iCs/>
                <w:rtl/>
                <w:lang w:bidi="ar-EG"/>
              </w:rPr>
              <w:t>تابع</w:t>
            </w:r>
            <w:proofErr w:type="gramEnd"/>
            <w:r w:rsidRPr="009B6CB2">
              <w:rPr>
                <w:rtl/>
                <w:lang w:bidi="ar-EG"/>
              </w:rPr>
              <w:t>)</w:t>
            </w:r>
          </w:p>
        </w:tc>
        <w:bookmarkStart w:id="2" w:name="_Hlk201829834"/>
        <w:tc>
          <w:tcPr>
            <w:tcW w:w="1096" w:type="pct"/>
          </w:tcPr>
          <w:p w14:paraId="1BBB0B3A" w14:textId="756FB616" w:rsidR="007D0CEE" w:rsidRPr="007D0CEE" w:rsidRDefault="007D0CEE" w:rsidP="007D0CEE">
            <w:pPr>
              <w:spacing w:before="80" w:after="80" w:line="280" w:lineRule="exact"/>
              <w:jc w:val="center"/>
              <w:rPr>
                <w:u w:val="single"/>
                <w:lang w:val="en-GB" w:bidi="ar-EG"/>
              </w:rPr>
            </w:pPr>
            <w:r w:rsidRPr="007D0CEE">
              <w:rPr>
                <w:rFonts w:eastAsia="Times New Roman"/>
              </w:rPr>
              <w:fldChar w:fldCharType="begin"/>
            </w:r>
            <w:r w:rsidRPr="007D0CEE">
              <w:instrText xml:space="preserve"> HYPERLINK "http://www.itu.int/md/S25-CL-C-0033/en" </w:instrText>
            </w:r>
            <w:r w:rsidRPr="007D0CEE">
              <w:rPr>
                <w:rFonts w:eastAsia="Times New Roman"/>
              </w:rPr>
            </w:r>
            <w:r w:rsidRPr="007D0CEE">
              <w:rPr>
                <w:rFonts w:eastAsia="Times New Roman"/>
              </w:rPr>
              <w:fldChar w:fldCharType="separate"/>
            </w:r>
            <w:r w:rsidRPr="007D0CEE">
              <w:rPr>
                <w:rStyle w:val="Hyperlink"/>
                <w:rFonts w:eastAsiaTheme="majorEastAsia"/>
              </w:rPr>
              <w:t>C25/33</w:t>
            </w:r>
            <w:r w:rsidRPr="007D0CEE">
              <w:rPr>
                <w:rStyle w:val="Hyperlink"/>
                <w:rFonts w:eastAsiaTheme="majorEastAsia"/>
              </w:rPr>
              <w:fldChar w:fldCharType="end"/>
            </w:r>
            <w:r>
              <w:rPr>
                <w:rFonts w:hint="cs"/>
                <w:rtl/>
              </w:rPr>
              <w:t xml:space="preserve">، </w:t>
            </w:r>
            <w:hyperlink r:id="rId8" w:history="1">
              <w:r w:rsidRPr="007D0CEE">
                <w:rPr>
                  <w:rStyle w:val="Hyperlink"/>
                </w:rPr>
                <w:t>C25/DT/4</w:t>
              </w:r>
            </w:hyperlink>
            <w:bookmarkEnd w:id="2"/>
          </w:p>
        </w:tc>
      </w:tr>
      <w:tr w:rsidR="007D0CEE" w:rsidRPr="00191333" w14:paraId="36C9CBBC" w14:textId="77777777" w:rsidTr="00056CB2">
        <w:trPr>
          <w:trHeight w:val="20"/>
          <w:jc w:val="center"/>
        </w:trPr>
        <w:tc>
          <w:tcPr>
            <w:tcW w:w="242" w:type="pct"/>
          </w:tcPr>
          <w:p w14:paraId="2FDF4D5C" w14:textId="77777777" w:rsidR="007D0CEE" w:rsidRPr="00191333" w:rsidRDefault="007D0CEE" w:rsidP="007D0CEE">
            <w:pPr>
              <w:spacing w:before="80" w:after="80" w:line="280" w:lineRule="exact"/>
              <w:rPr>
                <w:lang w:bidi="ar-EG"/>
              </w:rPr>
            </w:pPr>
            <w:r w:rsidRPr="00191333">
              <w:rPr>
                <w:lang w:bidi="ar-EG"/>
              </w:rPr>
              <w:t>2</w:t>
            </w:r>
          </w:p>
        </w:tc>
        <w:tc>
          <w:tcPr>
            <w:tcW w:w="3662" w:type="pct"/>
          </w:tcPr>
          <w:p w14:paraId="24A7A242" w14:textId="52EDA8A9" w:rsidR="007D0CEE" w:rsidRPr="00191333" w:rsidRDefault="009B6CB2" w:rsidP="007D0CEE">
            <w:pPr>
              <w:spacing w:before="80" w:after="80" w:line="280" w:lineRule="exact"/>
              <w:rPr>
                <w:rtl/>
                <w:lang w:bidi="ar-EG"/>
              </w:rPr>
            </w:pPr>
            <w:r w:rsidRPr="009B6CB2">
              <w:rPr>
                <w:rtl/>
                <w:lang w:bidi="ar-EG"/>
              </w:rPr>
              <w:t xml:space="preserve">تقرير عن الأماكن المقترحة لجمعية الاتصالات الراديوية </w:t>
            </w:r>
            <w:r w:rsidR="003F46B9">
              <w:rPr>
                <w:rFonts w:hint="cs"/>
                <w:rtl/>
                <w:lang w:bidi="ar-EG"/>
              </w:rPr>
              <w:t>ل</w:t>
            </w:r>
            <w:r w:rsidRPr="009B6CB2">
              <w:rPr>
                <w:rtl/>
                <w:lang w:bidi="ar-EG"/>
              </w:rPr>
              <w:t>عام 2027 (</w:t>
            </w:r>
            <w:r w:rsidRPr="009B6CB2">
              <w:rPr>
                <w:lang w:bidi="ar-EG"/>
              </w:rPr>
              <w:t>RA-27</w:t>
            </w:r>
            <w:r w:rsidRPr="009B6CB2">
              <w:rPr>
                <w:rtl/>
                <w:lang w:bidi="ar-EG"/>
              </w:rPr>
              <w:t xml:space="preserve">) والمؤتمر العالمي للاتصالات الراديوية </w:t>
            </w:r>
            <w:r w:rsidR="003F46B9">
              <w:rPr>
                <w:rFonts w:hint="cs"/>
                <w:rtl/>
                <w:lang w:bidi="ar-EG"/>
              </w:rPr>
              <w:t>ل</w:t>
            </w:r>
            <w:r w:rsidRPr="009B6CB2">
              <w:rPr>
                <w:rtl/>
                <w:lang w:bidi="ar-EG"/>
              </w:rPr>
              <w:t>عام 2027 (</w:t>
            </w:r>
            <w:r w:rsidRPr="009B6CB2">
              <w:rPr>
                <w:lang w:bidi="ar-EG"/>
              </w:rPr>
              <w:t>WRC-27</w:t>
            </w:r>
            <w:r w:rsidRPr="009B6CB2">
              <w:rPr>
                <w:rtl/>
                <w:lang w:bidi="ar-EG"/>
              </w:rPr>
              <w:t>) والدورة الأولى للاجتماع التحضيري للمؤتمر (</w:t>
            </w:r>
            <w:r w:rsidRPr="009B6CB2">
              <w:rPr>
                <w:lang w:bidi="ar-EG"/>
              </w:rPr>
              <w:t>CPM31-1</w:t>
            </w:r>
            <w:r w:rsidRPr="009B6CB2">
              <w:rPr>
                <w:rtl/>
                <w:lang w:bidi="ar-EG"/>
              </w:rPr>
              <w:t xml:space="preserve">) </w:t>
            </w:r>
            <w:proofErr w:type="gramStart"/>
            <w:r w:rsidRPr="009B6CB2">
              <w:rPr>
                <w:rtl/>
                <w:lang w:bidi="ar-EG"/>
              </w:rPr>
              <w:t xml:space="preserve">( </w:t>
            </w:r>
            <w:r w:rsidRPr="009B6CB2">
              <w:rPr>
                <w:i/>
                <w:iCs/>
                <w:rtl/>
                <w:lang w:bidi="ar-EG"/>
              </w:rPr>
              <w:t>تابع</w:t>
            </w:r>
            <w:proofErr w:type="gramEnd"/>
            <w:r w:rsidRPr="009B6CB2">
              <w:rPr>
                <w:rtl/>
                <w:lang w:bidi="ar-EG"/>
              </w:rPr>
              <w:t>)</w:t>
            </w:r>
          </w:p>
        </w:tc>
        <w:tc>
          <w:tcPr>
            <w:tcW w:w="1096" w:type="pct"/>
          </w:tcPr>
          <w:p w14:paraId="4E087DAA" w14:textId="6F961930" w:rsidR="007D0CEE" w:rsidRPr="00045CD7" w:rsidRDefault="007D0CEE" w:rsidP="007D0CEE">
            <w:pPr>
              <w:spacing w:before="80" w:after="80" w:line="280" w:lineRule="exact"/>
              <w:jc w:val="center"/>
              <w:rPr>
                <w:u w:val="single"/>
                <w:lang w:bidi="ar-EG"/>
              </w:rPr>
            </w:pPr>
            <w:hyperlink r:id="rId9">
              <w:r w:rsidRPr="007D0CEE">
                <w:rPr>
                  <w:rStyle w:val="Hyperlink"/>
                  <w:rFonts w:eastAsiaTheme="majorEastAsia"/>
                </w:rPr>
                <w:t>C25/58</w:t>
              </w:r>
            </w:hyperlink>
            <w:r>
              <w:rPr>
                <w:rStyle w:val="Hyperlink"/>
                <w:rFonts w:eastAsiaTheme="majorEastAsia" w:hint="cs"/>
                <w:noProof w:val="0"/>
                <w:rtl/>
              </w:rPr>
              <w:t xml:space="preserve"> </w:t>
            </w:r>
            <w:r>
              <w:rPr>
                <w:rStyle w:val="Hyperlink"/>
                <w:rFonts w:eastAsiaTheme="majorEastAsia" w:hint="cs"/>
                <w:rtl/>
              </w:rPr>
              <w:t>+</w:t>
            </w:r>
            <w:r w:rsidR="008A78B1">
              <w:rPr>
                <w:rStyle w:val="Hyperlink"/>
                <w:rFonts w:eastAsiaTheme="majorEastAsia" w:hint="eastAsia"/>
                <w:rtl/>
              </w:rPr>
              <w:t> </w:t>
            </w:r>
            <w:r>
              <w:rPr>
                <w:rStyle w:val="Hyperlink"/>
                <w:rFonts w:eastAsiaTheme="majorEastAsia" w:hint="cs"/>
                <w:rtl/>
              </w:rPr>
              <w:t>الإضافتان 1</w:t>
            </w:r>
            <w:r>
              <w:rPr>
                <w:rStyle w:val="Hyperlink"/>
                <w:rFonts w:eastAsiaTheme="majorEastAsia" w:hint="eastAsia"/>
                <w:rtl/>
              </w:rPr>
              <w:t> </w:t>
            </w:r>
            <w:r>
              <w:rPr>
                <w:rStyle w:val="Hyperlink"/>
                <w:rFonts w:eastAsiaTheme="majorEastAsia" w:hint="cs"/>
                <w:rtl/>
              </w:rPr>
              <w:t>و2</w:t>
            </w:r>
            <w:r>
              <w:rPr>
                <w:rFonts w:hint="cs"/>
                <w:rtl/>
              </w:rPr>
              <w:t xml:space="preserve">، </w:t>
            </w:r>
            <w:hyperlink r:id="rId10" w:history="1">
              <w:r w:rsidRPr="00045CD7">
                <w:rPr>
                  <w:rStyle w:val="Hyperlink"/>
                  <w:rFonts w:eastAsiaTheme="majorEastAsia"/>
                </w:rPr>
                <w:t>C25/10</w:t>
              </w:r>
              <w:r w:rsidR="00045CD7" w:rsidRPr="00045CD7">
                <w:rPr>
                  <w:rStyle w:val="Hyperlink"/>
                  <w:rFonts w:eastAsiaTheme="majorEastAsia"/>
                  <w:lang w:val="en-US"/>
                </w:rPr>
                <w:t>1</w:t>
              </w:r>
            </w:hyperlink>
          </w:p>
        </w:tc>
      </w:tr>
      <w:tr w:rsidR="007D0CEE" w:rsidRPr="00191333" w14:paraId="7875A704" w14:textId="77777777" w:rsidTr="00B22572">
        <w:trPr>
          <w:trHeight w:val="20"/>
          <w:jc w:val="center"/>
        </w:trPr>
        <w:tc>
          <w:tcPr>
            <w:tcW w:w="242" w:type="pct"/>
          </w:tcPr>
          <w:p w14:paraId="7699B121" w14:textId="77777777" w:rsidR="007D0CEE" w:rsidRPr="00191333" w:rsidRDefault="007D0CEE" w:rsidP="007D0CEE">
            <w:pPr>
              <w:spacing w:before="80" w:after="80" w:line="280" w:lineRule="exact"/>
              <w:rPr>
                <w:lang w:bidi="ar-EG"/>
              </w:rPr>
            </w:pPr>
            <w:r w:rsidRPr="00191333">
              <w:rPr>
                <w:lang w:bidi="ar-EG"/>
              </w:rPr>
              <w:t>3</w:t>
            </w:r>
          </w:p>
        </w:tc>
        <w:tc>
          <w:tcPr>
            <w:tcW w:w="3662" w:type="pct"/>
          </w:tcPr>
          <w:p w14:paraId="012D23EC" w14:textId="0E6BAD48" w:rsidR="007D0CEE" w:rsidRPr="00E11EF3" w:rsidRDefault="009B6CB2" w:rsidP="007D0CEE">
            <w:pPr>
              <w:spacing w:before="80" w:after="80" w:line="280" w:lineRule="exact"/>
              <w:rPr>
                <w:spacing w:val="-2"/>
                <w:rtl/>
                <w:lang w:bidi="ar-EG"/>
              </w:rPr>
            </w:pPr>
            <w:r w:rsidRPr="00E11EF3">
              <w:rPr>
                <w:spacing w:val="-2"/>
                <w:rtl/>
                <w:lang w:bidi="ar-EG"/>
              </w:rPr>
              <w:t>أنشطة الاتحاد بشأن تنفيذ قرار المجلس 1429 (الصادر في دورة المجلس لعام</w:t>
            </w:r>
            <w:r w:rsidRPr="00E11EF3">
              <w:rPr>
                <w:rFonts w:hint="cs"/>
                <w:spacing w:val="-2"/>
                <w:rtl/>
                <w:lang w:bidi="ar-EG"/>
              </w:rPr>
              <w:t> </w:t>
            </w:r>
            <w:r w:rsidRPr="00E11EF3">
              <w:rPr>
                <w:spacing w:val="-2"/>
                <w:rtl/>
                <w:lang w:bidi="ar-EG"/>
              </w:rPr>
              <w:t>2024) بشأن الاستدامة البيئية</w:t>
            </w:r>
          </w:p>
        </w:tc>
        <w:bookmarkStart w:id="3" w:name="_Hlk201829941"/>
        <w:tc>
          <w:tcPr>
            <w:tcW w:w="1096" w:type="pct"/>
          </w:tcPr>
          <w:p w14:paraId="3BC7BB9F" w14:textId="62CFEA7F" w:rsidR="007D0CEE" w:rsidRPr="007D0CEE" w:rsidRDefault="007D0CEE" w:rsidP="007D0CEE">
            <w:pPr>
              <w:spacing w:before="80" w:after="80" w:line="280" w:lineRule="exact"/>
              <w:jc w:val="center"/>
              <w:rPr>
                <w:u w:val="single"/>
                <w:lang w:val="en-GB" w:bidi="ar-EG"/>
              </w:rPr>
            </w:pPr>
            <w:r w:rsidRPr="007D0CEE">
              <w:fldChar w:fldCharType="begin"/>
            </w:r>
            <w:r w:rsidRPr="007D0CEE">
              <w:instrText>HYPERLINK "http://www.itu.int/md/S25-CL-C-0045/en"</w:instrText>
            </w:r>
            <w:r w:rsidRPr="007D0CEE">
              <w:fldChar w:fldCharType="separate"/>
            </w:r>
            <w:r w:rsidRPr="007D0CEE">
              <w:rPr>
                <w:rStyle w:val="Hyperlink"/>
                <w:rFonts w:eastAsiaTheme="majorEastAsia"/>
              </w:rPr>
              <w:t>C25/45</w:t>
            </w:r>
            <w:r w:rsidRPr="007D0CEE">
              <w:fldChar w:fldCharType="end"/>
            </w:r>
            <w:bookmarkEnd w:id="3"/>
          </w:p>
        </w:tc>
      </w:tr>
      <w:tr w:rsidR="007D0CEE" w:rsidRPr="00191333" w14:paraId="0918D1AC" w14:textId="77777777" w:rsidTr="00B22572">
        <w:trPr>
          <w:trHeight w:val="20"/>
          <w:jc w:val="center"/>
        </w:trPr>
        <w:tc>
          <w:tcPr>
            <w:tcW w:w="242" w:type="pct"/>
          </w:tcPr>
          <w:p w14:paraId="54952B1B" w14:textId="77777777" w:rsidR="007D0CEE" w:rsidRPr="00191333" w:rsidRDefault="007D0CEE" w:rsidP="007D0CEE">
            <w:pPr>
              <w:spacing w:before="80" w:after="80" w:line="280" w:lineRule="exact"/>
              <w:rPr>
                <w:lang w:bidi="ar-EG"/>
              </w:rPr>
            </w:pPr>
            <w:r w:rsidRPr="00191333">
              <w:rPr>
                <w:lang w:bidi="ar-EG"/>
              </w:rPr>
              <w:t>4</w:t>
            </w:r>
          </w:p>
        </w:tc>
        <w:tc>
          <w:tcPr>
            <w:tcW w:w="3662" w:type="pct"/>
          </w:tcPr>
          <w:p w14:paraId="79A37EF3" w14:textId="18496C7A" w:rsidR="007D0CEE" w:rsidRPr="00191333" w:rsidRDefault="009B6CB2" w:rsidP="007D0CEE">
            <w:pPr>
              <w:spacing w:before="80" w:after="80" w:line="280" w:lineRule="exact"/>
              <w:rPr>
                <w:lang w:bidi="ar-EG"/>
              </w:rPr>
            </w:pPr>
            <w:r w:rsidRPr="009B6CB2">
              <w:rPr>
                <w:rtl/>
                <w:lang w:bidi="ar-EG"/>
              </w:rPr>
              <w:t>الأنشطة الداعمة لإعادة بناء البنية التحتية في البلدان المعنية</w:t>
            </w:r>
          </w:p>
        </w:tc>
        <w:bookmarkStart w:id="4" w:name="_Hlk201830001"/>
        <w:tc>
          <w:tcPr>
            <w:tcW w:w="1096" w:type="pct"/>
          </w:tcPr>
          <w:p w14:paraId="104A2FCF" w14:textId="5C44BE75" w:rsidR="007D0CEE" w:rsidRPr="007D0CEE" w:rsidRDefault="007D0CEE" w:rsidP="007D0CEE">
            <w:pPr>
              <w:spacing w:before="80" w:after="80" w:line="280" w:lineRule="exact"/>
              <w:jc w:val="center"/>
              <w:rPr>
                <w:u w:val="single"/>
                <w:lang w:val="en-GB" w:bidi="ar-EG"/>
              </w:rPr>
            </w:pPr>
            <w:r w:rsidRPr="007D0CEE">
              <w:fldChar w:fldCharType="begin"/>
            </w:r>
            <w:r w:rsidRPr="007D0CEE">
              <w:instrText>HYPERLINK "http://www.itu.int/md/S25-CL-C-0072/en"</w:instrText>
            </w:r>
            <w:r w:rsidRPr="007D0CEE">
              <w:fldChar w:fldCharType="separate"/>
            </w:r>
            <w:r w:rsidRPr="007D0CEE">
              <w:rPr>
                <w:rStyle w:val="Hyperlink"/>
                <w:rFonts w:eastAsiaTheme="majorEastAsia"/>
              </w:rPr>
              <w:t>C25/72</w:t>
            </w:r>
            <w:r w:rsidRPr="007D0CEE">
              <w:fldChar w:fldCharType="end"/>
            </w:r>
            <w:bookmarkEnd w:id="4"/>
          </w:p>
        </w:tc>
      </w:tr>
      <w:tr w:rsidR="007D0CEE" w:rsidRPr="00191333" w14:paraId="1DE87F75" w14:textId="77777777" w:rsidTr="00B22572">
        <w:trPr>
          <w:trHeight w:val="20"/>
          <w:jc w:val="center"/>
        </w:trPr>
        <w:tc>
          <w:tcPr>
            <w:tcW w:w="242" w:type="pct"/>
          </w:tcPr>
          <w:p w14:paraId="1830732D" w14:textId="77777777" w:rsidR="007D0CEE" w:rsidRPr="00191333" w:rsidRDefault="007D0CEE" w:rsidP="007D0CEE">
            <w:pPr>
              <w:spacing w:before="80" w:after="80" w:line="280" w:lineRule="exact"/>
              <w:rPr>
                <w:lang w:bidi="ar-EG"/>
              </w:rPr>
            </w:pPr>
            <w:r w:rsidRPr="00191333">
              <w:rPr>
                <w:lang w:bidi="ar-EG"/>
              </w:rPr>
              <w:t>5</w:t>
            </w:r>
          </w:p>
        </w:tc>
        <w:tc>
          <w:tcPr>
            <w:tcW w:w="3662" w:type="pct"/>
          </w:tcPr>
          <w:p w14:paraId="15BF47F6" w14:textId="632D788E" w:rsidR="007D0CEE" w:rsidRPr="00191333" w:rsidRDefault="009B6CB2" w:rsidP="007D0CEE">
            <w:pPr>
              <w:spacing w:before="80" w:after="80" w:line="280" w:lineRule="exact"/>
              <w:rPr>
                <w:lang w:bidi="ar-EG"/>
              </w:rPr>
            </w:pPr>
            <w:r w:rsidRPr="009B6CB2">
              <w:rPr>
                <w:rtl/>
                <w:lang w:bidi="ar-EG"/>
              </w:rPr>
              <w:t>تقرير حالة عن المساعدة والدعم المقدمين إلى فلسطين</w:t>
            </w:r>
          </w:p>
        </w:tc>
        <w:tc>
          <w:tcPr>
            <w:tcW w:w="1096" w:type="pct"/>
          </w:tcPr>
          <w:p w14:paraId="66386E33" w14:textId="6CAC811A" w:rsidR="007D0CEE" w:rsidRPr="007D0CEE" w:rsidRDefault="007D0CEE" w:rsidP="007D0CEE">
            <w:pPr>
              <w:spacing w:before="80" w:after="80" w:line="280" w:lineRule="exact"/>
              <w:jc w:val="center"/>
              <w:rPr>
                <w:u w:val="single"/>
                <w:lang w:val="en-GB" w:bidi="ar-EG"/>
              </w:rPr>
            </w:pPr>
            <w:hyperlink r:id="rId11">
              <w:r w:rsidRPr="007D0CEE">
                <w:rPr>
                  <w:rStyle w:val="Hyperlink"/>
                  <w:rFonts w:eastAsiaTheme="majorEastAsia"/>
                </w:rPr>
                <w:t>C25/71</w:t>
              </w:r>
            </w:hyperlink>
          </w:p>
        </w:tc>
      </w:tr>
      <w:tr w:rsidR="007D0CEE" w:rsidRPr="00191333" w14:paraId="71AC83EB" w14:textId="77777777" w:rsidTr="00B22572">
        <w:trPr>
          <w:trHeight w:val="20"/>
          <w:jc w:val="center"/>
        </w:trPr>
        <w:tc>
          <w:tcPr>
            <w:tcW w:w="242" w:type="pct"/>
          </w:tcPr>
          <w:p w14:paraId="7B6E78AD" w14:textId="77777777" w:rsidR="007D0CEE" w:rsidRPr="00191333" w:rsidRDefault="007D0CEE" w:rsidP="007D0CEE">
            <w:pPr>
              <w:spacing w:before="80" w:after="80" w:line="280" w:lineRule="exact"/>
              <w:rPr>
                <w:lang w:bidi="ar-EG"/>
              </w:rPr>
            </w:pPr>
            <w:r w:rsidRPr="00191333">
              <w:rPr>
                <w:lang w:bidi="ar-EG"/>
              </w:rPr>
              <w:t>6</w:t>
            </w:r>
          </w:p>
        </w:tc>
        <w:tc>
          <w:tcPr>
            <w:tcW w:w="3662" w:type="pct"/>
          </w:tcPr>
          <w:p w14:paraId="5818887F" w14:textId="0C1E7EA1" w:rsidR="007D0CEE" w:rsidRPr="00682E89" w:rsidRDefault="009B6CB2" w:rsidP="007D0CEE">
            <w:pPr>
              <w:spacing w:before="80" w:after="80" w:line="280" w:lineRule="exact"/>
              <w:rPr>
                <w:spacing w:val="-2"/>
                <w:lang w:bidi="ar-EG"/>
              </w:rPr>
            </w:pPr>
            <w:r w:rsidRPr="00682E89">
              <w:rPr>
                <w:spacing w:val="-2"/>
                <w:rtl/>
                <w:lang w:bidi="ar-EG"/>
              </w:rPr>
              <w:t>معلومات محدَّثة عن تنفيذ قرار المجلس 1408 (الصادر في دورة المجلس لعام</w:t>
            </w:r>
            <w:r w:rsidRPr="00682E89">
              <w:rPr>
                <w:rFonts w:hint="eastAsia"/>
                <w:spacing w:val="-2"/>
                <w:rtl/>
              </w:rPr>
              <w:t> </w:t>
            </w:r>
            <w:r w:rsidRPr="00682E89">
              <w:rPr>
                <w:spacing w:val="-2"/>
                <w:rtl/>
                <w:lang w:bidi="ar-EG"/>
              </w:rPr>
              <w:t xml:space="preserve">2022، والمعدّل آخر مرة في </w:t>
            </w:r>
            <w:r w:rsidR="00C8018E" w:rsidRPr="00682E89">
              <w:rPr>
                <w:rFonts w:hint="cs"/>
                <w:spacing w:val="-2"/>
                <w:rtl/>
                <w:lang w:bidi="ar-EG"/>
              </w:rPr>
              <w:t>دورته</w:t>
            </w:r>
            <w:r w:rsidRPr="00682E89">
              <w:rPr>
                <w:spacing w:val="-2"/>
                <w:rtl/>
                <w:lang w:bidi="ar-EG"/>
              </w:rPr>
              <w:t xml:space="preserve"> لعام 2023)، بشأن تقديم المساعدة والدعم إلى أوكرانيا لإعادة بناء قطاع اتصالاتها</w:t>
            </w:r>
          </w:p>
        </w:tc>
        <w:tc>
          <w:tcPr>
            <w:tcW w:w="1096" w:type="pct"/>
          </w:tcPr>
          <w:p w14:paraId="40394F85" w14:textId="5F5FB2C6" w:rsidR="007D0CEE" w:rsidRPr="007D0CEE" w:rsidRDefault="007D0CEE" w:rsidP="007D0CEE">
            <w:pPr>
              <w:spacing w:before="80" w:after="80" w:line="280" w:lineRule="exact"/>
              <w:jc w:val="center"/>
              <w:rPr>
                <w:lang w:bidi="ar-EG"/>
              </w:rPr>
            </w:pPr>
            <w:hyperlink r:id="rId12">
              <w:r w:rsidRPr="007D0CEE">
                <w:rPr>
                  <w:rStyle w:val="Hyperlink"/>
                  <w:rFonts w:eastAsiaTheme="majorEastAsia"/>
                </w:rPr>
                <w:t>C25/68</w:t>
              </w:r>
            </w:hyperlink>
          </w:p>
        </w:tc>
      </w:tr>
      <w:bookmarkEnd w:id="0"/>
      <w:bookmarkEnd w:id="1"/>
    </w:tbl>
    <w:p w14:paraId="2F5905A4" w14:textId="77777777" w:rsidR="00F50E3F" w:rsidRDefault="00F50E3F" w:rsidP="0043260A">
      <w:pPr>
        <w:rPr>
          <w:rtl/>
          <w:lang w:bidi="ar-EG"/>
        </w:rPr>
      </w:pPr>
      <w:r>
        <w:rPr>
          <w:rtl/>
          <w:lang w:bidi="ar-EG"/>
        </w:rPr>
        <w:br w:type="page"/>
      </w:r>
    </w:p>
    <w:p w14:paraId="1B7598EB" w14:textId="0C72B2F8" w:rsidR="00243F39" w:rsidRPr="00E11EF3" w:rsidRDefault="00243F39" w:rsidP="00243F39">
      <w:pPr>
        <w:pStyle w:val="Heading1"/>
        <w:rPr>
          <w:spacing w:val="-2"/>
          <w:rtl/>
          <w:lang w:bidi="ar-EG"/>
        </w:rPr>
      </w:pPr>
      <w:r w:rsidRPr="00E11EF3">
        <w:rPr>
          <w:spacing w:val="-2"/>
          <w:rtl/>
          <w:lang w:bidi="ar-EG"/>
        </w:rPr>
        <w:lastRenderedPageBreak/>
        <w:t>1</w:t>
      </w:r>
      <w:r w:rsidRPr="00E11EF3">
        <w:rPr>
          <w:spacing w:val="-2"/>
          <w:rtl/>
          <w:lang w:bidi="ar-EG"/>
        </w:rPr>
        <w:tab/>
        <w:t xml:space="preserve">أنشطة الاتحاد المتصلة بالإنترنت: القرارات 101 و102 و133 و180 و206 لمؤتمر المندوبين المفوضين </w:t>
      </w:r>
      <w:proofErr w:type="gramStart"/>
      <w:r w:rsidRPr="00E11EF3">
        <w:rPr>
          <w:spacing w:val="-2"/>
          <w:rtl/>
          <w:lang w:bidi="ar-EG"/>
        </w:rPr>
        <w:t>(</w:t>
      </w:r>
      <w:r w:rsidR="0023364F" w:rsidRPr="00E11EF3">
        <w:rPr>
          <w:rFonts w:hint="eastAsia"/>
          <w:spacing w:val="-2"/>
          <w:rtl/>
        </w:rPr>
        <w:t> </w:t>
      </w:r>
      <w:r w:rsidRPr="00E11EF3">
        <w:rPr>
          <w:i/>
          <w:iCs/>
          <w:spacing w:val="-2"/>
          <w:rtl/>
          <w:lang w:bidi="ar-EG"/>
        </w:rPr>
        <w:t>تابع</w:t>
      </w:r>
      <w:proofErr w:type="gramEnd"/>
      <w:r w:rsidRPr="00E11EF3">
        <w:rPr>
          <w:spacing w:val="-2"/>
          <w:rtl/>
          <w:lang w:bidi="ar-EG"/>
        </w:rPr>
        <w:t xml:space="preserve">) (الوثيقتان </w:t>
      </w:r>
      <w:hyperlink r:id="rId13" w:history="1">
        <w:r w:rsidRPr="00E11EF3">
          <w:rPr>
            <w:rStyle w:val="Hyperlink"/>
            <w:noProof w:val="0"/>
            <w:spacing w:val="-2"/>
            <w:lang w:val="en-US" w:eastAsia="zh-CN" w:bidi="ar-EG"/>
          </w:rPr>
          <w:t>C25/33</w:t>
        </w:r>
      </w:hyperlink>
      <w:r w:rsidRPr="00E11EF3">
        <w:rPr>
          <w:spacing w:val="-2"/>
          <w:rtl/>
          <w:lang w:bidi="ar-EG"/>
        </w:rPr>
        <w:t xml:space="preserve"> و</w:t>
      </w:r>
      <w:hyperlink r:id="rId14" w:history="1">
        <w:r w:rsidRPr="00E11EF3">
          <w:rPr>
            <w:rStyle w:val="Hyperlink"/>
            <w:noProof w:val="0"/>
            <w:spacing w:val="-2"/>
            <w:lang w:val="en-US" w:eastAsia="zh-CN" w:bidi="ar-EG"/>
          </w:rPr>
          <w:t>C25/DT/4</w:t>
        </w:r>
      </w:hyperlink>
      <w:r w:rsidRPr="00E11EF3">
        <w:rPr>
          <w:spacing w:val="-2"/>
          <w:rtl/>
          <w:lang w:bidi="ar-EG"/>
        </w:rPr>
        <w:t>)</w:t>
      </w:r>
    </w:p>
    <w:p w14:paraId="09783090" w14:textId="11618FEE" w:rsidR="00243F39" w:rsidRPr="00243F39" w:rsidRDefault="0023364F" w:rsidP="00243F39">
      <w:pPr>
        <w:rPr>
          <w:rtl/>
          <w:lang w:bidi="ar-EG"/>
        </w:rPr>
      </w:pPr>
      <w:r>
        <w:rPr>
          <w:rFonts w:hint="cs"/>
          <w:rtl/>
          <w:lang w:bidi="ar-EG"/>
        </w:rPr>
        <w:t>1.1</w:t>
      </w:r>
      <w:r w:rsidR="00243F39" w:rsidRPr="00243F39">
        <w:rPr>
          <w:rtl/>
          <w:lang w:bidi="ar-EG"/>
        </w:rPr>
        <w:tab/>
        <w:t xml:space="preserve">قالت الرئيسة إن الوثيقة </w:t>
      </w:r>
      <w:r w:rsidR="00243F39" w:rsidRPr="00243F39">
        <w:rPr>
          <w:lang w:bidi="ar-EG"/>
        </w:rPr>
        <w:t>C25/DT/4</w:t>
      </w:r>
      <w:r w:rsidR="00243F39" w:rsidRPr="00243F39">
        <w:rPr>
          <w:rtl/>
          <w:lang w:bidi="ar-EG"/>
        </w:rPr>
        <w:t xml:space="preserve"> تتضمن مجموعة الوثائق المتعلقة بأنشطة الاتحاد المتصلة بالإنترنت بموجب القرارات 101 و102 و133 و180 و206 لمؤتمر المندوبين المفوضين التي ستحال إلى الأمين العام للأمم المتحدة. وتتضمن المجموعة تقرير الأمينة العامة للاتحاد إلى دورة المجلس لعام 2025 بشأن أنشطة الاتحاد بموجب قراراته المتعلقة بالإنترنت، والوارد في الوثيقة </w:t>
      </w:r>
      <w:r w:rsidR="00243F39" w:rsidRPr="00243F39">
        <w:rPr>
          <w:lang w:bidi="ar-EG"/>
        </w:rPr>
        <w:t>C25/33</w:t>
      </w:r>
      <w:r w:rsidR="00243F39" w:rsidRPr="00243F39">
        <w:rPr>
          <w:rtl/>
          <w:lang w:bidi="ar-EG"/>
        </w:rPr>
        <w:t>؛ والآراء المكتوبة للدول الأعضاء في المجلس؛ ومقتطفاً من المحضر الموجز الرسمي للجلسة العامة الثانية للمجلس في دورته لعام 2025 بشأن هذا البند.</w:t>
      </w:r>
    </w:p>
    <w:p w14:paraId="62EBB8D6" w14:textId="7CC6A818" w:rsidR="00243F39" w:rsidRPr="00243F39" w:rsidRDefault="0023364F" w:rsidP="00243F39">
      <w:pPr>
        <w:rPr>
          <w:rtl/>
          <w:lang w:bidi="ar-EG"/>
        </w:rPr>
      </w:pPr>
      <w:r>
        <w:rPr>
          <w:rFonts w:hint="cs"/>
          <w:rtl/>
          <w:lang w:bidi="ar-EG"/>
        </w:rPr>
        <w:t>1.2</w:t>
      </w:r>
      <w:r w:rsidR="00243F39" w:rsidRPr="00243F39">
        <w:rPr>
          <w:rtl/>
          <w:lang w:bidi="ar-EG"/>
        </w:rPr>
        <w:tab/>
      </w:r>
      <w:r w:rsidR="00BC5BA0">
        <w:rPr>
          <w:b/>
          <w:bCs/>
          <w:rtl/>
          <w:lang w:bidi="ar-EG"/>
        </w:rPr>
        <w:t>وأخذ</w:t>
      </w:r>
      <w:r w:rsidR="00243F39" w:rsidRPr="00243F39">
        <w:rPr>
          <w:rtl/>
          <w:lang w:bidi="ar-EG"/>
        </w:rPr>
        <w:t xml:space="preserve"> المجلس </w:t>
      </w:r>
      <w:r w:rsidR="00243F39" w:rsidRPr="009A06BC">
        <w:rPr>
          <w:b/>
          <w:bCs/>
          <w:rtl/>
          <w:lang w:bidi="ar-EG"/>
        </w:rPr>
        <w:t>علما</w:t>
      </w:r>
      <w:r w:rsidR="009A06BC">
        <w:rPr>
          <w:rFonts w:hint="cs"/>
          <w:b/>
          <w:bCs/>
          <w:rtl/>
          <w:lang w:bidi="ar-EG"/>
        </w:rPr>
        <w:t>ً</w:t>
      </w:r>
      <w:r w:rsidR="00243F39" w:rsidRPr="00243F39">
        <w:rPr>
          <w:rtl/>
          <w:lang w:bidi="ar-EG"/>
        </w:rPr>
        <w:t xml:space="preserve"> بالوثيقة </w:t>
      </w:r>
      <w:r w:rsidR="00243F39" w:rsidRPr="00243F39">
        <w:rPr>
          <w:lang w:bidi="ar-EG"/>
        </w:rPr>
        <w:t>C25/DT/4</w:t>
      </w:r>
      <w:r w:rsidR="00243F39" w:rsidRPr="00243F39">
        <w:rPr>
          <w:rtl/>
          <w:lang w:bidi="ar-EG"/>
        </w:rPr>
        <w:t xml:space="preserve"> و</w:t>
      </w:r>
      <w:r w:rsidR="00243F39" w:rsidRPr="00C74E2E">
        <w:rPr>
          <w:b/>
          <w:bCs/>
          <w:rtl/>
          <w:lang w:bidi="ar-EG"/>
        </w:rPr>
        <w:t>وافق</w:t>
      </w:r>
      <w:r w:rsidR="00243F39" w:rsidRPr="00243F39">
        <w:rPr>
          <w:rtl/>
          <w:lang w:bidi="ar-EG"/>
        </w:rPr>
        <w:t xml:space="preserve"> على إحالة مجموعة الوثائق إلى الأمين العام للأمم المتحدة.</w:t>
      </w:r>
    </w:p>
    <w:p w14:paraId="081ED03F" w14:textId="4231D15F" w:rsidR="00243F39" w:rsidRPr="00243F39" w:rsidRDefault="00243F39" w:rsidP="0023364F">
      <w:pPr>
        <w:pStyle w:val="Heading1"/>
        <w:rPr>
          <w:rtl/>
          <w:lang w:bidi="ar-EG"/>
        </w:rPr>
      </w:pPr>
      <w:r w:rsidRPr="00243F39">
        <w:rPr>
          <w:rtl/>
          <w:lang w:bidi="ar-EG"/>
        </w:rPr>
        <w:t>2</w:t>
      </w:r>
      <w:r w:rsidRPr="00243F39">
        <w:rPr>
          <w:rtl/>
          <w:lang w:bidi="ar-EG"/>
        </w:rPr>
        <w:tab/>
        <w:t xml:space="preserve">تقرير عن الأماكن المقترحة لجمعية الاتصالات الراديوية </w:t>
      </w:r>
      <w:r w:rsidR="002F133C">
        <w:rPr>
          <w:rFonts w:hint="cs"/>
          <w:rtl/>
          <w:lang w:bidi="ar-EG"/>
        </w:rPr>
        <w:t>ل</w:t>
      </w:r>
      <w:r w:rsidRPr="00243F39">
        <w:rPr>
          <w:rtl/>
          <w:lang w:bidi="ar-EG"/>
        </w:rPr>
        <w:t xml:space="preserve">عام 2027 </w:t>
      </w:r>
      <w:r w:rsidRPr="00243F39">
        <w:rPr>
          <w:lang w:bidi="ar-EG"/>
        </w:rPr>
        <w:t>(RA-27)</w:t>
      </w:r>
      <w:r w:rsidRPr="00243F39">
        <w:rPr>
          <w:rtl/>
          <w:lang w:bidi="ar-EG"/>
        </w:rPr>
        <w:t xml:space="preserve"> والمؤتمر العالمي للاتصالات الراديوية </w:t>
      </w:r>
      <w:r w:rsidR="002F133C">
        <w:rPr>
          <w:rFonts w:hint="cs"/>
          <w:rtl/>
          <w:lang w:bidi="ar-EG"/>
        </w:rPr>
        <w:t>ل</w:t>
      </w:r>
      <w:r w:rsidRPr="00243F39">
        <w:rPr>
          <w:rtl/>
          <w:lang w:bidi="ar-EG"/>
        </w:rPr>
        <w:t xml:space="preserve">عام 2027 </w:t>
      </w:r>
      <w:r w:rsidRPr="00243F39">
        <w:rPr>
          <w:lang w:bidi="ar-EG"/>
        </w:rPr>
        <w:t>(WRC-27)</w:t>
      </w:r>
      <w:r w:rsidRPr="00243F39">
        <w:rPr>
          <w:rtl/>
          <w:lang w:bidi="ar-EG"/>
        </w:rPr>
        <w:t xml:space="preserve"> والدورة الأولى للاجتماع التحضيري للمؤتمر </w:t>
      </w:r>
      <w:r w:rsidRPr="00243F39">
        <w:rPr>
          <w:lang w:bidi="ar-EG"/>
        </w:rPr>
        <w:t>(CPM31-1)</w:t>
      </w:r>
      <w:r w:rsidRPr="00243F39">
        <w:rPr>
          <w:rtl/>
          <w:lang w:bidi="ar-EG"/>
        </w:rPr>
        <w:t xml:space="preserve"> </w:t>
      </w:r>
      <w:proofErr w:type="gramStart"/>
      <w:r w:rsidRPr="00243F39">
        <w:rPr>
          <w:rtl/>
          <w:lang w:bidi="ar-EG"/>
        </w:rPr>
        <w:t xml:space="preserve">( </w:t>
      </w:r>
      <w:r w:rsidRPr="00C74E2E">
        <w:rPr>
          <w:i/>
          <w:iCs/>
          <w:rtl/>
          <w:lang w:bidi="ar-EG"/>
        </w:rPr>
        <w:t>تابع</w:t>
      </w:r>
      <w:proofErr w:type="gramEnd"/>
      <w:r w:rsidRPr="00243F39">
        <w:rPr>
          <w:rtl/>
          <w:lang w:bidi="ar-EG"/>
        </w:rPr>
        <w:t>) (</w:t>
      </w:r>
      <w:r w:rsidR="00C8018E">
        <w:rPr>
          <w:rFonts w:hint="cs"/>
          <w:rtl/>
          <w:lang w:bidi="ar-EG"/>
        </w:rPr>
        <w:t>الوثائق</w:t>
      </w:r>
      <w:r w:rsidRPr="00243F39">
        <w:rPr>
          <w:rtl/>
          <w:lang w:bidi="ar-EG"/>
        </w:rPr>
        <w:t xml:space="preserve"> </w:t>
      </w:r>
      <w:hyperlink r:id="rId15" w:history="1">
        <w:r w:rsidRPr="00A75C55">
          <w:rPr>
            <w:rStyle w:val="Hyperlink"/>
            <w:noProof w:val="0"/>
            <w:lang w:val="en-US" w:eastAsia="zh-CN" w:bidi="ar-EG"/>
          </w:rPr>
          <w:t>C25/58</w:t>
        </w:r>
        <w:r w:rsidRPr="00A75C55">
          <w:rPr>
            <w:rStyle w:val="Hyperlink"/>
            <w:noProof w:val="0"/>
            <w:rtl/>
            <w:lang w:val="en-US" w:eastAsia="zh-CN" w:bidi="ar-EG"/>
          </w:rPr>
          <w:t xml:space="preserve"> والإضافتان 1 و2</w:t>
        </w:r>
      </w:hyperlink>
      <w:r w:rsidRPr="00243F39">
        <w:rPr>
          <w:rtl/>
          <w:lang w:bidi="ar-EG"/>
        </w:rPr>
        <w:t xml:space="preserve"> و</w:t>
      </w:r>
      <w:hyperlink r:id="rId16" w:history="1">
        <w:r w:rsidRPr="00A75C55">
          <w:rPr>
            <w:rStyle w:val="Hyperlink"/>
            <w:noProof w:val="0"/>
            <w:lang w:val="en-US" w:eastAsia="zh-CN" w:bidi="ar-EG"/>
          </w:rPr>
          <w:t>C25/101</w:t>
        </w:r>
      </w:hyperlink>
      <w:r w:rsidRPr="00243F39">
        <w:rPr>
          <w:rtl/>
          <w:lang w:bidi="ar-EG"/>
        </w:rPr>
        <w:t>)</w:t>
      </w:r>
    </w:p>
    <w:p w14:paraId="5F549B27" w14:textId="235F869E" w:rsidR="00DA5451" w:rsidRDefault="00A75C55" w:rsidP="00243F39">
      <w:pPr>
        <w:rPr>
          <w:rtl/>
          <w:lang w:bidi="ar-EG"/>
        </w:rPr>
      </w:pPr>
      <w:r>
        <w:rPr>
          <w:lang w:bidi="ar-EG"/>
        </w:rPr>
        <w:t>1.2</w:t>
      </w:r>
      <w:r w:rsidR="00243F39" w:rsidRPr="00243F39">
        <w:rPr>
          <w:rtl/>
          <w:lang w:bidi="ar-EG"/>
        </w:rPr>
        <w:tab/>
      </w:r>
      <w:r w:rsidR="0044096A" w:rsidRPr="0044096A">
        <w:rPr>
          <w:rtl/>
          <w:lang w:bidi="ar-EG"/>
        </w:rPr>
        <w:t>لاحظت الرئيسة أن المسألة قيد النظر غير مسبوقة بالنسبة للاتحاد الدولي للاتصالات وأعضائه، وشددت على</w:t>
      </w:r>
      <w:r w:rsidR="00400616">
        <w:rPr>
          <w:rFonts w:hint="cs"/>
          <w:rtl/>
          <w:lang w:bidi="ar-EG"/>
        </w:rPr>
        <w:t> </w:t>
      </w:r>
      <w:r w:rsidR="0044096A" w:rsidRPr="0044096A">
        <w:rPr>
          <w:rtl/>
          <w:lang w:bidi="ar-EG"/>
        </w:rPr>
        <w:t xml:space="preserve">أهمية إجراء </w:t>
      </w:r>
      <w:r w:rsidR="0044096A">
        <w:rPr>
          <w:rFonts w:hint="cs"/>
          <w:rtl/>
          <w:lang w:bidi="ar-EG"/>
        </w:rPr>
        <w:t>مباحثات</w:t>
      </w:r>
      <w:r w:rsidR="0044096A" w:rsidRPr="0044096A">
        <w:rPr>
          <w:rtl/>
          <w:lang w:bidi="ar-EG"/>
        </w:rPr>
        <w:t xml:space="preserve"> تتسم بالاحترام والشفافية والتوافق، بما يتماشى مع تقاليد الاتحاد. وأشارت إلى الشرف والامتياز والمسؤولية المرتبطة باستضافة مؤتمر. واقترحت أن </w:t>
      </w:r>
      <w:r w:rsidR="0044096A">
        <w:rPr>
          <w:rFonts w:hint="cs"/>
          <w:rtl/>
          <w:lang w:bidi="ar-EG"/>
        </w:rPr>
        <w:t>تعرض</w:t>
      </w:r>
      <w:r w:rsidR="0044096A" w:rsidRPr="0044096A">
        <w:rPr>
          <w:rtl/>
          <w:lang w:bidi="ar-EG"/>
        </w:rPr>
        <w:t xml:space="preserve"> الولايات المتحدة دعوتها لاستضافة المؤتمر العالمي للاتصالات الراديوية عام 2027 (</w:t>
      </w:r>
      <w:r w:rsidR="0044096A" w:rsidRPr="0044096A">
        <w:rPr>
          <w:lang w:bidi="ar-EG"/>
        </w:rPr>
        <w:t>WRC-27</w:t>
      </w:r>
      <w:r w:rsidR="0044096A" w:rsidRPr="0044096A">
        <w:rPr>
          <w:rtl/>
          <w:lang w:bidi="ar-EG"/>
        </w:rPr>
        <w:t>) وأن توضح وضع مساهمتها الأولية (</w:t>
      </w:r>
      <w:r w:rsidR="0044096A">
        <w:rPr>
          <w:rFonts w:hint="cs"/>
          <w:rtl/>
          <w:lang w:bidi="ar-EG"/>
        </w:rPr>
        <w:t xml:space="preserve">طي </w:t>
      </w:r>
      <w:r w:rsidR="0044096A" w:rsidRPr="0044096A">
        <w:rPr>
          <w:rtl/>
          <w:lang w:bidi="ar-EG"/>
        </w:rPr>
        <w:t xml:space="preserve">الوثيقة </w:t>
      </w:r>
      <w:r w:rsidR="0044096A" w:rsidRPr="0044096A">
        <w:rPr>
          <w:lang w:bidi="ar-EG"/>
        </w:rPr>
        <w:t>C25/101</w:t>
      </w:r>
      <w:r w:rsidR="0044096A" w:rsidRPr="0044096A">
        <w:rPr>
          <w:rtl/>
          <w:lang w:bidi="ar-EG"/>
        </w:rPr>
        <w:t>)، على</w:t>
      </w:r>
      <w:r w:rsidR="00400616">
        <w:rPr>
          <w:rFonts w:hint="cs"/>
          <w:rtl/>
          <w:lang w:bidi="ar-EG"/>
        </w:rPr>
        <w:t> </w:t>
      </w:r>
      <w:r w:rsidR="0044096A" w:rsidRPr="0044096A">
        <w:rPr>
          <w:rtl/>
          <w:lang w:bidi="ar-EG"/>
        </w:rPr>
        <w:t xml:space="preserve">أن يلي ذلك مداخلات من الدول الأعضاء. وأكدت على </w:t>
      </w:r>
      <w:r w:rsidR="0044096A">
        <w:rPr>
          <w:rFonts w:hint="cs"/>
          <w:rtl/>
          <w:lang w:bidi="ar-EG"/>
        </w:rPr>
        <w:t>الحاجة</w:t>
      </w:r>
      <w:r w:rsidR="0044096A" w:rsidRPr="0044096A">
        <w:rPr>
          <w:rtl/>
          <w:lang w:bidi="ar-EG"/>
        </w:rPr>
        <w:t xml:space="preserve"> </w:t>
      </w:r>
      <w:r w:rsidR="0044096A">
        <w:rPr>
          <w:rFonts w:hint="cs"/>
          <w:rtl/>
          <w:lang w:bidi="ar-EG"/>
        </w:rPr>
        <w:t>ل</w:t>
      </w:r>
      <w:r w:rsidR="0044096A" w:rsidRPr="0044096A">
        <w:rPr>
          <w:rtl/>
          <w:lang w:bidi="ar-EG"/>
        </w:rPr>
        <w:t>تجنب القرارات المتسرعة، والاستفادة من النقاش لتعزيز إرث الاتحاد من خلال الدروس المستفادة، ووضع آلية واضحة لتوجيه مسائل مماثلة في المستقبل.</w:t>
      </w:r>
    </w:p>
    <w:p w14:paraId="2127C6F2" w14:textId="2A89CCDB" w:rsidR="00243F39" w:rsidRPr="00243F39" w:rsidRDefault="00045CD7" w:rsidP="00243F39">
      <w:pPr>
        <w:rPr>
          <w:rtl/>
          <w:lang w:bidi="ar-EG"/>
        </w:rPr>
      </w:pPr>
      <w:r>
        <w:rPr>
          <w:lang w:bidi="ar-EG"/>
        </w:rPr>
        <w:t>2.2</w:t>
      </w:r>
      <w:r w:rsidRPr="00243F39">
        <w:rPr>
          <w:rtl/>
          <w:lang w:bidi="ar-EG"/>
        </w:rPr>
        <w:tab/>
      </w:r>
      <w:r w:rsidR="00DA5451">
        <w:rPr>
          <w:rFonts w:hint="cs"/>
          <w:rtl/>
          <w:lang w:bidi="ar-EG"/>
        </w:rPr>
        <w:t>و</w:t>
      </w:r>
      <w:r w:rsidR="00243F39" w:rsidRPr="00243F39">
        <w:rPr>
          <w:rtl/>
          <w:lang w:bidi="ar-EG"/>
        </w:rPr>
        <w:t xml:space="preserve">قدم عضو المجلس من الولايات المتحدة الإضافة 2 للوثيقة </w:t>
      </w:r>
      <w:r w:rsidR="00243F39" w:rsidRPr="00243F39">
        <w:rPr>
          <w:lang w:bidi="ar-EG"/>
        </w:rPr>
        <w:t>C25/58</w:t>
      </w:r>
      <w:r w:rsidR="00243F39" w:rsidRPr="00243F39">
        <w:rPr>
          <w:rtl/>
          <w:lang w:bidi="ar-EG"/>
        </w:rPr>
        <w:t xml:space="preserve">، التي تحتوي على عرض من حكومته لاستضافة المؤتمر العالمي للاتصالات الراديوية عام 2027 </w:t>
      </w:r>
      <w:r w:rsidR="00243F39" w:rsidRPr="00243F39">
        <w:rPr>
          <w:lang w:bidi="ar-EG"/>
        </w:rPr>
        <w:t>(WRC-27)</w:t>
      </w:r>
      <w:r w:rsidR="00243F39" w:rsidRPr="00243F39">
        <w:rPr>
          <w:rtl/>
          <w:lang w:bidi="ar-EG"/>
        </w:rPr>
        <w:t xml:space="preserve"> والأحداث المرتبطة به في مكان لم يحدد بعد. ‏وقال، مشيراً إلى سجل بلده القوي في استضافة أحداث دولية رئيسية، إنه يمكن تنظيم زيارات ميدانية على الفور.</w:t>
      </w:r>
      <w:r w:rsidR="00243F39" w:rsidRPr="00243F39">
        <w:rPr>
          <w:cs/>
          <w:lang w:bidi="ar-EG"/>
        </w:rPr>
        <w:t>‎</w:t>
      </w:r>
      <w:r w:rsidR="00243F39" w:rsidRPr="00243F39">
        <w:rPr>
          <w:rtl/>
          <w:lang w:bidi="ar-EG"/>
        </w:rPr>
        <w:t xml:space="preserve"> وأوضح أن وفد بلده كان يتوقع أن يؤيد دعوة رواندا لاستضافة المؤتمر </w:t>
      </w:r>
      <w:r w:rsidR="00243F39" w:rsidRPr="00243F39">
        <w:rPr>
          <w:lang w:bidi="ar-EG"/>
        </w:rPr>
        <w:t>WRC-27</w:t>
      </w:r>
      <w:r w:rsidR="00243F39" w:rsidRPr="00243F39">
        <w:rPr>
          <w:rtl/>
          <w:lang w:bidi="ar-EG"/>
        </w:rPr>
        <w:t xml:space="preserve"> ‏حتى سحب هذه الدعوة في آخر لحظة.</w:t>
      </w:r>
      <w:r w:rsidR="00243F39" w:rsidRPr="00243F39">
        <w:rPr>
          <w:cs/>
          <w:lang w:bidi="ar-EG"/>
        </w:rPr>
        <w:t>‎</w:t>
      </w:r>
      <w:r w:rsidR="00243F39" w:rsidRPr="00243F39">
        <w:rPr>
          <w:rtl/>
          <w:lang w:bidi="ar-EG"/>
        </w:rPr>
        <w:t xml:space="preserve"> وعلى</w:t>
      </w:r>
      <w:r w:rsidR="000C0F7C">
        <w:rPr>
          <w:rFonts w:hint="eastAsia"/>
          <w:rtl/>
        </w:rPr>
        <w:t> </w:t>
      </w:r>
      <w:r w:rsidR="00243F39" w:rsidRPr="00243F39">
        <w:rPr>
          <w:rtl/>
          <w:lang w:bidi="ar-EG"/>
        </w:rPr>
        <w:t>الرغم من أن وفده لم يتمكن من تأييد دعوة الصين، فقد شارك في مفاوضات بنّاءة مع الوفد الصيني وقدم مقترحات عملية تم رفضها. وإن عقد الأحداث في الولايات المتحدة يوفر مساراً مجدياً نحو تحقيق توافق الآراء الذي يسعى إليه الجميع. وإذا لم يتم التوصل إلى توافق في الآراء بشأن أي من الدعوتين، ينبغي أن تظل جنيف الخيار الاحتياطي المبدئي لاستضافة الأحداث.</w:t>
      </w:r>
    </w:p>
    <w:p w14:paraId="0E080563" w14:textId="03EACC7F" w:rsidR="00243F39" w:rsidRPr="00243F39" w:rsidRDefault="00045CD7" w:rsidP="00525E7A">
      <w:pPr>
        <w:rPr>
          <w:rtl/>
          <w:lang w:bidi="ar-EG"/>
        </w:rPr>
      </w:pPr>
      <w:r>
        <w:rPr>
          <w:lang w:bidi="ar-EG"/>
        </w:rPr>
        <w:t>3</w:t>
      </w:r>
      <w:r w:rsidR="00A75C55">
        <w:rPr>
          <w:lang w:bidi="ar-EG"/>
        </w:rPr>
        <w:t>.2</w:t>
      </w:r>
      <w:r w:rsidR="00243F39" w:rsidRPr="00243F39">
        <w:rPr>
          <w:rtl/>
          <w:lang w:bidi="ar-EG"/>
        </w:rPr>
        <w:tab/>
      </w:r>
      <w:r w:rsidR="00B969B1" w:rsidRPr="00B969B1">
        <w:rPr>
          <w:rtl/>
          <w:lang w:bidi="ar-EG"/>
        </w:rPr>
        <w:t xml:space="preserve">قالت عضو المجلس من الصين إن وفدها بذل قصارى جهده لتحقيق توافق في الآراء بشأن استضافة المؤتمر </w:t>
      </w:r>
      <w:r w:rsidR="00B969B1" w:rsidRPr="00B969B1">
        <w:rPr>
          <w:cs/>
          <w:lang w:bidi="ar-EG"/>
        </w:rPr>
        <w:t>‎</w:t>
      </w:r>
      <w:r w:rsidR="00B969B1" w:rsidRPr="00B969B1">
        <w:rPr>
          <w:lang w:bidi="ar-EG"/>
        </w:rPr>
        <w:t>WRC-27</w:t>
      </w:r>
      <w:r w:rsidR="00B969B1" w:rsidRPr="00B969B1">
        <w:rPr>
          <w:rtl/>
          <w:lang w:bidi="ar-EG"/>
        </w:rPr>
        <w:t xml:space="preserve"> ‏والأحداث المرتبطة به في شنغهاي وشارك في ست جولات من المشاورات مع وفد الولايات المتحدة.</w:t>
      </w:r>
      <w:r w:rsidR="00B969B1" w:rsidRPr="00B969B1">
        <w:rPr>
          <w:cs/>
          <w:lang w:bidi="ar-EG"/>
        </w:rPr>
        <w:t>‎</w:t>
      </w:r>
      <w:r w:rsidR="00B969B1" w:rsidRPr="00B969B1">
        <w:rPr>
          <w:rtl/>
        </w:rPr>
        <w:t xml:space="preserve"> </w:t>
      </w:r>
      <w:r w:rsidR="00B969B1" w:rsidRPr="00B969B1">
        <w:rPr>
          <w:rtl/>
          <w:lang w:bidi="ar-EG"/>
        </w:rPr>
        <w:t xml:space="preserve">‏ومع ذلك، وبحجة انتظار تعليمات من حكومته، تجنب وفد الولايات المتحدة السعي إلى </w:t>
      </w:r>
      <w:r w:rsidR="00671A3B">
        <w:rPr>
          <w:rFonts w:hint="cs"/>
          <w:rtl/>
          <w:lang w:bidi="ar-EG"/>
        </w:rPr>
        <w:t xml:space="preserve">إيجاد </w:t>
      </w:r>
      <w:r w:rsidR="00B969B1" w:rsidRPr="00B969B1">
        <w:rPr>
          <w:rtl/>
          <w:lang w:bidi="ar-EG"/>
        </w:rPr>
        <w:t>حل مرض</w:t>
      </w:r>
      <w:r w:rsidR="00671A3B">
        <w:rPr>
          <w:rFonts w:hint="cs"/>
          <w:rtl/>
          <w:lang w:bidi="ar-EG"/>
        </w:rPr>
        <w:t>ٍ</w:t>
      </w:r>
      <w:r w:rsidR="00B969B1" w:rsidRPr="00B969B1">
        <w:rPr>
          <w:rtl/>
          <w:lang w:bidi="ar-EG"/>
        </w:rPr>
        <w:t xml:space="preserve"> للطرفين مع وفده، بينما قدم </w:t>
      </w:r>
      <w:r w:rsidR="00B969B1">
        <w:rPr>
          <w:rFonts w:hint="cs"/>
          <w:rtl/>
          <w:lang w:bidi="ar-EG"/>
        </w:rPr>
        <w:t>في الوقت ذاته</w:t>
      </w:r>
      <w:r w:rsidR="00B969B1" w:rsidRPr="00B969B1">
        <w:rPr>
          <w:rtl/>
          <w:lang w:bidi="ar-EG"/>
        </w:rPr>
        <w:t xml:space="preserve"> دعوة غير كاملة مساء يوم </w:t>
      </w:r>
      <w:r w:rsidR="00B969B1" w:rsidRPr="00B969B1">
        <w:rPr>
          <w:cs/>
          <w:lang w:bidi="ar-EG"/>
        </w:rPr>
        <w:t>‎</w:t>
      </w:r>
      <w:r w:rsidR="00B969B1" w:rsidRPr="00B969B1">
        <w:rPr>
          <w:lang w:bidi="ar-EG"/>
        </w:rPr>
        <w:t>23</w:t>
      </w:r>
      <w:r w:rsidR="00B969B1" w:rsidRPr="00B969B1">
        <w:rPr>
          <w:rtl/>
          <w:lang w:bidi="ar-EG"/>
        </w:rPr>
        <w:t xml:space="preserve"> ‏يونيو لاستضافة الأحداث، وأعرب الوفد الصيني عن أسفه العميق لذلك.</w:t>
      </w:r>
      <w:r w:rsidR="00B969B1" w:rsidRPr="00B969B1">
        <w:rPr>
          <w:cs/>
          <w:lang w:bidi="ar-EG"/>
        </w:rPr>
        <w:t>‎</w:t>
      </w:r>
      <w:r w:rsidR="00B969B1" w:rsidRPr="00B969B1">
        <w:rPr>
          <w:rtl/>
        </w:rPr>
        <w:t xml:space="preserve"> </w:t>
      </w:r>
      <w:r w:rsidR="00B969B1">
        <w:rPr>
          <w:rFonts w:hint="cs"/>
          <w:rtl/>
          <w:lang w:bidi="ar-EG"/>
        </w:rPr>
        <w:t xml:space="preserve">وإن </w:t>
      </w:r>
      <w:r w:rsidR="00B969B1" w:rsidRPr="00B969B1">
        <w:rPr>
          <w:rtl/>
          <w:lang w:bidi="ar-EG"/>
        </w:rPr>
        <w:t xml:space="preserve">ممارسة الولايات المتحدة للهيمنة باسم </w:t>
      </w:r>
      <w:r w:rsidR="00B969B1">
        <w:rPr>
          <w:rFonts w:hint="cs"/>
          <w:rtl/>
          <w:lang w:bidi="ar-EG"/>
        </w:rPr>
        <w:t>توافق الآراء</w:t>
      </w:r>
      <w:r w:rsidR="00B969B1" w:rsidRPr="00B969B1">
        <w:rPr>
          <w:rtl/>
          <w:lang w:bidi="ar-EG"/>
        </w:rPr>
        <w:t xml:space="preserve">، على حساب المصالح المشروعة لجميع البلدان، تخدم </w:t>
      </w:r>
      <w:r w:rsidR="00B969B1">
        <w:rPr>
          <w:rFonts w:hint="cs"/>
          <w:rtl/>
          <w:lang w:bidi="ar-EG"/>
        </w:rPr>
        <w:t>جدول أعمالها الخاص</w:t>
      </w:r>
      <w:r w:rsidR="00B969B1" w:rsidRPr="00B969B1">
        <w:rPr>
          <w:rtl/>
          <w:lang w:bidi="ar-EG"/>
        </w:rPr>
        <w:t xml:space="preserve"> وتضع "أمريكا أولاً" فوق القواعد الدولية؛ وهو سلوك نموذجي للتسلط </w:t>
      </w:r>
      <w:proofErr w:type="spellStart"/>
      <w:r w:rsidR="00B969B1" w:rsidRPr="00B969B1">
        <w:rPr>
          <w:rtl/>
          <w:lang w:bidi="ar-EG"/>
        </w:rPr>
        <w:t>وتسييس</w:t>
      </w:r>
      <w:proofErr w:type="spellEnd"/>
      <w:r w:rsidR="00B969B1" w:rsidRPr="00B969B1">
        <w:rPr>
          <w:rtl/>
          <w:lang w:bidi="ar-EG"/>
        </w:rPr>
        <w:t xml:space="preserve"> عمل الاتحاد وتقويض قواعد الاتحاد ووحدته.</w:t>
      </w:r>
      <w:r w:rsidR="00525E7A">
        <w:rPr>
          <w:rFonts w:hint="cs"/>
          <w:rtl/>
          <w:lang w:bidi="ar-EG"/>
        </w:rPr>
        <w:t xml:space="preserve"> </w:t>
      </w:r>
      <w:r w:rsidR="00525E7A" w:rsidRPr="00525E7A">
        <w:rPr>
          <w:rtl/>
          <w:lang w:bidi="ar-EG"/>
        </w:rPr>
        <w:t>‏و</w:t>
      </w:r>
      <w:r w:rsidR="00671A3B">
        <w:rPr>
          <w:rFonts w:hint="cs"/>
          <w:rtl/>
          <w:lang w:bidi="ar-EG"/>
        </w:rPr>
        <w:t xml:space="preserve">قد </w:t>
      </w:r>
      <w:r w:rsidR="00525E7A" w:rsidRPr="00525E7A">
        <w:rPr>
          <w:rtl/>
          <w:lang w:bidi="ar-EG"/>
        </w:rPr>
        <w:t>ق</w:t>
      </w:r>
      <w:r w:rsidR="00525E7A">
        <w:rPr>
          <w:rFonts w:hint="cs"/>
          <w:rtl/>
          <w:lang w:bidi="ar-EG"/>
        </w:rPr>
        <w:t>ُ</w:t>
      </w:r>
      <w:r w:rsidR="00525E7A" w:rsidRPr="00525E7A">
        <w:rPr>
          <w:rtl/>
          <w:lang w:bidi="ar-EG"/>
        </w:rPr>
        <w:t xml:space="preserve">دمت الوثيقة </w:t>
      </w:r>
      <w:r w:rsidR="00525E7A" w:rsidRPr="00525E7A">
        <w:rPr>
          <w:cs/>
          <w:lang w:bidi="ar-EG"/>
        </w:rPr>
        <w:t>‎</w:t>
      </w:r>
      <w:r w:rsidR="00525E7A" w:rsidRPr="00525E7A">
        <w:rPr>
          <w:lang w:bidi="ar-EG"/>
        </w:rPr>
        <w:t>C25/58 (Add.2)</w:t>
      </w:r>
      <w:r w:rsidR="00525E7A" w:rsidRPr="00525E7A">
        <w:rPr>
          <w:rtl/>
          <w:lang w:bidi="ar-EG"/>
        </w:rPr>
        <w:t xml:space="preserve"> ‏بعد اليوم السابع من الاجتماع، </w:t>
      </w:r>
      <w:r w:rsidR="00525E7A">
        <w:rPr>
          <w:rFonts w:hint="cs"/>
          <w:rtl/>
          <w:lang w:bidi="ar-EG"/>
        </w:rPr>
        <w:t>وذلك في</w:t>
      </w:r>
      <w:r w:rsidR="0011279A">
        <w:rPr>
          <w:rFonts w:hint="eastAsia"/>
          <w:rtl/>
          <w:lang w:bidi="ar-EG"/>
        </w:rPr>
        <w:t> </w:t>
      </w:r>
      <w:r w:rsidR="00525E7A">
        <w:rPr>
          <w:rFonts w:hint="cs"/>
          <w:rtl/>
          <w:lang w:bidi="ar-EG"/>
        </w:rPr>
        <w:t>مخالفة</w:t>
      </w:r>
      <w:r w:rsidR="00525E7A" w:rsidRPr="00525E7A">
        <w:rPr>
          <w:rtl/>
          <w:lang w:bidi="ar-EG"/>
        </w:rPr>
        <w:t xml:space="preserve"> </w:t>
      </w:r>
      <w:r w:rsidR="00525E7A">
        <w:rPr>
          <w:rFonts w:hint="cs"/>
          <w:rtl/>
          <w:lang w:bidi="ar-EG"/>
        </w:rPr>
        <w:t>ل</w:t>
      </w:r>
      <w:r w:rsidR="00525E7A" w:rsidRPr="00525E7A">
        <w:rPr>
          <w:rtl/>
          <w:lang w:bidi="ar-EG"/>
        </w:rPr>
        <w:t xml:space="preserve">قواعد الاتحاد المتعلقة بالمواعيد النهائية لتقديم الوثائق، </w:t>
      </w:r>
      <w:r w:rsidR="00525E7A">
        <w:rPr>
          <w:rFonts w:hint="cs"/>
          <w:rtl/>
          <w:lang w:bidi="ar-EG"/>
        </w:rPr>
        <w:t>كما أنها لم تحدد</w:t>
      </w:r>
      <w:r w:rsidR="00525E7A" w:rsidRPr="00525E7A">
        <w:rPr>
          <w:rtl/>
          <w:lang w:bidi="ar-EG"/>
        </w:rPr>
        <w:t xml:space="preserve"> المدينة المضيفة؛ وبالتالي، من الواضح أنه</w:t>
      </w:r>
      <w:r w:rsidR="00525E7A">
        <w:rPr>
          <w:rFonts w:hint="cs"/>
          <w:rtl/>
          <w:lang w:bidi="ar-EG"/>
        </w:rPr>
        <w:t>ا</w:t>
      </w:r>
      <w:r w:rsidR="00525E7A" w:rsidRPr="00525E7A">
        <w:rPr>
          <w:rtl/>
          <w:lang w:bidi="ar-EG"/>
        </w:rPr>
        <w:t xml:space="preserve"> لا</w:t>
      </w:r>
      <w:r w:rsidR="00136621">
        <w:rPr>
          <w:rFonts w:hint="cs"/>
          <w:rtl/>
          <w:lang w:bidi="ar-EG"/>
        </w:rPr>
        <w:t> </w:t>
      </w:r>
      <w:r w:rsidR="00525E7A">
        <w:rPr>
          <w:rFonts w:hint="cs"/>
          <w:rtl/>
          <w:lang w:bidi="ar-EG"/>
        </w:rPr>
        <w:t xml:space="preserve">تشكل </w:t>
      </w:r>
      <w:r w:rsidR="00525E7A" w:rsidRPr="00525E7A">
        <w:rPr>
          <w:rtl/>
          <w:lang w:bidi="ar-EG"/>
        </w:rPr>
        <w:t xml:space="preserve">عرضاً صالحاً لاستضافة المؤتمر </w:t>
      </w:r>
      <w:r w:rsidR="00525E7A" w:rsidRPr="00525E7A">
        <w:rPr>
          <w:cs/>
          <w:lang w:bidi="ar-EG"/>
        </w:rPr>
        <w:t>‎</w:t>
      </w:r>
      <w:r w:rsidR="00525E7A" w:rsidRPr="00525E7A">
        <w:rPr>
          <w:lang w:bidi="ar-EG"/>
        </w:rPr>
        <w:t>WRC-27</w:t>
      </w:r>
      <w:r w:rsidR="00136621">
        <w:rPr>
          <w:rFonts w:hint="cs"/>
          <w:rtl/>
          <w:lang w:bidi="ar-EG"/>
        </w:rPr>
        <w:t xml:space="preserve">. </w:t>
      </w:r>
      <w:r w:rsidR="00243F39" w:rsidRPr="00243F39">
        <w:rPr>
          <w:rtl/>
          <w:lang w:bidi="ar-EG"/>
        </w:rPr>
        <w:t>والصين هي البلد الوحيد الذي قدم دعوة متوافقة بالكامل مع النظام الداخلي للمجلس ومتطلبات الاستضافة الأساسية. وبتأييد من عضو المجلس من كوبا، اقترحت إغلاق المناقش</w:t>
      </w:r>
      <w:r w:rsidR="00525E7A">
        <w:rPr>
          <w:rFonts w:hint="cs"/>
          <w:rtl/>
          <w:lang w:bidi="ar-EG"/>
        </w:rPr>
        <w:t>ات</w:t>
      </w:r>
      <w:r w:rsidR="00243F39" w:rsidRPr="00243F39">
        <w:rPr>
          <w:rtl/>
          <w:lang w:bidi="ar-EG"/>
        </w:rPr>
        <w:t xml:space="preserve"> </w:t>
      </w:r>
      <w:r w:rsidR="00525E7A" w:rsidRPr="00525E7A">
        <w:rPr>
          <w:rtl/>
          <w:lang w:bidi="ar-EG"/>
        </w:rPr>
        <w:t xml:space="preserve">بشأن عقد المؤتمر </w:t>
      </w:r>
      <w:r w:rsidR="00525E7A" w:rsidRPr="00525E7A">
        <w:rPr>
          <w:cs/>
          <w:lang w:bidi="ar-EG"/>
        </w:rPr>
        <w:t>‎</w:t>
      </w:r>
      <w:r w:rsidR="00525E7A" w:rsidRPr="00525E7A">
        <w:rPr>
          <w:lang w:bidi="ar-EG"/>
        </w:rPr>
        <w:t>WRC-27</w:t>
      </w:r>
      <w:r w:rsidR="00525E7A" w:rsidRPr="00525E7A">
        <w:rPr>
          <w:rtl/>
          <w:lang w:bidi="ar-EG"/>
        </w:rPr>
        <w:t xml:space="preserve"> ‏في شنغهاي، الصين،</w:t>
      </w:r>
      <w:r w:rsidR="00525E7A">
        <w:rPr>
          <w:rFonts w:hint="cs"/>
          <w:rtl/>
          <w:lang w:bidi="ar-EG"/>
        </w:rPr>
        <w:t xml:space="preserve"> </w:t>
      </w:r>
      <w:r w:rsidR="00243F39" w:rsidRPr="00243F39">
        <w:rPr>
          <w:rtl/>
          <w:lang w:bidi="ar-EG"/>
        </w:rPr>
        <w:t xml:space="preserve">بموجب الرقم 107 من القواعد العامة لمؤتمرات الاتحاد وجمعياته واجتماعاته، </w:t>
      </w:r>
      <w:r w:rsidR="00525E7A" w:rsidRPr="00525E7A">
        <w:rPr>
          <w:rtl/>
          <w:lang w:bidi="ar-EG"/>
        </w:rPr>
        <w:t>وأن يتم التصويت على هذا المقترح وعلى المقترحات التالية المتعلقة بمناقشة هذه المسألة بالاقتراع السري.</w:t>
      </w:r>
      <w:r w:rsidR="00671A3B" w:rsidRPr="00671A3B">
        <w:rPr>
          <w:rtl/>
        </w:rPr>
        <w:t xml:space="preserve"> </w:t>
      </w:r>
      <w:r w:rsidR="00671A3B" w:rsidRPr="00671A3B">
        <w:rPr>
          <w:rtl/>
          <w:lang w:bidi="ar-EG"/>
        </w:rPr>
        <w:t>‏وطلبت من الأمانة أن توضح للاجتماع الأصوات المطلوبة والآثار الدقيقة المترتبة عليها، لضمان فهم الدول الأعضاء لذلك بشكل كامل.</w:t>
      </w:r>
      <w:r w:rsidR="00671A3B" w:rsidRPr="00671A3B">
        <w:rPr>
          <w:cs/>
          <w:lang w:bidi="ar-EG"/>
        </w:rPr>
        <w:t>‎</w:t>
      </w:r>
    </w:p>
    <w:p w14:paraId="64C367C7" w14:textId="3CC5C05F" w:rsidR="00243F39" w:rsidRPr="00243F39" w:rsidRDefault="00045CD7" w:rsidP="00243F39">
      <w:pPr>
        <w:rPr>
          <w:rtl/>
          <w:lang w:bidi="ar-EG"/>
        </w:rPr>
      </w:pPr>
      <w:r>
        <w:rPr>
          <w:lang w:bidi="ar-EG"/>
        </w:rPr>
        <w:t>4</w:t>
      </w:r>
      <w:r w:rsidR="00A75C55">
        <w:rPr>
          <w:lang w:bidi="ar-EG"/>
        </w:rPr>
        <w:t>.2</w:t>
      </w:r>
      <w:r w:rsidR="00243F39" w:rsidRPr="00243F39">
        <w:rPr>
          <w:rtl/>
          <w:lang w:bidi="ar-EG"/>
        </w:rPr>
        <w:tab/>
        <w:t>اعترض عضوا المجلس من إيطاليا وباراغواي على إغلاق المناقشة، مؤكدين أن أهمية هذه المسألة تقتضي المزيد من النقاش والتشاور للتوصل إلى قرار قائم على توافق الآراء</w:t>
      </w:r>
      <w:r w:rsidR="000C0F7C">
        <w:rPr>
          <w:rFonts w:hint="cs"/>
          <w:rtl/>
          <w:lang w:bidi="ar-EG"/>
        </w:rPr>
        <w:t>.</w:t>
      </w:r>
    </w:p>
    <w:p w14:paraId="37711BB4" w14:textId="6F168DEB" w:rsidR="00243F39" w:rsidRPr="00243F39" w:rsidRDefault="00045CD7" w:rsidP="00243F39">
      <w:pPr>
        <w:rPr>
          <w:rtl/>
          <w:lang w:bidi="ar-EG"/>
        </w:rPr>
      </w:pPr>
      <w:r>
        <w:rPr>
          <w:lang w:bidi="ar-EG"/>
        </w:rPr>
        <w:lastRenderedPageBreak/>
        <w:t>5</w:t>
      </w:r>
      <w:r w:rsidR="00A75C55">
        <w:rPr>
          <w:lang w:bidi="ar-EG"/>
        </w:rPr>
        <w:t>.2</w:t>
      </w:r>
      <w:r w:rsidR="00243F39" w:rsidRPr="00243F39">
        <w:rPr>
          <w:rtl/>
          <w:lang w:bidi="ar-EG"/>
        </w:rPr>
        <w:tab/>
        <w:t>ثم اقترح عضو المجلس من إيطاليا، بتأييد من عضو المجلس من الولايات المتحدة، تأجيل المناقشة بموجب الرقم 106 من القواعد العامة، لتجنب تصويت يسبب الانقسام وإتاحة الوقت للتوصل إلى توافق في الآراء</w:t>
      </w:r>
      <w:r w:rsidR="000C0F7C">
        <w:rPr>
          <w:rFonts w:hint="cs"/>
          <w:rtl/>
          <w:lang w:bidi="ar-EG"/>
        </w:rPr>
        <w:t>.</w:t>
      </w:r>
    </w:p>
    <w:p w14:paraId="09409D23" w14:textId="3176F900" w:rsidR="00243F39" w:rsidRPr="00243F39" w:rsidRDefault="00045CD7" w:rsidP="00243F39">
      <w:pPr>
        <w:rPr>
          <w:rtl/>
          <w:lang w:bidi="ar-EG"/>
        </w:rPr>
      </w:pPr>
      <w:r>
        <w:rPr>
          <w:lang w:bidi="ar-EG"/>
        </w:rPr>
        <w:t>6</w:t>
      </w:r>
      <w:r w:rsidR="00A75C55">
        <w:rPr>
          <w:lang w:bidi="ar-EG"/>
        </w:rPr>
        <w:t>.2</w:t>
      </w:r>
      <w:r w:rsidR="00243F39" w:rsidRPr="00243F39">
        <w:rPr>
          <w:rtl/>
          <w:lang w:bidi="ar-EG"/>
        </w:rPr>
        <w:tab/>
        <w:t>ورداً على نقطة نظام، أشار المستشار القانوني إلى أنه بموجب الأرقام 98-104 من القواعد العامة، فإن لاقتراح تأجيل المناقشة الأسبقية على اقتراح إغلاق المناقشة.</w:t>
      </w:r>
    </w:p>
    <w:p w14:paraId="49EA3DE4" w14:textId="65BF4B05" w:rsidR="00671A3B" w:rsidRPr="00243F39" w:rsidRDefault="00045CD7" w:rsidP="00671A3B">
      <w:pPr>
        <w:rPr>
          <w:rtl/>
        </w:rPr>
      </w:pPr>
      <w:r>
        <w:rPr>
          <w:lang w:bidi="ar-EG"/>
        </w:rPr>
        <w:t>7</w:t>
      </w:r>
      <w:r w:rsidR="00A75C55">
        <w:rPr>
          <w:lang w:bidi="ar-EG"/>
        </w:rPr>
        <w:t>.2</w:t>
      </w:r>
      <w:r w:rsidR="00243F39" w:rsidRPr="00243F39">
        <w:rPr>
          <w:rtl/>
          <w:lang w:bidi="ar-EG"/>
        </w:rPr>
        <w:tab/>
        <w:t xml:space="preserve">عارضت عضو المجلس من الصين، بتأييد من عضو المجلس من كوبا، اقتراح تأجيل المناقشة. وقالت </w:t>
      </w:r>
      <w:r w:rsidR="00671A3B">
        <w:rPr>
          <w:rFonts w:hint="cs"/>
          <w:rtl/>
          <w:lang w:bidi="ar-EG"/>
        </w:rPr>
        <w:t xml:space="preserve">عضو المجلس من الصين </w:t>
      </w:r>
      <w:r w:rsidR="00243F39" w:rsidRPr="00243F39">
        <w:rPr>
          <w:rtl/>
          <w:lang w:bidi="ar-EG"/>
        </w:rPr>
        <w:t xml:space="preserve">إن وفدها بذل قصارى جهده لتسهيل توافق الآراء، </w:t>
      </w:r>
      <w:r w:rsidR="00671A3B" w:rsidRPr="00671A3B">
        <w:rPr>
          <w:rtl/>
          <w:lang w:bidi="ar-EG"/>
        </w:rPr>
        <w:t xml:space="preserve">في حين أن الولايات المتحدة أخرت العملية مراراً، ولم تُظهر أي جدية في حل المشكلة، وتلاعبت سياسياً بالعملية من خلال إصرارها على عدم إمكانية عقد المؤتمر </w:t>
      </w:r>
      <w:r w:rsidR="00671A3B">
        <w:rPr>
          <w:lang w:bidi="ar-EG"/>
        </w:rPr>
        <w:t>WRC</w:t>
      </w:r>
      <w:r w:rsidR="00BC7244">
        <w:rPr>
          <w:lang w:bidi="ar-EG"/>
        </w:rPr>
        <w:noBreakHyphen/>
      </w:r>
      <w:r w:rsidR="00671A3B">
        <w:rPr>
          <w:lang w:bidi="ar-EG"/>
        </w:rPr>
        <w:t>27</w:t>
      </w:r>
      <w:r w:rsidR="00671A3B" w:rsidRPr="00671A3B">
        <w:rPr>
          <w:rtl/>
          <w:lang w:bidi="ar-EG"/>
        </w:rPr>
        <w:t xml:space="preserve"> في الصين كشرط مسبق للمشاورات، مما يقوض الأساس اللازم للتوصل إلى توافق الآراء.</w:t>
      </w:r>
      <w:r w:rsidR="00671A3B" w:rsidRPr="00671A3B">
        <w:rPr>
          <w:rtl/>
        </w:rPr>
        <w:t xml:space="preserve"> </w:t>
      </w:r>
      <w:r w:rsidR="00671A3B">
        <w:rPr>
          <w:rFonts w:hint="cs"/>
          <w:rtl/>
        </w:rPr>
        <w:t>و</w:t>
      </w:r>
      <w:r w:rsidR="00671A3B" w:rsidRPr="00671A3B">
        <w:rPr>
          <w:rtl/>
        </w:rPr>
        <w:t>ترى الصين أنه في</w:t>
      </w:r>
      <w:r w:rsidR="00BC7244">
        <w:rPr>
          <w:rFonts w:hint="cs"/>
          <w:rtl/>
        </w:rPr>
        <w:t> </w:t>
      </w:r>
      <w:r w:rsidR="00671A3B" w:rsidRPr="00671A3B">
        <w:rPr>
          <w:rtl/>
        </w:rPr>
        <w:t xml:space="preserve">ظل هذه الظروف لا يوجد أساس </w:t>
      </w:r>
      <w:r w:rsidR="00671A3B">
        <w:rPr>
          <w:rFonts w:hint="cs"/>
          <w:rtl/>
        </w:rPr>
        <w:t>سليم</w:t>
      </w:r>
      <w:r w:rsidR="00671A3B" w:rsidRPr="00671A3B">
        <w:rPr>
          <w:rtl/>
        </w:rPr>
        <w:t xml:space="preserve"> </w:t>
      </w:r>
      <w:r w:rsidR="00671A3B">
        <w:rPr>
          <w:rFonts w:hint="cs"/>
          <w:rtl/>
        </w:rPr>
        <w:t>ل</w:t>
      </w:r>
      <w:r w:rsidR="005C5734">
        <w:rPr>
          <w:rFonts w:hint="cs"/>
          <w:rtl/>
        </w:rPr>
        <w:t xml:space="preserve">تحقيق </w:t>
      </w:r>
      <w:r w:rsidR="00671A3B">
        <w:rPr>
          <w:rFonts w:hint="cs"/>
          <w:rtl/>
        </w:rPr>
        <w:t>توافق الآراء</w:t>
      </w:r>
      <w:r w:rsidR="00671A3B" w:rsidRPr="00671A3B">
        <w:rPr>
          <w:rtl/>
        </w:rPr>
        <w:t xml:space="preserve">، وأن أي مناقشة أو تأخير إضافي سيكون بلا جدوى. ويجب </w:t>
      </w:r>
      <w:r w:rsidR="00671A3B">
        <w:rPr>
          <w:rFonts w:hint="cs"/>
          <w:rtl/>
        </w:rPr>
        <w:t>إغلاق</w:t>
      </w:r>
      <w:r w:rsidR="00671A3B" w:rsidRPr="00671A3B">
        <w:rPr>
          <w:rtl/>
        </w:rPr>
        <w:t xml:space="preserve"> المناقشة.</w:t>
      </w:r>
    </w:p>
    <w:p w14:paraId="37AA5BA2" w14:textId="5A514514" w:rsidR="00243F39" w:rsidRPr="00243F39" w:rsidRDefault="00045CD7" w:rsidP="00243F39">
      <w:pPr>
        <w:rPr>
          <w:rtl/>
          <w:lang w:bidi="ar-EG"/>
        </w:rPr>
      </w:pPr>
      <w:r>
        <w:rPr>
          <w:lang w:bidi="ar-EG"/>
        </w:rPr>
        <w:t>8</w:t>
      </w:r>
      <w:r w:rsidR="00A75C55">
        <w:rPr>
          <w:lang w:bidi="ar-EG"/>
        </w:rPr>
        <w:t>.2</w:t>
      </w:r>
      <w:r w:rsidR="00243F39" w:rsidRPr="00243F39">
        <w:rPr>
          <w:rtl/>
          <w:lang w:bidi="ar-EG"/>
        </w:rPr>
        <w:tab/>
        <w:t>أوضح المستشار القانوني، بناءً على طلب الرئيسة، أن المجلس أمامه اقتراح بتأجيل المناقشة بموجب الرقم</w:t>
      </w:r>
      <w:r w:rsidR="000C0F7C">
        <w:rPr>
          <w:rFonts w:hint="cs"/>
          <w:rtl/>
          <w:lang w:bidi="ar-EG"/>
        </w:rPr>
        <w:t> </w:t>
      </w:r>
      <w:r w:rsidR="00243F39" w:rsidRPr="00243F39">
        <w:rPr>
          <w:rtl/>
          <w:lang w:bidi="ar-EG"/>
        </w:rPr>
        <w:t>106 من القواعد العامة. وإذا أُقر اقتراح التأجيل، فسيمضي المجلس في مناقشة بنود أخرى من جدول الأعمال ويعود إلى مناقشة هذا البند، بما في ذلك التصويت على اقتراح إغلاق المناقشة، في دورته المقبلة.</w:t>
      </w:r>
    </w:p>
    <w:p w14:paraId="1D8A30F7" w14:textId="321E9912" w:rsidR="00243F39" w:rsidRPr="00243F39" w:rsidRDefault="00045CD7" w:rsidP="000C0F7C">
      <w:pPr>
        <w:rPr>
          <w:rtl/>
          <w:lang w:bidi="ar-EG"/>
        </w:rPr>
      </w:pPr>
      <w:r>
        <w:rPr>
          <w:lang w:bidi="ar-EG"/>
        </w:rPr>
        <w:t>9</w:t>
      </w:r>
      <w:r w:rsidR="00A75C55">
        <w:rPr>
          <w:lang w:bidi="ar-EG"/>
        </w:rPr>
        <w:t>.2</w:t>
      </w:r>
      <w:r w:rsidR="00243F39" w:rsidRPr="00243F39">
        <w:rPr>
          <w:rtl/>
          <w:lang w:bidi="ar-EG"/>
        </w:rPr>
        <w:tab/>
        <w:t>‏أعلن المستشار القانوني، نيابة</w:t>
      </w:r>
      <w:r w:rsidR="000C0F7C">
        <w:rPr>
          <w:rFonts w:hint="cs"/>
          <w:rtl/>
          <w:lang w:bidi="ar-EG"/>
        </w:rPr>
        <w:t>ً</w:t>
      </w:r>
      <w:r w:rsidR="00243F39" w:rsidRPr="00243F39">
        <w:rPr>
          <w:rtl/>
          <w:lang w:bidi="ar-EG"/>
        </w:rPr>
        <w:t xml:space="preserve"> عن الرئيسة، بعد أن أكد وجود النصاب، أن التصويت سيجري برفع الأيدي على</w:t>
      </w:r>
      <w:r w:rsidR="000C0F7C">
        <w:rPr>
          <w:rFonts w:hint="cs"/>
          <w:rtl/>
          <w:lang w:bidi="ar-EG"/>
        </w:rPr>
        <w:t> </w:t>
      </w:r>
      <w:r w:rsidR="00243F39" w:rsidRPr="00243F39">
        <w:rPr>
          <w:rtl/>
          <w:lang w:bidi="ar-EG"/>
        </w:rPr>
        <w:t>اقتراح تأجيل المناقشة وأعلن بدء التصويت.</w:t>
      </w:r>
      <w:r w:rsidR="00243F39" w:rsidRPr="00243F39">
        <w:rPr>
          <w:cs/>
          <w:lang w:bidi="ar-EG"/>
        </w:rPr>
        <w:t>‎</w:t>
      </w:r>
    </w:p>
    <w:p w14:paraId="598548C6" w14:textId="2247923A" w:rsidR="00243F39" w:rsidRPr="00243F39" w:rsidRDefault="00045CD7" w:rsidP="00F57DC8">
      <w:pPr>
        <w:keepNext/>
        <w:rPr>
          <w:rtl/>
          <w:lang w:bidi="ar-EG"/>
        </w:rPr>
      </w:pPr>
      <w:r>
        <w:rPr>
          <w:lang w:bidi="ar-EG"/>
        </w:rPr>
        <w:t>10</w:t>
      </w:r>
      <w:r w:rsidR="00A75C55">
        <w:rPr>
          <w:lang w:bidi="ar-EG"/>
        </w:rPr>
        <w:t>.2</w:t>
      </w:r>
      <w:r w:rsidR="00243F39" w:rsidRPr="00243F39">
        <w:rPr>
          <w:rtl/>
          <w:lang w:bidi="ar-EG"/>
        </w:rPr>
        <w:tab/>
        <w:t>وأعلنت الرئيسة نتائج التصويت على النحو التالي:</w:t>
      </w:r>
    </w:p>
    <w:p w14:paraId="6945B3FC" w14:textId="39CD7076" w:rsidR="00243F39" w:rsidRPr="00243F39" w:rsidRDefault="000C0F7C" w:rsidP="000C0F7C">
      <w:pPr>
        <w:pStyle w:val="enumlev10"/>
        <w:tabs>
          <w:tab w:val="right" w:pos="4676"/>
        </w:tabs>
        <w:rPr>
          <w:rtl/>
        </w:rPr>
      </w:pPr>
      <w:r>
        <w:tab/>
      </w:r>
      <w:r w:rsidR="00243F39" w:rsidRPr="00243F39">
        <w:rPr>
          <w:rtl/>
        </w:rPr>
        <w:t>عدد الوفود الحاضرة والمصوتة:</w:t>
      </w:r>
      <w:r w:rsidR="00243F39" w:rsidRPr="00243F39">
        <w:rPr>
          <w:rtl/>
        </w:rPr>
        <w:tab/>
        <w:t>29</w:t>
      </w:r>
    </w:p>
    <w:p w14:paraId="3216C581" w14:textId="1960338A" w:rsidR="00243F39" w:rsidRPr="00243F39" w:rsidRDefault="000C0F7C" w:rsidP="000C0F7C">
      <w:pPr>
        <w:pStyle w:val="enumlev10"/>
        <w:tabs>
          <w:tab w:val="right" w:pos="4676"/>
        </w:tabs>
        <w:rPr>
          <w:rtl/>
        </w:rPr>
      </w:pPr>
      <w:r>
        <w:tab/>
      </w:r>
      <w:r w:rsidR="00243F39" w:rsidRPr="00243F39">
        <w:rPr>
          <w:rtl/>
        </w:rPr>
        <w:t>الأغلبية المطلوبة:</w:t>
      </w:r>
      <w:r w:rsidR="00243F39" w:rsidRPr="00243F39">
        <w:rPr>
          <w:rtl/>
        </w:rPr>
        <w:tab/>
        <w:t>15</w:t>
      </w:r>
    </w:p>
    <w:p w14:paraId="2EA3C27A" w14:textId="1AA5F25A" w:rsidR="00243F39" w:rsidRPr="00243F39" w:rsidRDefault="000C0F7C" w:rsidP="000C0F7C">
      <w:pPr>
        <w:pStyle w:val="enumlev10"/>
        <w:tabs>
          <w:tab w:val="right" w:pos="4676"/>
        </w:tabs>
        <w:rPr>
          <w:rtl/>
        </w:rPr>
      </w:pPr>
      <w:r>
        <w:tab/>
      </w:r>
      <w:r w:rsidR="00243F39" w:rsidRPr="00243F39">
        <w:rPr>
          <w:rtl/>
        </w:rPr>
        <w:t>المؤيدون للاقتراح:</w:t>
      </w:r>
      <w:r w:rsidR="00243F39" w:rsidRPr="00243F39">
        <w:rPr>
          <w:rtl/>
        </w:rPr>
        <w:tab/>
        <w:t>16</w:t>
      </w:r>
    </w:p>
    <w:p w14:paraId="5B688947" w14:textId="6B4F2987" w:rsidR="00243F39" w:rsidRPr="00243F39" w:rsidRDefault="000C0F7C" w:rsidP="000C0F7C">
      <w:pPr>
        <w:pStyle w:val="enumlev10"/>
        <w:tabs>
          <w:tab w:val="right" w:pos="4676"/>
        </w:tabs>
        <w:rPr>
          <w:rtl/>
        </w:rPr>
      </w:pPr>
      <w:r>
        <w:tab/>
      </w:r>
      <w:r w:rsidR="00243F39" w:rsidRPr="00243F39">
        <w:rPr>
          <w:rtl/>
        </w:rPr>
        <w:t>المعارضون للاقتراح:</w:t>
      </w:r>
      <w:r w:rsidR="00243F39" w:rsidRPr="00243F39">
        <w:rPr>
          <w:rtl/>
        </w:rPr>
        <w:tab/>
        <w:t>13</w:t>
      </w:r>
    </w:p>
    <w:p w14:paraId="54674328" w14:textId="56F92125" w:rsidR="00243F39" w:rsidRPr="00243F39" w:rsidRDefault="000C0F7C" w:rsidP="000C0F7C">
      <w:pPr>
        <w:pStyle w:val="enumlev10"/>
        <w:tabs>
          <w:tab w:val="right" w:pos="4676"/>
        </w:tabs>
        <w:rPr>
          <w:rtl/>
        </w:rPr>
      </w:pPr>
      <w:r>
        <w:tab/>
      </w:r>
      <w:r w:rsidR="00243F39" w:rsidRPr="00243F39">
        <w:rPr>
          <w:rtl/>
        </w:rPr>
        <w:t>عدد الوفود التي امتنعت عن التصويت:</w:t>
      </w:r>
      <w:r w:rsidR="00243F39" w:rsidRPr="00243F39">
        <w:rPr>
          <w:rtl/>
        </w:rPr>
        <w:tab/>
        <w:t>9</w:t>
      </w:r>
    </w:p>
    <w:p w14:paraId="1888319F" w14:textId="10A697B1" w:rsidR="00243F39" w:rsidRPr="00243F39" w:rsidRDefault="00045CD7" w:rsidP="00243F39">
      <w:pPr>
        <w:rPr>
          <w:rtl/>
          <w:lang w:bidi="ar-EG"/>
        </w:rPr>
      </w:pPr>
      <w:r>
        <w:rPr>
          <w:lang w:bidi="ar-EG"/>
        </w:rPr>
        <w:t>11</w:t>
      </w:r>
      <w:r w:rsidR="00A75C55">
        <w:rPr>
          <w:lang w:bidi="ar-EG"/>
        </w:rPr>
        <w:t>.2</w:t>
      </w:r>
      <w:r w:rsidR="00243F39" w:rsidRPr="00243F39">
        <w:rPr>
          <w:rtl/>
          <w:lang w:bidi="ar-EG"/>
        </w:rPr>
        <w:tab/>
        <w:t xml:space="preserve">تم </w:t>
      </w:r>
      <w:r w:rsidR="00243F39" w:rsidRPr="000C0F7C">
        <w:rPr>
          <w:b/>
          <w:bCs/>
          <w:rtl/>
          <w:lang w:bidi="ar-EG"/>
        </w:rPr>
        <w:t>تأييد</w:t>
      </w:r>
      <w:r w:rsidR="00243F39" w:rsidRPr="00243F39">
        <w:rPr>
          <w:rtl/>
          <w:lang w:bidi="ar-EG"/>
        </w:rPr>
        <w:t xml:space="preserve"> اقتراح تأجيل المناقشة بأغلبية 16 صوتاً مقابل 13 صوتاً، مع امتناع 9 وفود عن التصويت.</w:t>
      </w:r>
    </w:p>
    <w:p w14:paraId="3BE45D4E" w14:textId="44BD1988" w:rsidR="00243F39" w:rsidRPr="00243F39" w:rsidRDefault="00045CD7" w:rsidP="00243F39">
      <w:pPr>
        <w:rPr>
          <w:rtl/>
          <w:lang w:bidi="ar-EG"/>
        </w:rPr>
      </w:pPr>
      <w:r>
        <w:rPr>
          <w:lang w:bidi="ar-EG"/>
        </w:rPr>
        <w:t>12</w:t>
      </w:r>
      <w:r w:rsidR="00A75C55">
        <w:rPr>
          <w:lang w:bidi="ar-EG"/>
        </w:rPr>
        <w:t>.2</w:t>
      </w:r>
      <w:r w:rsidR="00243F39" w:rsidRPr="00243F39">
        <w:rPr>
          <w:rtl/>
          <w:lang w:bidi="ar-EG"/>
        </w:rPr>
        <w:tab/>
        <w:t>قال المستشار القانوني إن المجلس سيستأنف بالتالي مناقشة هذا البند في اجتماعه المقبل.</w:t>
      </w:r>
    </w:p>
    <w:p w14:paraId="42DC4A2F" w14:textId="26CF956E" w:rsidR="00243F39" w:rsidRPr="00243F39" w:rsidRDefault="00243F39" w:rsidP="000C0F7C">
      <w:pPr>
        <w:pStyle w:val="Heading1"/>
        <w:rPr>
          <w:rtl/>
          <w:lang w:bidi="ar-EG"/>
        </w:rPr>
      </w:pPr>
      <w:r w:rsidRPr="00243F39">
        <w:rPr>
          <w:rtl/>
          <w:lang w:bidi="ar-EG"/>
        </w:rPr>
        <w:t>3</w:t>
      </w:r>
      <w:r w:rsidRPr="00243F39">
        <w:rPr>
          <w:rtl/>
          <w:lang w:bidi="ar-EG"/>
        </w:rPr>
        <w:tab/>
        <w:t xml:space="preserve">أنشطة الاتحاد بشأن تنفيذ قرار المجلس 1429 (الصادر في دورة المجلس لعام 2024) بشأن الاستدامة البيئية (الوثيقة </w:t>
      </w:r>
      <w:hyperlink r:id="rId17" w:history="1">
        <w:r w:rsidRPr="000C0F7C">
          <w:rPr>
            <w:rStyle w:val="Hyperlink"/>
            <w:noProof w:val="0"/>
            <w:lang w:val="en-US" w:eastAsia="zh-CN" w:bidi="ar-EG"/>
          </w:rPr>
          <w:t>C25/45</w:t>
        </w:r>
      </w:hyperlink>
      <w:r w:rsidRPr="00243F39">
        <w:rPr>
          <w:rtl/>
          <w:lang w:bidi="ar-EG"/>
        </w:rPr>
        <w:t>)</w:t>
      </w:r>
    </w:p>
    <w:p w14:paraId="1816C68B" w14:textId="112DDD3C" w:rsidR="00243F39" w:rsidRPr="00883C65" w:rsidRDefault="000C0F7C" w:rsidP="00243F39">
      <w:pPr>
        <w:rPr>
          <w:spacing w:val="-1"/>
          <w:rtl/>
        </w:rPr>
      </w:pPr>
      <w:r w:rsidRPr="00883C65">
        <w:rPr>
          <w:spacing w:val="-1"/>
          <w:lang w:bidi="ar-EG"/>
        </w:rPr>
        <w:t>1.3</w:t>
      </w:r>
      <w:r w:rsidR="00243F39" w:rsidRPr="00883C65">
        <w:rPr>
          <w:spacing w:val="-1"/>
          <w:rtl/>
          <w:lang w:bidi="ar-EG"/>
        </w:rPr>
        <w:tab/>
        <w:t xml:space="preserve">قدم ممثل عن الأمانة العامة الوثيقة </w:t>
      </w:r>
      <w:r w:rsidR="00243F39" w:rsidRPr="00883C65">
        <w:rPr>
          <w:spacing w:val="-1"/>
          <w:lang w:bidi="ar-EG"/>
        </w:rPr>
        <w:t>C25/45</w:t>
      </w:r>
      <w:r w:rsidR="00243F39" w:rsidRPr="00883C65">
        <w:rPr>
          <w:spacing w:val="-1"/>
          <w:rtl/>
          <w:lang w:bidi="ar-EG"/>
        </w:rPr>
        <w:t xml:space="preserve">، التي تلخص التقدم المحرز في تنفيذ قرار المجلس 1429 (الصادر في دورة المجلس لعام 2024) بشأن الاستدامة البيئية. ويكمل التقرير أنشطة العمل المناخي والتحول الرقمي المستدام المبينة في التقرير المتعلق بتنفيذ الخطة الاستراتيجية للاتحاد وأنشطته للفترة </w:t>
      </w:r>
      <w:r w:rsidR="00883C65" w:rsidRPr="00883C65">
        <w:rPr>
          <w:spacing w:val="-1"/>
          <w:lang w:bidi="ar-EG"/>
        </w:rPr>
        <w:t>2025-2024</w:t>
      </w:r>
      <w:r w:rsidR="00243F39" w:rsidRPr="00883C65">
        <w:rPr>
          <w:spacing w:val="-1"/>
          <w:rtl/>
          <w:lang w:bidi="ar-EG"/>
        </w:rPr>
        <w:t xml:space="preserve"> (الوثيقة</w:t>
      </w:r>
      <w:r w:rsidRPr="00883C65">
        <w:rPr>
          <w:rFonts w:hint="eastAsia"/>
          <w:spacing w:val="-1"/>
          <w:rtl/>
        </w:rPr>
        <w:t> </w:t>
      </w:r>
      <w:hyperlink r:id="rId18" w:history="1">
        <w:r w:rsidR="00243F39" w:rsidRPr="00883C65">
          <w:rPr>
            <w:rStyle w:val="Hyperlink"/>
            <w:noProof w:val="0"/>
            <w:spacing w:val="-1"/>
            <w:lang w:val="en-US" w:eastAsia="zh-CN" w:bidi="ar-EG"/>
          </w:rPr>
          <w:t>C25/35</w:t>
        </w:r>
      </w:hyperlink>
      <w:r w:rsidR="00243F39" w:rsidRPr="00883C65">
        <w:rPr>
          <w:spacing w:val="-1"/>
          <w:rtl/>
          <w:lang w:bidi="ar-EG"/>
        </w:rPr>
        <w:t>)</w:t>
      </w:r>
      <w:r w:rsidR="009232B7">
        <w:rPr>
          <w:rFonts w:hint="cs"/>
          <w:spacing w:val="-1"/>
          <w:rtl/>
        </w:rPr>
        <w:t>.</w:t>
      </w:r>
    </w:p>
    <w:p w14:paraId="3CCB7154" w14:textId="0B0C4F0F" w:rsidR="00243F39" w:rsidRPr="00243F39" w:rsidRDefault="000C0F7C" w:rsidP="00243F39">
      <w:pPr>
        <w:rPr>
          <w:rtl/>
          <w:lang w:bidi="ar-EG"/>
        </w:rPr>
      </w:pPr>
      <w:r>
        <w:rPr>
          <w:lang w:bidi="ar-EG"/>
        </w:rPr>
        <w:t>2.3</w:t>
      </w:r>
      <w:r w:rsidR="00243F39" w:rsidRPr="00243F39">
        <w:rPr>
          <w:rtl/>
          <w:lang w:bidi="ar-EG"/>
        </w:rPr>
        <w:tab/>
        <w:t>رحب عضوان في المجلس بالجهود المبذولة لتعزيز الاستدامة البيئية للاتحاد؛ ومع ذلك، أعرب أحدهم عن قلقه إزاء عدم وجود خفض في انبعاثات ثاني أكسيد الكربون ودعا إلى اتخاذ إجراءات استراتيجية وملموسة تتماشى مع المبادئ التوجيهية بشأن الاستدامة، وتهدف على وجه الخصوص إلى تقليل عدد الرحلات الجوية التي يدفع الاتحاد تكاليفها.</w:t>
      </w:r>
    </w:p>
    <w:p w14:paraId="63C76B25" w14:textId="68514C07" w:rsidR="00243F39" w:rsidRPr="00243F39" w:rsidRDefault="000C0F7C" w:rsidP="00243F39">
      <w:pPr>
        <w:rPr>
          <w:rtl/>
          <w:lang w:bidi="ar-EG"/>
        </w:rPr>
      </w:pPr>
      <w:r>
        <w:rPr>
          <w:lang w:bidi="ar-EG"/>
        </w:rPr>
        <w:t>3.3</w:t>
      </w:r>
      <w:r w:rsidR="00243F39" w:rsidRPr="00243F39">
        <w:rPr>
          <w:rtl/>
          <w:lang w:bidi="ar-EG"/>
        </w:rPr>
        <w:tab/>
        <w:t>وردّ ممثل الأمانة العامة قائلاً إن فريق العمل المعني بنظام الإدارة البيئية قد تم تعزيزه واقترح تدابير مختلفة تخضع حالياً لاستعراض لجنة التنسيق. ويتعين على الاتحاد أن يثبت دوره الريادي في مجال الاستدامة البيئية وتحسين الكفاءة البيئية للقطاع</w:t>
      </w:r>
      <w:r w:rsidR="007C7FDC">
        <w:rPr>
          <w:rFonts w:hint="cs"/>
          <w:rtl/>
          <w:lang w:bidi="ar-EG"/>
        </w:rPr>
        <w:t>.</w:t>
      </w:r>
    </w:p>
    <w:p w14:paraId="74665D27" w14:textId="5E792A1F" w:rsidR="00243F39" w:rsidRPr="00243F39" w:rsidRDefault="000C0F7C" w:rsidP="00243F39">
      <w:pPr>
        <w:rPr>
          <w:rtl/>
          <w:lang w:bidi="ar-EG"/>
        </w:rPr>
      </w:pPr>
      <w:r>
        <w:rPr>
          <w:lang w:bidi="ar-EG"/>
        </w:rPr>
        <w:t>4.3</w:t>
      </w:r>
      <w:r w:rsidR="00243F39" w:rsidRPr="00243F39">
        <w:rPr>
          <w:rtl/>
          <w:lang w:bidi="ar-EG"/>
        </w:rPr>
        <w:tab/>
      </w:r>
      <w:r w:rsidR="00BC5BA0">
        <w:rPr>
          <w:b/>
          <w:bCs/>
          <w:rtl/>
          <w:lang w:bidi="ar-EG"/>
        </w:rPr>
        <w:t>وأخذ</w:t>
      </w:r>
      <w:r w:rsidR="00243F39" w:rsidRPr="00243F39">
        <w:rPr>
          <w:rtl/>
          <w:lang w:bidi="ar-EG"/>
        </w:rPr>
        <w:t xml:space="preserve"> المجلس </w:t>
      </w:r>
      <w:r w:rsidR="00243F39" w:rsidRPr="000C0F7C">
        <w:rPr>
          <w:b/>
          <w:bCs/>
          <w:rtl/>
          <w:lang w:bidi="ar-EG"/>
        </w:rPr>
        <w:t>علما</w:t>
      </w:r>
      <w:r w:rsidR="00D479B2">
        <w:rPr>
          <w:rFonts w:hint="cs"/>
          <w:b/>
          <w:bCs/>
          <w:rtl/>
          <w:lang w:bidi="ar-EG"/>
        </w:rPr>
        <w:t>ً</w:t>
      </w:r>
      <w:r w:rsidR="00243F39" w:rsidRPr="00243F39">
        <w:rPr>
          <w:rtl/>
          <w:lang w:bidi="ar-EG"/>
        </w:rPr>
        <w:t xml:space="preserve"> بالتقرير الوارد في الوثيقة </w:t>
      </w:r>
      <w:r w:rsidR="00243F39" w:rsidRPr="00243F39">
        <w:rPr>
          <w:lang w:bidi="ar-EG"/>
        </w:rPr>
        <w:t>C25/45</w:t>
      </w:r>
      <w:r w:rsidR="00243F39" w:rsidRPr="00243F39">
        <w:rPr>
          <w:rtl/>
          <w:lang w:bidi="ar-EG"/>
        </w:rPr>
        <w:t>.</w:t>
      </w:r>
    </w:p>
    <w:p w14:paraId="1610A4E5" w14:textId="1B763A40" w:rsidR="00243F39" w:rsidRPr="00243F39" w:rsidRDefault="00243F39" w:rsidP="000C0F7C">
      <w:pPr>
        <w:pStyle w:val="Heading1"/>
        <w:rPr>
          <w:rtl/>
          <w:lang w:bidi="ar-EG"/>
        </w:rPr>
      </w:pPr>
      <w:r w:rsidRPr="00243F39">
        <w:rPr>
          <w:rtl/>
          <w:lang w:bidi="ar-EG"/>
        </w:rPr>
        <w:t>4</w:t>
      </w:r>
      <w:r w:rsidRPr="00243F39">
        <w:rPr>
          <w:rtl/>
          <w:lang w:bidi="ar-EG"/>
        </w:rPr>
        <w:tab/>
        <w:t xml:space="preserve">الأنشطة الداعمة لإعادة بناء البنية التحتية في البلدان المعنية (الوثيقة </w:t>
      </w:r>
      <w:hyperlink r:id="rId19" w:history="1">
        <w:r w:rsidRPr="00D479B2">
          <w:rPr>
            <w:rStyle w:val="Hyperlink"/>
            <w:noProof w:val="0"/>
            <w:lang w:val="en-US" w:eastAsia="zh-CN" w:bidi="ar-EG"/>
          </w:rPr>
          <w:t>C25/72</w:t>
        </w:r>
      </w:hyperlink>
      <w:r w:rsidRPr="00243F39">
        <w:rPr>
          <w:rtl/>
          <w:lang w:bidi="ar-EG"/>
        </w:rPr>
        <w:t>)</w:t>
      </w:r>
    </w:p>
    <w:p w14:paraId="1792A542" w14:textId="623A0615" w:rsidR="00243F39" w:rsidRPr="00243F39" w:rsidRDefault="00AB4376" w:rsidP="00AB4376">
      <w:pPr>
        <w:rPr>
          <w:rtl/>
          <w:lang w:bidi="ar-EG"/>
        </w:rPr>
      </w:pPr>
      <w:r>
        <w:rPr>
          <w:lang w:bidi="ar-EG"/>
        </w:rPr>
        <w:t>1.4</w:t>
      </w:r>
      <w:r w:rsidR="00243F39" w:rsidRPr="00243F39">
        <w:rPr>
          <w:rtl/>
          <w:lang w:bidi="ar-EG"/>
        </w:rPr>
        <w:tab/>
        <w:t>عرض نائب مدير مكتب تنمية الاتصالات (</w:t>
      </w:r>
      <w:r w:rsidR="00243F39" w:rsidRPr="00243F39">
        <w:rPr>
          <w:lang w:bidi="ar-EG"/>
        </w:rPr>
        <w:t>BDT</w:t>
      </w:r>
      <w:r w:rsidR="00243F39" w:rsidRPr="00243F39">
        <w:rPr>
          <w:rtl/>
          <w:lang w:bidi="ar-EG"/>
        </w:rPr>
        <w:t xml:space="preserve">) الوثيقة </w:t>
      </w:r>
      <w:r w:rsidR="00243F39" w:rsidRPr="00243F39">
        <w:rPr>
          <w:lang w:bidi="ar-EG"/>
        </w:rPr>
        <w:t>C25/72</w:t>
      </w:r>
      <w:r w:rsidR="00243F39" w:rsidRPr="00243F39">
        <w:rPr>
          <w:rtl/>
          <w:lang w:bidi="ar-EG"/>
        </w:rPr>
        <w:t>، التي تقدم لمحة عامة مفصلة عن أنشطة الاتحاد لدعم الدول الأعضاء في إعادة بناء البنية التحتية لتكنولوجيا المعلومات والاتصالات (</w:t>
      </w:r>
      <w:r w:rsidR="00243F39" w:rsidRPr="00243F39">
        <w:rPr>
          <w:lang w:bidi="ar-EG"/>
        </w:rPr>
        <w:t>ICT</w:t>
      </w:r>
      <w:r w:rsidR="00243F39" w:rsidRPr="00243F39">
        <w:rPr>
          <w:rtl/>
          <w:lang w:bidi="ar-EG"/>
        </w:rPr>
        <w:t>). وجاء التقرير استجابة</w:t>
      </w:r>
      <w:r w:rsidR="00D479B2">
        <w:rPr>
          <w:rFonts w:hint="cs"/>
          <w:rtl/>
          <w:lang w:bidi="ar-EG"/>
        </w:rPr>
        <w:t>ً</w:t>
      </w:r>
      <w:r w:rsidR="00243F39" w:rsidRPr="00243F39">
        <w:rPr>
          <w:rtl/>
          <w:lang w:bidi="ar-EG"/>
        </w:rPr>
        <w:t xml:space="preserve"> لطلب قُدم خلال دورة المجلس لعام 2024.</w:t>
      </w:r>
    </w:p>
    <w:p w14:paraId="6FDA9410" w14:textId="5738DE30" w:rsidR="00243F39" w:rsidRPr="00243F39" w:rsidRDefault="00AB4376" w:rsidP="00243F39">
      <w:pPr>
        <w:rPr>
          <w:rtl/>
          <w:lang w:bidi="ar-EG"/>
        </w:rPr>
      </w:pPr>
      <w:proofErr w:type="gramStart"/>
      <w:r>
        <w:rPr>
          <w:lang w:bidi="ar-EG"/>
        </w:rPr>
        <w:t>2.4</w:t>
      </w:r>
      <w:r w:rsidR="00243F39" w:rsidRPr="00243F39">
        <w:rPr>
          <w:rtl/>
          <w:lang w:bidi="ar-EG"/>
        </w:rPr>
        <w:tab/>
        <w:t>رحب أحد أعضاء المجلس بالتقرير، مشيراً إلى أن أياً من البلدان التي تتلقى الدعم بموجب القرار 34 (المراج</w:t>
      </w:r>
      <w:r>
        <w:rPr>
          <w:rFonts w:hint="cs"/>
          <w:rtl/>
          <w:lang w:bidi="ar-EG"/>
        </w:rPr>
        <w:t>َ</w:t>
      </w:r>
      <w:r w:rsidR="00243F39" w:rsidRPr="00243F39">
        <w:rPr>
          <w:rtl/>
          <w:lang w:bidi="ar-EG"/>
        </w:rPr>
        <w:t>ع في دبي، 2022) لمؤتمر المندوبين المفوضين (</w:t>
      </w:r>
      <w:r w:rsidR="00243F39" w:rsidRPr="00243F39">
        <w:rPr>
          <w:lang w:bidi="ar-EG"/>
        </w:rPr>
        <w:t>PP</w:t>
      </w:r>
      <w:r w:rsidR="00243F39" w:rsidRPr="00243F39">
        <w:rPr>
          <w:rtl/>
          <w:lang w:bidi="ar-EG"/>
        </w:rPr>
        <w:t>) أو قرارات مؤتمر المندوبين المفوضين وقرارات المجلس الخاصة بكل بلد ليست من الدول الأعضاء في المجلس؛ ولذلك فإن اليقظة والرقابة ضروريان في هذا الشأن</w:t>
      </w:r>
      <w:proofErr w:type="gramEnd"/>
      <w:r w:rsidR="00243F39" w:rsidRPr="00243F39">
        <w:rPr>
          <w:rtl/>
          <w:lang w:bidi="ar-EG"/>
        </w:rPr>
        <w:t>. ودعا إلى مزيد من الإنصاف في إعداد التقارير واتخاذ الإجراءات بشأن المساعدة المقدمة إلى هذه البلدان، وحث على تلبية احتياجات جميع البلدان. وأضاف أنه يمكن تكييف المنصات المطورة لصالح البلدان التي تأثرت مؤخراً لدعم بلدان أخرى.</w:t>
      </w:r>
    </w:p>
    <w:p w14:paraId="2F6F27C5" w14:textId="22098D0B" w:rsidR="00243F39" w:rsidRPr="00243F39" w:rsidRDefault="00AB4376" w:rsidP="00243F39">
      <w:pPr>
        <w:rPr>
          <w:rtl/>
          <w:lang w:bidi="ar-EG"/>
        </w:rPr>
      </w:pPr>
      <w:r>
        <w:rPr>
          <w:lang w:bidi="ar-EG"/>
        </w:rPr>
        <w:t>3.4</w:t>
      </w:r>
      <w:r w:rsidR="00243F39" w:rsidRPr="00243F39">
        <w:rPr>
          <w:rtl/>
          <w:lang w:bidi="ar-EG"/>
        </w:rPr>
        <w:tab/>
        <w:t>أعرب المراقب عن الاتحاد الروسي عن قلقه إزاء عدم إحراز تقدم في استعادة البنية التحتية للاتصالات في</w:t>
      </w:r>
      <w:r>
        <w:rPr>
          <w:rFonts w:hint="eastAsia"/>
          <w:rtl/>
        </w:rPr>
        <w:t> </w:t>
      </w:r>
      <w:r w:rsidR="00243F39" w:rsidRPr="00243F39">
        <w:rPr>
          <w:rtl/>
          <w:lang w:bidi="ar-EG"/>
        </w:rPr>
        <w:t>فلسطين وإزاء عدم رد الأمينة العامة في أعقاب الهجمات المباشرة التي شنتها إسرائيل على البنية التحتية للاتصالات في جمهورية إيران الإسلامية. ودحضت المراقِبة عن إسرائيل هذا الاتهام، قائلة إن حكومتها استهدفت أهدافاً عسكرية مشروعة، على عكس جمهورية إيران الإسلامية، التي هاجمت المدنيين والبنية التحتية المدنية</w:t>
      </w:r>
      <w:r>
        <w:rPr>
          <w:rFonts w:hint="cs"/>
          <w:rtl/>
          <w:lang w:bidi="ar-EG"/>
        </w:rPr>
        <w:t>.</w:t>
      </w:r>
    </w:p>
    <w:p w14:paraId="56557114" w14:textId="0C714E9F" w:rsidR="00243F39" w:rsidRPr="00243F39" w:rsidRDefault="00AB4376" w:rsidP="00243F39">
      <w:pPr>
        <w:rPr>
          <w:rtl/>
          <w:lang w:bidi="ar-EG"/>
        </w:rPr>
      </w:pPr>
      <w:r>
        <w:rPr>
          <w:lang w:bidi="ar-EG"/>
        </w:rPr>
        <w:t>4.4</w:t>
      </w:r>
      <w:r w:rsidR="00243F39" w:rsidRPr="00243F39">
        <w:rPr>
          <w:rtl/>
          <w:lang w:bidi="ar-EG"/>
        </w:rPr>
        <w:tab/>
        <w:t>قال نائب مدير مكتب تنمية الاتصالات إن أنشطة إعادة بناء البنية التحتية أُدمجت في الخطة التشغيلية لمكتب تنمية الاتصالات من أجل تحقيق الاستخدام الأمثل للموارد وتجنب الازدواجية. وقُدمت تقارير ولوحات معلومات إلى</w:t>
      </w:r>
      <w:r>
        <w:rPr>
          <w:rFonts w:hint="cs"/>
          <w:rtl/>
          <w:lang w:bidi="ar-EG"/>
        </w:rPr>
        <w:t> </w:t>
      </w:r>
      <w:r w:rsidR="00243F39" w:rsidRPr="00243F39">
        <w:rPr>
          <w:rtl/>
          <w:lang w:bidi="ar-EG"/>
        </w:rPr>
        <w:t>الفريق الاستشاري لتنمية الاتصالات لتيسير إشراف الدول الأعضاء.</w:t>
      </w:r>
    </w:p>
    <w:p w14:paraId="26DFF52B" w14:textId="19C0CE92" w:rsidR="00243F39" w:rsidRPr="00243F39" w:rsidRDefault="00AB4376" w:rsidP="001C6278">
      <w:pPr>
        <w:keepLines/>
        <w:rPr>
          <w:rtl/>
          <w:lang w:bidi="ar-EG"/>
        </w:rPr>
      </w:pPr>
      <w:proofErr w:type="gramStart"/>
      <w:r>
        <w:rPr>
          <w:lang w:bidi="ar-EG"/>
        </w:rPr>
        <w:t>5.4</w:t>
      </w:r>
      <w:r w:rsidR="00243F39" w:rsidRPr="00243F39">
        <w:rPr>
          <w:rtl/>
          <w:lang w:bidi="ar-EG"/>
        </w:rPr>
        <w:tab/>
        <w:t>قال مدير مكتب تنمية الاتصالات إنه بعد اعتماد القرار 34 لمؤتمر المندوبين المفوضين في كيوتو 1994، بدأ</w:t>
      </w:r>
      <w:r w:rsidR="001C6278">
        <w:rPr>
          <w:rFonts w:hint="cs"/>
          <w:rtl/>
          <w:lang w:bidi="ar-EG"/>
        </w:rPr>
        <w:t> </w:t>
      </w:r>
      <w:r w:rsidR="00243F39" w:rsidRPr="00243F39">
        <w:rPr>
          <w:rtl/>
          <w:lang w:bidi="ar-EG"/>
        </w:rPr>
        <w:t>الاتحاد جهوده في عام 2001 لدعم إعادة إنشاء البنية التحتية للبلدان الخارجة من الصراعات، ويرجع الفضل في ذلك بشكل كبير إلى مساهمات الجهات المانحة</w:t>
      </w:r>
      <w:proofErr w:type="gramEnd"/>
      <w:r w:rsidR="00243F39" w:rsidRPr="00243F39">
        <w:rPr>
          <w:rtl/>
          <w:lang w:bidi="ar-EG"/>
        </w:rPr>
        <w:t>. وعلى الرغم من عدم وجود ميزانية مخصصة لإعادة بناء البنية التحتية، فقد حقق الاتحاد نتائج ملموسة. ونظراً لتفاوت مستويات التنمية في البلدان التي تحتاج إلى الدعم، قامت الأمانة بإجراء تحليلات للفجوات وتقييم مستويات الدمار قبل التوجه إلى الجهات المانحة. ودعا الدول الأعضاء إلى دعم هذه الجهود. وأوضح أن التدخل في البلدان التي تشهد صراعات مستمرة يقتصر على الخدمات الإنسانية الأساسية بموجب سياسة الأمم المتحدة، ولكنه شدد على التزام الأمانة بمساعدة البلدان الخارجة من النزاعات والكوارث الطبيعية.</w:t>
      </w:r>
    </w:p>
    <w:p w14:paraId="78CD317C" w14:textId="02248034" w:rsidR="00243F39" w:rsidRPr="00243F39" w:rsidRDefault="00AB4376" w:rsidP="00243F39">
      <w:pPr>
        <w:rPr>
          <w:rtl/>
          <w:lang w:bidi="ar-EG"/>
        </w:rPr>
      </w:pPr>
      <w:r>
        <w:rPr>
          <w:lang w:bidi="ar-EG"/>
        </w:rPr>
        <w:t>6.4</w:t>
      </w:r>
      <w:r w:rsidR="00243F39" w:rsidRPr="00243F39">
        <w:rPr>
          <w:rtl/>
          <w:lang w:bidi="ar-EG"/>
        </w:rPr>
        <w:tab/>
      </w:r>
      <w:r w:rsidR="00BC5BA0">
        <w:rPr>
          <w:b/>
          <w:bCs/>
          <w:rtl/>
          <w:lang w:bidi="ar-EG"/>
        </w:rPr>
        <w:t>وأخذ</w:t>
      </w:r>
      <w:r w:rsidR="00243F39" w:rsidRPr="00243F39">
        <w:rPr>
          <w:rtl/>
          <w:lang w:bidi="ar-EG"/>
        </w:rPr>
        <w:t xml:space="preserve"> المجلس </w:t>
      </w:r>
      <w:r w:rsidR="00243F39" w:rsidRPr="00AB4376">
        <w:rPr>
          <w:b/>
          <w:bCs/>
          <w:rtl/>
          <w:lang w:bidi="ar-EG"/>
        </w:rPr>
        <w:t>علماً</w:t>
      </w:r>
      <w:r w:rsidR="00243F39" w:rsidRPr="00243F39">
        <w:rPr>
          <w:rtl/>
          <w:lang w:bidi="ar-EG"/>
        </w:rPr>
        <w:t xml:space="preserve"> بالتقرير الوارد في الوثيقة </w:t>
      </w:r>
      <w:r w:rsidR="00243F39" w:rsidRPr="00243F39">
        <w:rPr>
          <w:lang w:bidi="ar-EG"/>
        </w:rPr>
        <w:t>C25/72</w:t>
      </w:r>
      <w:r w:rsidR="00243F39" w:rsidRPr="00243F39">
        <w:rPr>
          <w:rtl/>
          <w:lang w:bidi="ar-EG"/>
        </w:rPr>
        <w:t>.</w:t>
      </w:r>
    </w:p>
    <w:p w14:paraId="72F04B18" w14:textId="223CF75F" w:rsidR="00243F39" w:rsidRPr="00243F39" w:rsidRDefault="00243F39" w:rsidP="00AB4376">
      <w:pPr>
        <w:pStyle w:val="Heading1"/>
        <w:rPr>
          <w:rtl/>
          <w:lang w:bidi="ar-EG"/>
        </w:rPr>
      </w:pPr>
      <w:r w:rsidRPr="00243F39">
        <w:rPr>
          <w:rtl/>
          <w:lang w:bidi="ar-EG"/>
        </w:rPr>
        <w:t>5</w:t>
      </w:r>
      <w:r w:rsidRPr="00243F39">
        <w:rPr>
          <w:rtl/>
          <w:lang w:bidi="ar-EG"/>
        </w:rPr>
        <w:tab/>
        <w:t xml:space="preserve">تقرير حالة عن المساعدة والدعم المقدمين إلى فلسطين (الوثيقة </w:t>
      </w:r>
      <w:hyperlink r:id="rId20" w:history="1">
        <w:r w:rsidRPr="0045620D">
          <w:rPr>
            <w:rStyle w:val="Hyperlink"/>
            <w:noProof w:val="0"/>
            <w:lang w:val="en-US" w:eastAsia="zh-CN" w:bidi="ar-EG"/>
          </w:rPr>
          <w:t>C25/71</w:t>
        </w:r>
      </w:hyperlink>
      <w:r w:rsidRPr="00243F39">
        <w:rPr>
          <w:rtl/>
          <w:lang w:bidi="ar-EG"/>
        </w:rPr>
        <w:t>)</w:t>
      </w:r>
    </w:p>
    <w:p w14:paraId="077DCB0A" w14:textId="2E7A95BF" w:rsidR="00243F39" w:rsidRPr="00EB5ADC" w:rsidRDefault="0045620D" w:rsidP="00243F39">
      <w:pPr>
        <w:rPr>
          <w:spacing w:val="-1"/>
          <w:rtl/>
          <w:lang w:bidi="ar-EG"/>
        </w:rPr>
      </w:pPr>
      <w:r w:rsidRPr="00EB5ADC">
        <w:rPr>
          <w:rFonts w:hint="cs"/>
          <w:spacing w:val="-1"/>
          <w:rtl/>
          <w:lang w:bidi="ar-EG"/>
        </w:rPr>
        <w:t>1.5</w:t>
      </w:r>
      <w:r w:rsidR="00243F39" w:rsidRPr="00EB5ADC">
        <w:rPr>
          <w:spacing w:val="-1"/>
          <w:rtl/>
          <w:lang w:bidi="ar-EG"/>
        </w:rPr>
        <w:tab/>
        <w:t xml:space="preserve">قدم المدير الإقليمي للمكتب الإقليمي للدول العربية الوثيقة </w:t>
      </w:r>
      <w:r w:rsidR="00243F39" w:rsidRPr="00EB5ADC">
        <w:rPr>
          <w:spacing w:val="-1"/>
          <w:lang w:bidi="ar-EG"/>
        </w:rPr>
        <w:t>C25/71</w:t>
      </w:r>
      <w:r w:rsidR="00243F39" w:rsidRPr="00EB5ADC">
        <w:rPr>
          <w:spacing w:val="-1"/>
          <w:rtl/>
          <w:lang w:bidi="ar-EG"/>
        </w:rPr>
        <w:t xml:space="preserve"> التي تتناول بالتفصيل تنفيذ </w:t>
      </w:r>
      <w:r w:rsidR="00BC5BA0" w:rsidRPr="00BC5BA0">
        <w:rPr>
          <w:spacing w:val="-1"/>
          <w:rtl/>
          <w:lang w:bidi="ar-EG"/>
        </w:rPr>
        <w:t xml:space="preserve">‏مكاتب الاتحاد المختلفة (بما في ذلك الأمانة العامة ومكتب الاتصالات الراديوية ومكتب تنمية الاتصالات) </w:t>
      </w:r>
      <w:r w:rsidR="00BC5BA0" w:rsidRPr="00BC5BA0">
        <w:rPr>
          <w:spacing w:val="-1"/>
          <w:cs/>
          <w:lang w:bidi="ar-EG"/>
        </w:rPr>
        <w:t>‎</w:t>
      </w:r>
      <w:r w:rsidR="00BC5BA0" w:rsidRPr="00BC5BA0">
        <w:rPr>
          <w:rFonts w:hint="cs"/>
          <w:rtl/>
          <w:cs/>
        </w:rPr>
        <w:t>ل</w:t>
      </w:r>
      <w:r w:rsidR="00BC5BA0">
        <w:rPr>
          <w:rFonts w:hint="cs"/>
          <w:rtl/>
          <w:cs/>
        </w:rPr>
        <w:t>قر</w:t>
      </w:r>
      <w:r w:rsidR="00243F39" w:rsidRPr="00BC5BA0">
        <w:rPr>
          <w:rtl/>
        </w:rPr>
        <w:t>ار</w:t>
      </w:r>
      <w:r w:rsidR="00243F39" w:rsidRPr="00EB5ADC">
        <w:rPr>
          <w:spacing w:val="-1"/>
          <w:rtl/>
          <w:lang w:bidi="ar-EG"/>
        </w:rPr>
        <w:t xml:space="preserve"> المجلس 1424 (</w:t>
      </w:r>
      <w:r w:rsidR="00EB5ADC" w:rsidRPr="00EB5ADC">
        <w:rPr>
          <w:spacing w:val="-1"/>
          <w:rtl/>
          <w:lang w:bidi="ar-EG"/>
        </w:rPr>
        <w:t>الصادر في دورة المجلس لعام</w:t>
      </w:r>
      <w:r w:rsidR="00EB5ADC" w:rsidRPr="00EB5ADC">
        <w:rPr>
          <w:rFonts w:hint="cs"/>
          <w:spacing w:val="-1"/>
          <w:rtl/>
          <w:lang w:bidi="ar-EG"/>
        </w:rPr>
        <w:t xml:space="preserve"> 2024</w:t>
      </w:r>
      <w:r w:rsidR="00243F39" w:rsidRPr="00EB5ADC">
        <w:rPr>
          <w:spacing w:val="-1"/>
          <w:rtl/>
          <w:lang w:bidi="ar-EG"/>
        </w:rPr>
        <w:t>)</w:t>
      </w:r>
      <w:r w:rsidR="00BC5BA0">
        <w:rPr>
          <w:rFonts w:hint="cs"/>
          <w:spacing w:val="-1"/>
          <w:rtl/>
          <w:lang w:bidi="ar-EG"/>
        </w:rPr>
        <w:t>،</w:t>
      </w:r>
      <w:r w:rsidR="00243F39" w:rsidRPr="00EB5ADC">
        <w:rPr>
          <w:spacing w:val="-1"/>
          <w:rtl/>
          <w:lang w:bidi="ar-EG"/>
        </w:rPr>
        <w:t xml:space="preserve"> وتتضمن تقريراً عن حالة تقديم المساعدة والدعم إلى فلسطين. وسلط الضوء على</w:t>
      </w:r>
      <w:r w:rsidR="00400616">
        <w:rPr>
          <w:rFonts w:hint="cs"/>
          <w:spacing w:val="-1"/>
          <w:rtl/>
          <w:lang w:bidi="ar-EG"/>
        </w:rPr>
        <w:t> </w:t>
      </w:r>
      <w:r w:rsidR="00243F39" w:rsidRPr="00EB5ADC">
        <w:rPr>
          <w:spacing w:val="-1"/>
          <w:rtl/>
          <w:lang w:bidi="ar-EG"/>
        </w:rPr>
        <w:t>الأضرار الجسيمة التي لحقت بالبنية التحتية لتكنولوجيا المعلومات والاتصالات وتقديرات تكاليف الاسترداد وعرض الإجراءات المتخذة خلال العام الماضي. وشملت هذه الإجراءات إنشاء فريق مهام مشترك بين القطاعات معني بتنفيذ القرار، والتعاون مع مجموعة الاتصالات في حالات الطوارئ التابعة للأمم المتحدة (</w:t>
      </w:r>
      <w:r w:rsidR="00243F39" w:rsidRPr="00EB5ADC">
        <w:rPr>
          <w:spacing w:val="-1"/>
          <w:lang w:bidi="ar-EG"/>
        </w:rPr>
        <w:t>ETC</w:t>
      </w:r>
      <w:r w:rsidR="00243F39" w:rsidRPr="00EB5ADC">
        <w:rPr>
          <w:spacing w:val="-1"/>
          <w:rtl/>
          <w:lang w:bidi="ar-EG"/>
        </w:rPr>
        <w:t>)، وتسليم الهواتف الساتلية إلى</w:t>
      </w:r>
      <w:r w:rsidR="00E1158B">
        <w:rPr>
          <w:rFonts w:hint="cs"/>
          <w:spacing w:val="-1"/>
          <w:rtl/>
          <w:lang w:bidi="ar-EG"/>
        </w:rPr>
        <w:t> </w:t>
      </w:r>
      <w:r w:rsidR="00243F39" w:rsidRPr="00EB5ADC">
        <w:rPr>
          <w:spacing w:val="-1"/>
          <w:rtl/>
          <w:lang w:bidi="ar-EG"/>
        </w:rPr>
        <w:t>غزة، والمساهمة في التقييمات المؤقتة للأضرار</w:t>
      </w:r>
      <w:r w:rsidR="00BC5BA0">
        <w:rPr>
          <w:rFonts w:hint="cs"/>
          <w:spacing w:val="-1"/>
          <w:rtl/>
          <w:lang w:bidi="ar-EG"/>
        </w:rPr>
        <w:t xml:space="preserve"> جنباً إلى جانب مع الشركاء الدوليين الآخرين</w:t>
      </w:r>
      <w:r w:rsidR="00243F39" w:rsidRPr="00EB5ADC">
        <w:rPr>
          <w:spacing w:val="-1"/>
          <w:rtl/>
          <w:lang w:bidi="ar-EG"/>
        </w:rPr>
        <w:t xml:space="preserve"> وعقد اجتماعات مع</w:t>
      </w:r>
      <w:r w:rsidR="00BC5BA0">
        <w:rPr>
          <w:rFonts w:hint="cs"/>
          <w:spacing w:val="-1"/>
          <w:rtl/>
          <w:lang w:bidi="ar-EG"/>
        </w:rPr>
        <w:t xml:space="preserve"> أصحاب المصلحة الفلسطينيين، بما فيهم</w:t>
      </w:r>
      <w:r w:rsidR="00243F39" w:rsidRPr="00EB5ADC">
        <w:rPr>
          <w:spacing w:val="-1"/>
          <w:rtl/>
          <w:lang w:bidi="ar-EG"/>
        </w:rPr>
        <w:t xml:space="preserve"> وزارة الاتصالات والاقتصاد الرقمي </w:t>
      </w:r>
      <w:r w:rsidR="00BC5BA0">
        <w:rPr>
          <w:rFonts w:hint="cs"/>
          <w:spacing w:val="-1"/>
          <w:rtl/>
          <w:lang w:bidi="ar-EG"/>
        </w:rPr>
        <w:t>ومشغلو الاتصالات</w:t>
      </w:r>
      <w:r w:rsidR="00243F39" w:rsidRPr="00EB5ADC">
        <w:rPr>
          <w:spacing w:val="-1"/>
          <w:rtl/>
          <w:lang w:bidi="ar-EG"/>
        </w:rPr>
        <w:t xml:space="preserve"> وأصحاب المصلحة الآخر</w:t>
      </w:r>
      <w:r w:rsidR="00BC5BA0">
        <w:rPr>
          <w:rFonts w:hint="cs"/>
          <w:spacing w:val="-1"/>
          <w:rtl/>
          <w:lang w:bidi="ar-EG"/>
        </w:rPr>
        <w:t>و</w:t>
      </w:r>
      <w:r w:rsidR="00243F39" w:rsidRPr="00EB5ADC">
        <w:rPr>
          <w:spacing w:val="-1"/>
          <w:rtl/>
          <w:lang w:bidi="ar-EG"/>
        </w:rPr>
        <w:t xml:space="preserve">ن. وبالإضافة إلى ذلك، واصلت الأمينة العامة ونائب الأمينة العامة ومدير مكتب الاتصالات الراديوية التعاون مع السلطات الإسرائيلية والفلسطينية لتيسير تنفيذ القرار </w:t>
      </w:r>
      <w:r w:rsidR="00243F39" w:rsidRPr="00EB5ADC">
        <w:rPr>
          <w:spacing w:val="-1"/>
          <w:lang w:bidi="ar-EG"/>
        </w:rPr>
        <w:t>12 (Rev.WRC-23)</w:t>
      </w:r>
      <w:r w:rsidR="00243F39" w:rsidRPr="00EB5ADC">
        <w:rPr>
          <w:spacing w:val="-1"/>
          <w:rtl/>
          <w:lang w:bidi="ar-EG"/>
        </w:rPr>
        <w:t xml:space="preserve"> للمؤتمر العالمي للاتصالات الراديوية، ولا سيما النفاذ إلى طيف الترددات الراديوية وشبكات الاتصالات من الجيلين الرابع والخامس.</w:t>
      </w:r>
    </w:p>
    <w:p w14:paraId="7FE2E0B9" w14:textId="5FEFDC60" w:rsidR="00243F39" w:rsidRPr="00243F39" w:rsidRDefault="0045620D" w:rsidP="00243F39">
      <w:pPr>
        <w:rPr>
          <w:rtl/>
          <w:lang w:bidi="ar-EG"/>
        </w:rPr>
      </w:pPr>
      <w:r>
        <w:rPr>
          <w:rFonts w:hint="cs"/>
          <w:rtl/>
          <w:lang w:bidi="ar-EG"/>
        </w:rPr>
        <w:t>2.5</w:t>
      </w:r>
      <w:r w:rsidR="00243F39" w:rsidRPr="00243F39">
        <w:rPr>
          <w:rtl/>
          <w:lang w:bidi="ar-EG"/>
        </w:rPr>
        <w:tab/>
        <w:t>أدلى المراقب عن دولة فلسطين بالبيان التالي</w:t>
      </w:r>
      <w:r w:rsidR="00EB5ADC">
        <w:rPr>
          <w:rFonts w:hint="cs"/>
          <w:rtl/>
          <w:lang w:bidi="ar-EG"/>
        </w:rPr>
        <w:t>:</w:t>
      </w:r>
      <w:r w:rsidR="00EB5ADC">
        <w:rPr>
          <w:rtl/>
          <w:lang w:bidi="ar-EG"/>
        </w:rPr>
        <w:tab/>
      </w:r>
      <w:r w:rsidR="00EB5ADC">
        <w:rPr>
          <w:rtl/>
          <w:lang w:bidi="ar-EG"/>
        </w:rPr>
        <w:br/>
      </w:r>
      <w:hyperlink r:id="rId21" w:history="1">
        <w:r w:rsidR="00EB5ADC" w:rsidRPr="00581FB0">
          <w:rPr>
            <w:rStyle w:val="Hyperlink"/>
          </w:rPr>
          <w:t>council.itu.int/2025/wp-content/uploads/sites/5/2025/07/Statement_Palestine-250625e.pdf</w:t>
        </w:r>
      </w:hyperlink>
      <w:r w:rsidR="00EB5ADC">
        <w:rPr>
          <w:rFonts w:hint="cs"/>
          <w:rtl/>
          <w:lang w:bidi="ar-EG"/>
        </w:rPr>
        <w:t>.</w:t>
      </w:r>
    </w:p>
    <w:p w14:paraId="3DD40BD9" w14:textId="782AE72D" w:rsidR="00243F39" w:rsidRPr="00243F39" w:rsidRDefault="0045620D" w:rsidP="002D726F">
      <w:pPr>
        <w:keepNext/>
        <w:keepLines/>
        <w:rPr>
          <w:rtl/>
          <w:lang w:bidi="ar-EG"/>
        </w:rPr>
      </w:pPr>
      <w:r>
        <w:rPr>
          <w:rFonts w:hint="cs"/>
          <w:rtl/>
          <w:lang w:bidi="ar-EG"/>
        </w:rPr>
        <w:t>3.5</w:t>
      </w:r>
      <w:r w:rsidR="00243F39" w:rsidRPr="00243F39">
        <w:rPr>
          <w:rtl/>
          <w:lang w:bidi="ar-EG"/>
        </w:rPr>
        <w:tab/>
      </w:r>
      <w:r w:rsidR="00BF0EC7" w:rsidRPr="00BF0EC7">
        <w:rPr>
          <w:rtl/>
        </w:rPr>
        <w:t xml:space="preserve">‏وفي حين أقر بعض أعضاء المجلس والمراقبين بجهود الاتحاد بموجب القرار </w:t>
      </w:r>
      <w:r w:rsidR="00BF0EC7" w:rsidRPr="00BF0EC7">
        <w:rPr>
          <w:cs/>
        </w:rPr>
        <w:t>‎</w:t>
      </w:r>
      <w:r w:rsidR="00BF0EC7" w:rsidRPr="00BF0EC7">
        <w:t>1424</w:t>
      </w:r>
      <w:r w:rsidR="00BF0EC7" w:rsidRPr="00BF0EC7">
        <w:rPr>
          <w:rtl/>
        </w:rPr>
        <w:t xml:space="preserve"> (‏</w:t>
      </w:r>
      <w:r w:rsidR="00BF0EC7">
        <w:rPr>
          <w:rFonts w:hint="cs"/>
          <w:rtl/>
        </w:rPr>
        <w:t xml:space="preserve">الصادر في </w:t>
      </w:r>
      <w:r w:rsidR="00BF0EC7" w:rsidRPr="00BF0EC7">
        <w:rPr>
          <w:rtl/>
        </w:rPr>
        <w:t>دورة المجلس لعام</w:t>
      </w:r>
      <w:r w:rsidR="00CE3DB4">
        <w:rPr>
          <w:rFonts w:hint="cs"/>
          <w:rtl/>
        </w:rPr>
        <w:t> </w:t>
      </w:r>
      <w:r w:rsidR="00BF0EC7" w:rsidRPr="00BF0EC7">
        <w:rPr>
          <w:cs/>
        </w:rPr>
        <w:t>‎</w:t>
      </w:r>
      <w:r w:rsidR="00BF0EC7" w:rsidRPr="00BF0EC7">
        <w:t>2024</w:t>
      </w:r>
      <w:r w:rsidR="00BF0EC7" w:rsidRPr="00BF0EC7">
        <w:rPr>
          <w:rtl/>
        </w:rPr>
        <w:t xml:space="preserve">)‏، لاحظ العديد من أعضاء المجلس والمراقبين بقلق بالغ </w:t>
      </w:r>
      <w:r w:rsidR="00BF0EC7" w:rsidRPr="00243F39">
        <w:rPr>
          <w:rtl/>
          <w:lang w:bidi="ar-EG"/>
        </w:rPr>
        <w:t>إحراز تقدم ضئيل في تنفيذ القرار أو تحسين الوضع الإنساني</w:t>
      </w:r>
      <w:r w:rsidR="00BF0EC7" w:rsidRPr="00BF0EC7">
        <w:rPr>
          <w:rtl/>
        </w:rPr>
        <w:t>.</w:t>
      </w:r>
      <w:r w:rsidR="00BF0EC7" w:rsidRPr="00BF0EC7">
        <w:rPr>
          <w:cs/>
        </w:rPr>
        <w:t>‎</w:t>
      </w:r>
      <w:r w:rsidR="00BF0EC7">
        <w:rPr>
          <w:rFonts w:hint="cs"/>
          <w:rtl/>
          <w:lang w:bidi="ar-EG"/>
        </w:rPr>
        <w:t xml:space="preserve"> </w:t>
      </w:r>
      <w:r w:rsidR="00243F39" w:rsidRPr="00243F39">
        <w:rPr>
          <w:rtl/>
          <w:lang w:bidi="ar-EG"/>
        </w:rPr>
        <w:t>وانتقد بعض أعضاء المجلس اعتماد التقرير على بيانات الطرف الثالث مفتوحة المصدر بدلاً من التقييم الذي يقوده الاتحاد للوضع على أرض الواقع. ويرون أن الدعم المقدم إلى فلسطين يبدو غير كاف مقارنة</w:t>
      </w:r>
      <w:r w:rsidR="00EB5ADC">
        <w:rPr>
          <w:rFonts w:hint="cs"/>
          <w:rtl/>
          <w:lang w:bidi="ar-EG"/>
        </w:rPr>
        <w:t>ً</w:t>
      </w:r>
      <w:r w:rsidR="00243F39" w:rsidRPr="00243F39">
        <w:rPr>
          <w:rtl/>
          <w:lang w:bidi="ar-EG"/>
        </w:rPr>
        <w:t xml:space="preserve"> بالمساعدة المقدمة إلى البلدان الأخرى ذات الاحتياجات الخاصة، حيث لا تُلبى الاحتياجات الأساسية لفلسطين. ورحب العديد من أعضاء المجلس بالدعوة إلى الاعتراف بخدمات الاتصالات كحاجة إنسانية أساسية تتطلب الحماية والصيانة أثناء النزاع. وطُلب أن توضح التقارير المقبلة التحديات والإنجازات والخطوات التي يتعين أن يتخذها الاتحاد لدعم الفلسطينيين. وأيد العديد من أعضاء المجلس الدعوة إلى تقديم تقرير كل ستة أشهر عن تنفيذ القرار 1424 (</w:t>
      </w:r>
      <w:r w:rsidR="00EB5ADC" w:rsidRPr="00243F39">
        <w:rPr>
          <w:rtl/>
          <w:lang w:bidi="ar-EG"/>
        </w:rPr>
        <w:t>الصادر في دورة المجلس لعام</w:t>
      </w:r>
      <w:r w:rsidR="00EB5ADC">
        <w:rPr>
          <w:rFonts w:hint="cs"/>
          <w:rtl/>
          <w:lang w:bidi="ar-EG"/>
        </w:rPr>
        <w:t xml:space="preserve"> 2024</w:t>
      </w:r>
      <w:r w:rsidR="00243F39" w:rsidRPr="00243F39">
        <w:rPr>
          <w:rtl/>
          <w:lang w:bidi="ar-EG"/>
        </w:rPr>
        <w:t>)، بينما طلب أحد أعضاء المجلس تقديم تقرير كامل إلى مؤتمر المندوبين المفوضين عام 2026.</w:t>
      </w:r>
    </w:p>
    <w:p w14:paraId="0AD75A61" w14:textId="3AA02A91" w:rsidR="00243F39" w:rsidRPr="00243F39" w:rsidRDefault="0045620D" w:rsidP="00243F39">
      <w:pPr>
        <w:rPr>
          <w:rtl/>
          <w:lang w:bidi="ar-EG"/>
        </w:rPr>
      </w:pPr>
      <w:r>
        <w:rPr>
          <w:rFonts w:hint="cs"/>
          <w:rtl/>
          <w:lang w:bidi="ar-EG"/>
        </w:rPr>
        <w:t>4.5</w:t>
      </w:r>
      <w:r w:rsidR="00243F39" w:rsidRPr="00243F39">
        <w:rPr>
          <w:rtl/>
          <w:lang w:bidi="ar-EG"/>
        </w:rPr>
        <w:tab/>
        <w:t>أعرب العديد من أعضاء المجلس والمراقبين عن تأييدهم لبيان المراقب من فلسطين، مشيرين إلى أن المقترحات المقدمة يمكن أن تيسر إحراز التقدم في تنفيذ القرار 1424 (</w:t>
      </w:r>
      <w:r w:rsidR="00EB5ADC" w:rsidRPr="00243F39">
        <w:rPr>
          <w:rtl/>
          <w:lang w:bidi="ar-EG"/>
        </w:rPr>
        <w:t>الصادر في دورة المجلس لعام</w:t>
      </w:r>
      <w:r w:rsidR="00EB5ADC">
        <w:rPr>
          <w:rFonts w:hint="cs"/>
          <w:rtl/>
          <w:lang w:bidi="ar-EG"/>
        </w:rPr>
        <w:t xml:space="preserve"> 2024</w:t>
      </w:r>
      <w:r w:rsidR="00243F39" w:rsidRPr="00243F39">
        <w:rPr>
          <w:rtl/>
          <w:lang w:bidi="ar-EG"/>
        </w:rPr>
        <w:t xml:space="preserve">). وشددوا على الحاجة إلى خطة عمل شاملة ذات أهداف واضحة وجداول زمنية وأصحاب مصلحة محددين، ومؤتمر رفيع المستوى لأصحاب المصلحة والجهات المانحة، وصندوق مخصص لإعادة بناء البنية التحتية للاتصالات في فلسطين، كل ذلك قبل المؤتمر </w:t>
      </w:r>
      <w:r w:rsidR="00243F39" w:rsidRPr="00243F39">
        <w:rPr>
          <w:lang w:bidi="ar-EG"/>
        </w:rPr>
        <w:t>WTDC-25</w:t>
      </w:r>
      <w:r w:rsidR="00243F39" w:rsidRPr="00243F39">
        <w:rPr>
          <w:rtl/>
          <w:lang w:bidi="ar-EG"/>
        </w:rPr>
        <w:t xml:space="preserve">. وحُثت الأمانة على مواصلة التنسيق مع جميع أصحاب المصلحة لضمان النفاذ إلى تكنولوجيا الاتصالات من الجيلين الرابع والخامس وتنفيذ القرار </w:t>
      </w:r>
      <w:r w:rsidR="00243F39" w:rsidRPr="00243F39">
        <w:rPr>
          <w:lang w:bidi="ar-EG"/>
        </w:rPr>
        <w:t>12 (Rev.WRC-23)</w:t>
      </w:r>
      <w:r w:rsidR="00243F39" w:rsidRPr="00243F39">
        <w:rPr>
          <w:rtl/>
          <w:lang w:bidi="ar-EG"/>
        </w:rPr>
        <w:t xml:space="preserve">، قبل المؤتمر </w:t>
      </w:r>
      <w:r w:rsidR="00243F39" w:rsidRPr="00243F39">
        <w:rPr>
          <w:lang w:bidi="ar-EG"/>
        </w:rPr>
        <w:t>WTDC-25</w:t>
      </w:r>
      <w:r w:rsidR="00243F39" w:rsidRPr="00243F39">
        <w:rPr>
          <w:rtl/>
          <w:lang w:bidi="ar-EG"/>
        </w:rPr>
        <w:t xml:space="preserve"> أيضاً، وضمان النفاذ إلى التكنولوجيا والوقود اللازمين لتشغيل شبكات الاتصالات بالكامل. ودعا</w:t>
      </w:r>
      <w:r w:rsidR="00E103B1">
        <w:rPr>
          <w:rFonts w:hint="cs"/>
          <w:rtl/>
          <w:lang w:bidi="ar-EG"/>
        </w:rPr>
        <w:t> </w:t>
      </w:r>
      <w:r w:rsidR="00243F39" w:rsidRPr="00243F39">
        <w:rPr>
          <w:rtl/>
          <w:lang w:bidi="ar-EG"/>
        </w:rPr>
        <w:t>العديد من أعضاء المجلس إلى اتخاذ تدابير لضمان سلامة الموظفين العاملين على استعادة خدمات الاتصالات.</w:t>
      </w:r>
    </w:p>
    <w:p w14:paraId="02B2E6DA" w14:textId="5C4CC201" w:rsidR="00243F39" w:rsidRPr="00243F39" w:rsidRDefault="0045620D" w:rsidP="00243F39">
      <w:pPr>
        <w:rPr>
          <w:rtl/>
          <w:lang w:bidi="ar-EG"/>
        </w:rPr>
      </w:pPr>
      <w:r>
        <w:rPr>
          <w:rFonts w:hint="cs"/>
          <w:rtl/>
          <w:lang w:bidi="ar-EG"/>
        </w:rPr>
        <w:t>5.5</w:t>
      </w:r>
      <w:r w:rsidR="00243F39" w:rsidRPr="00243F39">
        <w:rPr>
          <w:rtl/>
          <w:lang w:bidi="ar-EG"/>
        </w:rPr>
        <w:tab/>
        <w:t>دعا أحد أعضاء المجلس إلى نشر نتائج تقييم الأضرار في الوقت المناسب لدعم التخطيط القائم على الأدلة وتعبئة الموارد. وطلب عضو آخر في المجلس مزيداً من التفاصيل بشأن الموارد المالية التي يخصصها الاتحاد لتنفيذ القرار</w:t>
      </w:r>
      <w:r w:rsidR="00721908">
        <w:rPr>
          <w:rFonts w:hint="cs"/>
          <w:rtl/>
          <w:lang w:bidi="ar-EG"/>
        </w:rPr>
        <w:t> </w:t>
      </w:r>
      <w:r w:rsidR="00243F39" w:rsidRPr="00243F39">
        <w:rPr>
          <w:rtl/>
          <w:lang w:bidi="ar-EG"/>
        </w:rPr>
        <w:t>1424 (</w:t>
      </w:r>
      <w:r w:rsidR="00EB5ADC" w:rsidRPr="00243F39">
        <w:rPr>
          <w:rtl/>
          <w:lang w:bidi="ar-EG"/>
        </w:rPr>
        <w:t>الصادر في دورة المجلس لعام</w:t>
      </w:r>
      <w:r w:rsidR="00EB5ADC">
        <w:rPr>
          <w:rFonts w:hint="cs"/>
          <w:rtl/>
          <w:lang w:bidi="ar-EG"/>
        </w:rPr>
        <w:t xml:space="preserve"> 2024</w:t>
      </w:r>
      <w:r w:rsidR="00243F39" w:rsidRPr="00243F39">
        <w:rPr>
          <w:rtl/>
          <w:lang w:bidi="ar-EG"/>
        </w:rPr>
        <w:t>) واقترح إنشاء موقع إلكتروني لرصد الأنشطة.</w:t>
      </w:r>
    </w:p>
    <w:p w14:paraId="244EE1BC" w14:textId="3FB61E45" w:rsidR="00243F39" w:rsidRPr="00243F39" w:rsidRDefault="0045620D" w:rsidP="00243F39">
      <w:pPr>
        <w:rPr>
          <w:rtl/>
          <w:lang w:bidi="ar-EG"/>
        </w:rPr>
      </w:pPr>
      <w:r>
        <w:rPr>
          <w:rFonts w:hint="cs"/>
          <w:rtl/>
          <w:lang w:bidi="ar-EG"/>
        </w:rPr>
        <w:t>6.5</w:t>
      </w:r>
      <w:r w:rsidR="00243F39" w:rsidRPr="00243F39">
        <w:rPr>
          <w:rtl/>
          <w:lang w:bidi="ar-EG"/>
        </w:rPr>
        <w:tab/>
        <w:t>رحب أعضاء المجلس بتعاون الاتحاد مع المنظمات الأخرى وبإنشاء فريق مهام مشترك بين القطاعات. وحث أحد أعضاء المجلس على مواصلة التركيز على التدابير العملية والتقنية، محذراً من اتخاذ إجراءات قد تعوق المناقشات الثنائية المهمة لتعزيز توفير التوصيلية للشعب الفلسطيني. وشدد أحد المراقبين على أن أنشطة الاتحاد بموجب القرار</w:t>
      </w:r>
      <w:r w:rsidR="00721908">
        <w:rPr>
          <w:rFonts w:hint="cs"/>
          <w:rtl/>
          <w:lang w:bidi="ar-EG"/>
        </w:rPr>
        <w:t> </w:t>
      </w:r>
      <w:r w:rsidR="00243F39" w:rsidRPr="00243F39">
        <w:rPr>
          <w:rtl/>
          <w:lang w:bidi="ar-EG"/>
        </w:rPr>
        <w:t>1424 (</w:t>
      </w:r>
      <w:r w:rsidR="00EB5ADC" w:rsidRPr="00243F39">
        <w:rPr>
          <w:rtl/>
          <w:lang w:bidi="ar-EG"/>
        </w:rPr>
        <w:t>الصادر في دورة المجلس لعام</w:t>
      </w:r>
      <w:r w:rsidR="00EB5ADC">
        <w:rPr>
          <w:rFonts w:hint="cs"/>
          <w:rtl/>
          <w:lang w:bidi="ar-EG"/>
        </w:rPr>
        <w:t xml:space="preserve"> 2024</w:t>
      </w:r>
      <w:r w:rsidR="00243F39" w:rsidRPr="00243F39">
        <w:rPr>
          <w:rtl/>
          <w:lang w:bidi="ar-EG"/>
        </w:rPr>
        <w:t>) يجب أن تظل ضمن ولايته.</w:t>
      </w:r>
    </w:p>
    <w:p w14:paraId="0136A70B" w14:textId="22479F61" w:rsidR="00243F39" w:rsidRPr="00243F39" w:rsidRDefault="0045620D" w:rsidP="00243F39">
      <w:pPr>
        <w:rPr>
          <w:rtl/>
          <w:lang w:bidi="ar-EG"/>
        </w:rPr>
      </w:pPr>
      <w:r>
        <w:rPr>
          <w:rFonts w:hint="cs"/>
          <w:rtl/>
          <w:lang w:bidi="ar-EG"/>
        </w:rPr>
        <w:t>7.5</w:t>
      </w:r>
      <w:r w:rsidR="00243F39" w:rsidRPr="00243F39">
        <w:rPr>
          <w:rtl/>
          <w:lang w:bidi="ar-EG"/>
        </w:rPr>
        <w:tab/>
        <w:t>وأعرب العديد من أعضاء المجلس والمراقبين عن تضامنهم مع الشعب الفلسطيني، ودعوا إلى وقف فوري لإطلاق النار في غزة، وإطلاق سراح الرهائن، والوصول دون عوائق إلى المساعدة الإنسانية والمعدات والوقود. وإن الأضرار الجسيمة التي لحقت بالبنية التحتية للاتصالات في فلسطين، والتي تفاقمت بسبب القيود المفروضة على الوقود والمعدات، تثير قلقاً بالغاً وتؤثر على تقديم المساعدات الإنسانية. وهناك حاجة إلى اتخاذ إجراءات عاجلة لدعم حقوق الفلسطينيين في التوصيلية والنفاذ إلى المعلومات، على النحو المنصوص عليه في ميثاق الأمم المتحدة</w:t>
      </w:r>
      <w:r w:rsidR="00B34032">
        <w:rPr>
          <w:rFonts w:hint="cs"/>
          <w:rtl/>
          <w:lang w:bidi="ar-EG"/>
        </w:rPr>
        <w:t>.</w:t>
      </w:r>
    </w:p>
    <w:p w14:paraId="28B30EE3" w14:textId="30BA07BC" w:rsidR="00243F39" w:rsidRPr="00243F39" w:rsidRDefault="0045620D" w:rsidP="00243F39">
      <w:pPr>
        <w:rPr>
          <w:rtl/>
          <w:lang w:bidi="ar-EG"/>
        </w:rPr>
      </w:pPr>
      <w:r>
        <w:rPr>
          <w:rFonts w:hint="cs"/>
          <w:rtl/>
          <w:lang w:bidi="ar-EG"/>
        </w:rPr>
        <w:t>8.5</w:t>
      </w:r>
      <w:r w:rsidR="00243F39" w:rsidRPr="00243F39">
        <w:rPr>
          <w:rtl/>
          <w:lang w:bidi="ar-EG"/>
        </w:rPr>
        <w:tab/>
        <w:t>قال المراقب عن إسرائيل، رداً على تعليقات المراقب عن فلسطين، إن إسرائيل تواصل العمل مباشرة</w:t>
      </w:r>
      <w:r w:rsidR="00B34032">
        <w:rPr>
          <w:rFonts w:hint="cs"/>
          <w:rtl/>
          <w:lang w:bidi="ar-EG"/>
        </w:rPr>
        <w:t>ً</w:t>
      </w:r>
      <w:r w:rsidR="00243F39" w:rsidRPr="00243F39">
        <w:rPr>
          <w:rtl/>
          <w:lang w:bidi="ar-EG"/>
        </w:rPr>
        <w:t xml:space="preserve"> مع السلطات الفلسطينية لتلبية الاحتياجات من الاتصالات في إطار الاتفاقات الثنائية، مع إحراز تقدم في إدخال خدمات الاتصالات المتقدمة.</w:t>
      </w:r>
      <w:r w:rsidR="00243F39" w:rsidRPr="00243F39">
        <w:rPr>
          <w:cs/>
          <w:lang w:bidi="ar-EG"/>
        </w:rPr>
        <w:t>‎</w:t>
      </w:r>
      <w:r w:rsidR="00243F39" w:rsidRPr="00243F39">
        <w:rPr>
          <w:rtl/>
          <w:lang w:bidi="ar-EG"/>
        </w:rPr>
        <w:t xml:space="preserve"> وقد وجدت إسرائيل حلولاً للعديد من القضايا المعروضة؛ ومع ذلك، كان هناك أحياناً تأخير في ردود السلطات الفلسطينية. وينبغي لأي مناقشة بشأن إعادة إنشاء البنية التحتية للاتصالات في غزة أن تعترف بمسؤولية حماس، وهي منظمة إرهابية، عن الوضع، وألا تجري إلا بعد الإفراج عن جميع الرهائن وإنهاء سيطرة حماس على غزة.</w:t>
      </w:r>
    </w:p>
    <w:p w14:paraId="784EF5A7" w14:textId="00B0ABA4" w:rsidR="00243F39" w:rsidRDefault="0045620D" w:rsidP="00243F39">
      <w:pPr>
        <w:rPr>
          <w:rtl/>
          <w:lang w:bidi="ar-EG"/>
        </w:rPr>
      </w:pPr>
      <w:r>
        <w:rPr>
          <w:rFonts w:hint="cs"/>
          <w:rtl/>
          <w:lang w:bidi="ar-EG"/>
        </w:rPr>
        <w:t>9.5</w:t>
      </w:r>
      <w:r w:rsidR="00243F39" w:rsidRPr="00243F39">
        <w:rPr>
          <w:rtl/>
          <w:lang w:bidi="ar-EG"/>
        </w:rPr>
        <w:tab/>
        <w:t>قالت الأمينة العامة إن الاتحاد ينسق عن كثب مع المشغلين ومجموعة الاتصالات في حالات الطوارئ، وكذلك مع الهيئات الأخرى في منظومة الأمم المتحدة، بشأن تنفيذ القرار 1424 (</w:t>
      </w:r>
      <w:r w:rsidR="00EB5ADC" w:rsidRPr="00243F39">
        <w:rPr>
          <w:rtl/>
          <w:lang w:bidi="ar-EG"/>
        </w:rPr>
        <w:t>الصادر في دورة المجلس لعام</w:t>
      </w:r>
      <w:r w:rsidR="00EB5ADC">
        <w:rPr>
          <w:rFonts w:hint="cs"/>
          <w:rtl/>
          <w:lang w:bidi="ar-EG"/>
        </w:rPr>
        <w:t xml:space="preserve"> 2024</w:t>
      </w:r>
      <w:r w:rsidR="00243F39" w:rsidRPr="00243F39">
        <w:rPr>
          <w:rtl/>
          <w:lang w:bidi="ar-EG"/>
        </w:rPr>
        <w:t>)؛ ومع ذلك، فإن الظروف على أرض الواقع صعبة للغاية. وشكرت الدول الأعضاء على دعمها الحيوي، مشيرة إلى تبرع الإمارات</w:t>
      </w:r>
      <w:r w:rsidR="00B34032">
        <w:rPr>
          <w:rFonts w:hint="cs"/>
          <w:rtl/>
          <w:lang w:bidi="ar-EG"/>
        </w:rPr>
        <w:t> </w:t>
      </w:r>
      <w:r w:rsidR="00243F39" w:rsidRPr="00243F39">
        <w:rPr>
          <w:rtl/>
          <w:lang w:bidi="ar-EG"/>
        </w:rPr>
        <w:t>العربية المتحدة بالهواتف الساتلية، وشجعتها على تقديم مساهمات طوعية مباشرة</w:t>
      </w:r>
      <w:r w:rsidR="00434435">
        <w:rPr>
          <w:rFonts w:hint="cs"/>
          <w:rtl/>
          <w:lang w:bidi="ar-EG"/>
        </w:rPr>
        <w:t>ً</w:t>
      </w:r>
      <w:r w:rsidR="00243F39" w:rsidRPr="00243F39">
        <w:rPr>
          <w:rtl/>
          <w:lang w:bidi="ar-EG"/>
        </w:rPr>
        <w:t xml:space="preserve"> إلى الاتحاد أو من خلال </w:t>
      </w:r>
      <w:r w:rsidR="00243F39" w:rsidRPr="00C10489">
        <w:rPr>
          <w:rtl/>
          <w:lang w:bidi="ar-EG"/>
        </w:rPr>
        <w:t>التحالف الرقمي للشراكة من أجل التوصيل (</w:t>
      </w:r>
      <w:r w:rsidR="00243F39" w:rsidRPr="00C10489">
        <w:rPr>
          <w:lang w:bidi="ar-EG"/>
        </w:rPr>
        <w:t>P2C</w:t>
      </w:r>
      <w:r w:rsidR="00243F39" w:rsidRPr="00C10489">
        <w:rPr>
          <w:rtl/>
          <w:lang w:bidi="ar-EG"/>
        </w:rPr>
        <w:t>).</w:t>
      </w:r>
      <w:r w:rsidR="00243F39" w:rsidRPr="00243F39">
        <w:rPr>
          <w:rtl/>
          <w:lang w:bidi="ar-EG"/>
        </w:rPr>
        <w:t xml:space="preserve"> وستقدم الأمانة خطة عمل واضحة وجدولاً زمنياً لأنشطة الاتحاد لدعم قطاع تكنولوجيا المعلومات والاتصالات في فلسطين من خلال فريق المهام المشترك بين القطاعات</w:t>
      </w:r>
      <w:r w:rsidR="00B34032">
        <w:rPr>
          <w:rFonts w:hint="cs"/>
          <w:rtl/>
          <w:lang w:bidi="ar-EG"/>
        </w:rPr>
        <w:t>.</w:t>
      </w:r>
    </w:p>
    <w:p w14:paraId="14B55E1D" w14:textId="51B1A523" w:rsidR="004223AE" w:rsidRPr="00243F39" w:rsidRDefault="004223AE" w:rsidP="00243F39">
      <w:pPr>
        <w:rPr>
          <w:rtl/>
          <w:lang w:bidi="ar-EG"/>
        </w:rPr>
      </w:pPr>
      <w:r>
        <w:rPr>
          <w:rFonts w:hint="cs"/>
          <w:rtl/>
          <w:lang w:bidi="ar-EG"/>
        </w:rPr>
        <w:t>10.5</w:t>
      </w:r>
      <w:r w:rsidR="009B1D45">
        <w:rPr>
          <w:rtl/>
          <w:lang w:bidi="ar-EG"/>
        </w:rPr>
        <w:tab/>
      </w:r>
      <w:r w:rsidR="009B1D45" w:rsidRPr="009B1D45">
        <w:rPr>
          <w:rtl/>
          <w:lang w:bidi="ar-EG"/>
        </w:rPr>
        <w:t xml:space="preserve">‏وأكد </w:t>
      </w:r>
      <w:r w:rsidR="00B66995">
        <w:rPr>
          <w:rFonts w:hint="cs"/>
          <w:rtl/>
          <w:lang w:bidi="ar-EG"/>
        </w:rPr>
        <w:t>عضو المجلس من المملكة العربية السعودية</w:t>
      </w:r>
      <w:r w:rsidR="009B1D45" w:rsidRPr="009B1D45">
        <w:rPr>
          <w:rtl/>
          <w:lang w:bidi="ar-EG"/>
        </w:rPr>
        <w:t xml:space="preserve"> من جديد ضرورة تنفيذ المقترحات التي قدمها المراقب عن فلسطين، مشيرا</w:t>
      </w:r>
      <w:r w:rsidR="009B1D45">
        <w:rPr>
          <w:rFonts w:hint="cs"/>
          <w:rtl/>
          <w:lang w:bidi="ar-EG"/>
        </w:rPr>
        <w:t>ً</w:t>
      </w:r>
      <w:r w:rsidR="009B1D45" w:rsidRPr="009B1D45">
        <w:rPr>
          <w:rtl/>
          <w:lang w:bidi="ar-EG"/>
        </w:rPr>
        <w:t xml:space="preserve"> إلى التأييد الواسع لتلك المقترحات من أعضاء المجلس والمراقبين وعدم وجود أي اعتراضات.</w:t>
      </w:r>
      <w:r w:rsidR="009B1D45" w:rsidRPr="009B1D45">
        <w:rPr>
          <w:cs/>
          <w:lang w:bidi="ar-EG"/>
        </w:rPr>
        <w:t>‎</w:t>
      </w:r>
    </w:p>
    <w:p w14:paraId="0832EF2F" w14:textId="6BAAAB12" w:rsidR="00243F39" w:rsidRPr="00243F39" w:rsidRDefault="0045620D" w:rsidP="00243F39">
      <w:pPr>
        <w:rPr>
          <w:rtl/>
          <w:lang w:bidi="ar-EG"/>
        </w:rPr>
      </w:pPr>
      <w:r>
        <w:rPr>
          <w:rFonts w:hint="cs"/>
          <w:rtl/>
          <w:lang w:bidi="ar-EG"/>
        </w:rPr>
        <w:t>1</w:t>
      </w:r>
      <w:r w:rsidR="004223AE">
        <w:rPr>
          <w:rFonts w:hint="cs"/>
          <w:rtl/>
          <w:lang w:bidi="ar-EG"/>
        </w:rPr>
        <w:t>1</w:t>
      </w:r>
      <w:r>
        <w:rPr>
          <w:rFonts w:hint="cs"/>
          <w:rtl/>
          <w:lang w:bidi="ar-EG"/>
        </w:rPr>
        <w:t>.5</w:t>
      </w:r>
      <w:r w:rsidR="00243F39" w:rsidRPr="00243F39">
        <w:rPr>
          <w:rtl/>
          <w:lang w:bidi="ar-EG"/>
        </w:rPr>
        <w:tab/>
        <w:t xml:space="preserve">اعتبرت الرئيسة أن المجلس يرغب في </w:t>
      </w:r>
      <w:r w:rsidR="002F2094">
        <w:rPr>
          <w:rFonts w:hint="cs"/>
          <w:rtl/>
          <w:lang w:bidi="ar-EG"/>
        </w:rPr>
        <w:t xml:space="preserve">أخد العلم </w:t>
      </w:r>
      <w:r w:rsidR="00243F39" w:rsidRPr="00243F39">
        <w:rPr>
          <w:rtl/>
          <w:lang w:bidi="ar-EG"/>
        </w:rPr>
        <w:t xml:space="preserve">بالتقرير الوارد في الوثيقة </w:t>
      </w:r>
      <w:r w:rsidR="00243F39" w:rsidRPr="00243F39">
        <w:rPr>
          <w:lang w:bidi="ar-EG"/>
        </w:rPr>
        <w:t>C25/71</w:t>
      </w:r>
      <w:r w:rsidR="00243F39" w:rsidRPr="00243F39">
        <w:rPr>
          <w:rtl/>
          <w:lang w:bidi="ar-EG"/>
        </w:rPr>
        <w:t xml:space="preserve"> وتكليف الأمينة العامة بوضع خطة عمل ملموسة وجدول زمني لتنفيذ القرار 1424 (</w:t>
      </w:r>
      <w:r w:rsidR="00EB5ADC" w:rsidRPr="00243F39">
        <w:rPr>
          <w:rtl/>
          <w:lang w:bidi="ar-EG"/>
        </w:rPr>
        <w:t>الصادر في دورة المجلس لعام</w:t>
      </w:r>
      <w:r w:rsidR="00EB5ADC">
        <w:rPr>
          <w:rFonts w:hint="cs"/>
          <w:rtl/>
          <w:lang w:bidi="ar-EG"/>
        </w:rPr>
        <w:t xml:space="preserve"> 2024</w:t>
      </w:r>
      <w:r w:rsidR="00243F39" w:rsidRPr="00243F39">
        <w:rPr>
          <w:rtl/>
          <w:lang w:bidi="ar-EG"/>
        </w:rPr>
        <w:t>) وتقديم تقرير عن ذلك إلى المجلس في دورته لعام 2026.</w:t>
      </w:r>
    </w:p>
    <w:p w14:paraId="250EA256" w14:textId="74C7BE8C" w:rsidR="00243F39" w:rsidRPr="00243F39" w:rsidRDefault="00CB174E" w:rsidP="00243F39">
      <w:pPr>
        <w:rPr>
          <w:rtl/>
        </w:rPr>
      </w:pPr>
      <w:r>
        <w:rPr>
          <w:lang w:bidi="ar-EG"/>
        </w:rPr>
        <w:t>12.5</w:t>
      </w:r>
      <w:r w:rsidR="00243F39" w:rsidRPr="00243F39">
        <w:rPr>
          <w:rtl/>
          <w:lang w:bidi="ar-EG"/>
        </w:rPr>
        <w:tab/>
      </w:r>
      <w:r w:rsidR="00243F39" w:rsidRPr="0045620D">
        <w:rPr>
          <w:b/>
          <w:bCs/>
          <w:rtl/>
          <w:lang w:bidi="ar-EG"/>
        </w:rPr>
        <w:t>واتُّفق</w:t>
      </w:r>
      <w:r w:rsidR="00243F39" w:rsidRPr="00243F39">
        <w:rPr>
          <w:rtl/>
          <w:lang w:bidi="ar-EG"/>
        </w:rPr>
        <w:t xml:space="preserve"> على ذلك.</w:t>
      </w:r>
    </w:p>
    <w:p w14:paraId="3D7682ED" w14:textId="717966DE" w:rsidR="00243F39" w:rsidRPr="00243F39" w:rsidRDefault="00243F39" w:rsidP="0045620D">
      <w:pPr>
        <w:pStyle w:val="Heading1"/>
        <w:rPr>
          <w:rtl/>
          <w:lang w:bidi="ar-EG"/>
        </w:rPr>
      </w:pPr>
      <w:r w:rsidRPr="00243F39">
        <w:rPr>
          <w:rtl/>
          <w:lang w:bidi="ar-EG"/>
        </w:rPr>
        <w:t>6</w:t>
      </w:r>
      <w:r w:rsidRPr="00243F39">
        <w:rPr>
          <w:rtl/>
          <w:lang w:bidi="ar-EG"/>
        </w:rPr>
        <w:tab/>
        <w:t xml:space="preserve">معلومات محدَّثة عن تنفيذ قرار المجلس 1408 (الصادر في دورة المجلس لعام 2022، والمعدّل آخر مرة في </w:t>
      </w:r>
      <w:r w:rsidR="00C8018E">
        <w:rPr>
          <w:rFonts w:hint="cs"/>
          <w:rtl/>
          <w:lang w:bidi="ar-EG"/>
        </w:rPr>
        <w:t>دورته</w:t>
      </w:r>
      <w:r w:rsidRPr="00243F39">
        <w:rPr>
          <w:rtl/>
          <w:lang w:bidi="ar-EG"/>
        </w:rPr>
        <w:t xml:space="preserve"> لعام 2023)، بشأن تقديم المساعدة والدعم إلى</w:t>
      </w:r>
      <w:r w:rsidR="00B34032">
        <w:rPr>
          <w:rFonts w:hint="cs"/>
          <w:rtl/>
          <w:lang w:bidi="ar-EG"/>
        </w:rPr>
        <w:t> </w:t>
      </w:r>
      <w:r w:rsidRPr="00243F39">
        <w:rPr>
          <w:rtl/>
          <w:lang w:bidi="ar-EG"/>
        </w:rPr>
        <w:t xml:space="preserve">أوكرانيا لإعادة بناء قطاع اتصالاتها (الوثيقة </w:t>
      </w:r>
      <w:hyperlink r:id="rId22" w:history="1">
        <w:r w:rsidRPr="00B34032">
          <w:rPr>
            <w:rStyle w:val="Hyperlink"/>
            <w:noProof w:val="0"/>
            <w:lang w:val="en-US" w:eastAsia="zh-CN" w:bidi="ar-EG"/>
          </w:rPr>
          <w:t>C25/68</w:t>
        </w:r>
      </w:hyperlink>
      <w:r w:rsidRPr="00243F39">
        <w:rPr>
          <w:rtl/>
          <w:lang w:bidi="ar-EG"/>
        </w:rPr>
        <w:t>)</w:t>
      </w:r>
    </w:p>
    <w:p w14:paraId="06899518" w14:textId="61AD40D4" w:rsidR="00243F39" w:rsidRPr="00243F39" w:rsidRDefault="00B34032" w:rsidP="009D656C">
      <w:pPr>
        <w:rPr>
          <w:rtl/>
          <w:lang w:bidi="ar-EG"/>
        </w:rPr>
      </w:pPr>
      <w:r>
        <w:rPr>
          <w:rFonts w:hint="cs"/>
          <w:rtl/>
          <w:lang w:bidi="ar-EG"/>
        </w:rPr>
        <w:t>1.6</w:t>
      </w:r>
      <w:r w:rsidR="00243F39" w:rsidRPr="00243F39">
        <w:rPr>
          <w:rtl/>
          <w:lang w:bidi="ar-EG"/>
        </w:rPr>
        <w:tab/>
        <w:t xml:space="preserve">قدم رئيس مكتب الاتحاد لمنطقة أوروبا الوثيقة </w:t>
      </w:r>
      <w:r w:rsidR="00243F39" w:rsidRPr="00243F39">
        <w:rPr>
          <w:lang w:bidi="ar-EG"/>
        </w:rPr>
        <w:t>C25/68</w:t>
      </w:r>
      <w:r w:rsidR="00243F39" w:rsidRPr="00243F39">
        <w:rPr>
          <w:rtl/>
          <w:lang w:bidi="ar-EG"/>
        </w:rPr>
        <w:t>، التي توجز الأنشطة والتطورات منذ دورة المجلس لعام 2024 بشأن تقديم المساعدة والدعم إلى أوكرانيا لإعادة بناء قطاع اتصالاتها، استجابة</w:t>
      </w:r>
      <w:r w:rsidR="0056467E">
        <w:rPr>
          <w:rFonts w:hint="cs"/>
          <w:rtl/>
          <w:lang w:bidi="ar-EG"/>
        </w:rPr>
        <w:t>ً</w:t>
      </w:r>
      <w:r w:rsidR="00243F39" w:rsidRPr="00243F39">
        <w:rPr>
          <w:rtl/>
          <w:lang w:bidi="ar-EG"/>
        </w:rPr>
        <w:t xml:space="preserve"> للقرار 1408 (الصادر في دورة المجلس لعام 2022 والمعدّل آخر مرة في </w:t>
      </w:r>
      <w:r w:rsidR="00C10489">
        <w:rPr>
          <w:rFonts w:hint="cs"/>
          <w:rtl/>
          <w:lang w:bidi="ar-EG"/>
        </w:rPr>
        <w:t>دورته</w:t>
      </w:r>
      <w:r w:rsidR="00243F39" w:rsidRPr="00243F39">
        <w:rPr>
          <w:rtl/>
          <w:lang w:bidi="ar-EG"/>
        </w:rPr>
        <w:t xml:space="preserve"> لعام 2023). واسترعى الانتباه إلى نتائج التقرير بشأن </w:t>
      </w:r>
      <w:r w:rsidR="0009269B">
        <w:rPr>
          <w:rFonts w:hint="cs"/>
          <w:rtl/>
          <w:lang w:bidi="ar-EG"/>
        </w:rPr>
        <w:t>ال</w:t>
      </w:r>
      <w:r w:rsidR="00243F39" w:rsidRPr="00243F39">
        <w:rPr>
          <w:rtl/>
          <w:lang w:bidi="ar-EG"/>
        </w:rPr>
        <w:t xml:space="preserve">تقييم </w:t>
      </w:r>
      <w:r w:rsidR="0009269B">
        <w:rPr>
          <w:rFonts w:hint="cs"/>
          <w:rtl/>
          <w:lang w:bidi="ar-EG"/>
        </w:rPr>
        <w:t>السريع ل</w:t>
      </w:r>
      <w:r w:rsidR="00243F39" w:rsidRPr="00243F39">
        <w:rPr>
          <w:rtl/>
          <w:lang w:bidi="ar-EG"/>
        </w:rPr>
        <w:t xml:space="preserve">لأضرار </w:t>
      </w:r>
      <w:r w:rsidR="00243F39" w:rsidRPr="0009269B">
        <w:rPr>
          <w:rtl/>
          <w:lang w:bidi="ar-EG"/>
        </w:rPr>
        <w:t>والاحتياجات</w:t>
      </w:r>
      <w:r w:rsidR="009D656C" w:rsidRPr="0009269B">
        <w:rPr>
          <w:rtl/>
          <w:lang w:bidi="ar-EG"/>
        </w:rPr>
        <w:t xml:space="preserve"> </w:t>
      </w:r>
      <w:r w:rsidR="0009269B" w:rsidRPr="0009269B">
        <w:rPr>
          <w:rFonts w:hint="cs"/>
          <w:rtl/>
        </w:rPr>
        <w:t>و</w:t>
      </w:r>
      <w:r w:rsidR="009D656C" w:rsidRPr="0009269B">
        <w:rPr>
          <w:rtl/>
          <w:lang w:bidi="ar-EG"/>
        </w:rPr>
        <w:t>الملف القُطري للتنمية الرقمية</w:t>
      </w:r>
      <w:r w:rsidR="00243F39" w:rsidRPr="0009269B">
        <w:rPr>
          <w:rtl/>
          <w:lang w:bidi="ar-EG"/>
        </w:rPr>
        <w:t xml:space="preserve"> </w:t>
      </w:r>
      <w:r w:rsidR="0009269B" w:rsidRPr="0009269B">
        <w:rPr>
          <w:rFonts w:hint="cs"/>
          <w:rtl/>
          <w:lang w:bidi="ar-EG"/>
        </w:rPr>
        <w:t>الصادر مؤخراً</w:t>
      </w:r>
      <w:r w:rsidR="0009269B">
        <w:rPr>
          <w:rFonts w:hint="cs"/>
          <w:rtl/>
          <w:lang w:bidi="ar-EG"/>
        </w:rPr>
        <w:t xml:space="preserve"> </w:t>
      </w:r>
      <w:r w:rsidR="00243F39" w:rsidRPr="00243F39">
        <w:rPr>
          <w:rtl/>
          <w:lang w:bidi="ar-EG"/>
        </w:rPr>
        <w:t>وقدم</w:t>
      </w:r>
      <w:r w:rsidR="009D656C">
        <w:rPr>
          <w:rFonts w:hint="cs"/>
          <w:rtl/>
          <w:lang w:bidi="ar-EG"/>
        </w:rPr>
        <w:t xml:space="preserve"> أيضاً</w:t>
      </w:r>
      <w:r w:rsidR="00243F39" w:rsidRPr="00243F39">
        <w:rPr>
          <w:rtl/>
          <w:lang w:bidi="ar-EG"/>
        </w:rPr>
        <w:t xml:space="preserve"> لمحة عامة عن مشاركة أصحاب المصلحة، وآليات التنسيق لتنفيذ القرار 1408 (الصادر في</w:t>
      </w:r>
      <w:r w:rsidR="00C10489">
        <w:rPr>
          <w:rFonts w:hint="cs"/>
          <w:rtl/>
          <w:lang w:bidi="ar-EG"/>
        </w:rPr>
        <w:t> </w:t>
      </w:r>
      <w:r w:rsidR="00243F39" w:rsidRPr="00243F39">
        <w:rPr>
          <w:rtl/>
          <w:lang w:bidi="ar-EG"/>
        </w:rPr>
        <w:t>دورة المجلس لعام 2022 والمعدّل آخر مرة في دور</w:t>
      </w:r>
      <w:r w:rsidR="00C10489">
        <w:rPr>
          <w:rFonts w:hint="cs"/>
          <w:rtl/>
          <w:lang w:bidi="ar-EG"/>
        </w:rPr>
        <w:t xml:space="preserve">ته </w:t>
      </w:r>
      <w:r w:rsidR="00243F39" w:rsidRPr="00243F39">
        <w:rPr>
          <w:rtl/>
          <w:lang w:bidi="ar-EG"/>
        </w:rPr>
        <w:t>لعام</w:t>
      </w:r>
      <w:r w:rsidR="0009269B">
        <w:rPr>
          <w:rFonts w:hint="cs"/>
          <w:rtl/>
          <w:lang w:bidi="ar-EG"/>
        </w:rPr>
        <w:t> </w:t>
      </w:r>
      <w:r w:rsidR="00243F39" w:rsidRPr="00243F39">
        <w:rPr>
          <w:rtl/>
          <w:lang w:bidi="ar-EG"/>
        </w:rPr>
        <w:t>2023)، والمساعدة التقنية، وأنشطة بناء القدرات، وتعبئة الموارد. وقال إنه يتطلع إلى مؤتمر إنعاش أوكرانيا المقرر عقده في يوليو 2025 وأعرب عن شكره لحكومة أوكرانيا على نهجها الاستباقي وللبلدان والمؤسسات التي قدمت الموارد المالية والدعم العيني.</w:t>
      </w:r>
    </w:p>
    <w:p w14:paraId="672968C6" w14:textId="4DA1BF99" w:rsidR="00243F39" w:rsidRPr="00243F39" w:rsidRDefault="00B34032" w:rsidP="00243F39">
      <w:pPr>
        <w:rPr>
          <w:rtl/>
          <w:lang w:bidi="ar-EG"/>
        </w:rPr>
      </w:pPr>
      <w:r>
        <w:rPr>
          <w:rFonts w:hint="cs"/>
          <w:rtl/>
          <w:lang w:bidi="ar-EG"/>
        </w:rPr>
        <w:t>2.6</w:t>
      </w:r>
      <w:r w:rsidR="00243F39" w:rsidRPr="00243F39">
        <w:rPr>
          <w:rtl/>
          <w:lang w:bidi="ar-EG"/>
        </w:rPr>
        <w:tab/>
        <w:t>أدلى المراقب عن أوكرانيا، متحدثاً بالنيابة عن 42 بلداً، بالبيان التالي:</w:t>
      </w:r>
      <w:r w:rsidR="0056467E">
        <w:rPr>
          <w:rtl/>
          <w:lang w:bidi="ar-EG"/>
        </w:rPr>
        <w:tab/>
      </w:r>
      <w:r w:rsidR="0056467E">
        <w:rPr>
          <w:rtl/>
          <w:lang w:bidi="ar-EG"/>
        </w:rPr>
        <w:br/>
      </w:r>
      <w:hyperlink r:id="rId23" w:history="1">
        <w:r w:rsidR="0056467E" w:rsidRPr="00581FB0">
          <w:rPr>
            <w:rStyle w:val="Hyperlink"/>
          </w:rPr>
          <w:t>council.itu.int/2025/wp-content/uploads/sites/5/2025/07/Statement-joint-Ukraine-co-countries-250625-e.pdf</w:t>
        </w:r>
      </w:hyperlink>
      <w:r w:rsidR="00243F39" w:rsidRPr="00243F39">
        <w:rPr>
          <w:rtl/>
          <w:lang w:bidi="ar-EG"/>
        </w:rPr>
        <w:t>.</w:t>
      </w:r>
    </w:p>
    <w:p w14:paraId="3AA55077" w14:textId="74EC5F9D" w:rsidR="00243F39" w:rsidRPr="00243F39" w:rsidRDefault="00B34032" w:rsidP="00243F39">
      <w:pPr>
        <w:rPr>
          <w:rtl/>
          <w:lang w:bidi="ar-EG"/>
        </w:rPr>
      </w:pPr>
      <w:r>
        <w:rPr>
          <w:rFonts w:hint="cs"/>
          <w:rtl/>
          <w:lang w:bidi="ar-EG"/>
        </w:rPr>
        <w:t>3.6</w:t>
      </w:r>
      <w:r w:rsidR="00243F39" w:rsidRPr="00243F39">
        <w:rPr>
          <w:rtl/>
          <w:lang w:bidi="ar-EG"/>
        </w:rPr>
        <w:tab/>
        <w:t>أدلى عضو المجلس من بولندا، متحدثاً بالنيابة عن 26 بلداً من بلدان الاتحاد الأوروبي، بالبيان التالي:</w:t>
      </w:r>
      <w:r w:rsidR="0056467E">
        <w:rPr>
          <w:rtl/>
          <w:lang w:bidi="ar-EG"/>
        </w:rPr>
        <w:tab/>
      </w:r>
      <w:r w:rsidR="0056467E">
        <w:rPr>
          <w:rtl/>
          <w:lang w:bidi="ar-EG"/>
        </w:rPr>
        <w:br/>
      </w:r>
      <w:hyperlink r:id="rId24" w:history="1">
        <w:r w:rsidR="0056467E" w:rsidRPr="00581FB0">
          <w:rPr>
            <w:rStyle w:val="Hyperlink"/>
          </w:rPr>
          <w:t>council.itu.int/2025/wp-content/uploads/sites/5/2025/07/Statement-joint-Poland-multicountries-250625.pdf</w:t>
        </w:r>
      </w:hyperlink>
      <w:r w:rsidR="00243F39" w:rsidRPr="00243F39">
        <w:rPr>
          <w:rtl/>
          <w:lang w:bidi="ar-EG"/>
        </w:rPr>
        <w:t>.</w:t>
      </w:r>
    </w:p>
    <w:p w14:paraId="730CCB94" w14:textId="35AB3E7F" w:rsidR="00243F39" w:rsidRPr="00243F39" w:rsidRDefault="00B34032" w:rsidP="00243F39">
      <w:pPr>
        <w:rPr>
          <w:rtl/>
          <w:lang w:bidi="ar-EG"/>
        </w:rPr>
      </w:pPr>
      <w:r>
        <w:rPr>
          <w:rFonts w:hint="cs"/>
          <w:rtl/>
          <w:lang w:bidi="ar-EG"/>
        </w:rPr>
        <w:t>4.6</w:t>
      </w:r>
      <w:r w:rsidR="00243F39" w:rsidRPr="00243F39">
        <w:rPr>
          <w:rtl/>
          <w:lang w:bidi="ar-EG"/>
        </w:rPr>
        <w:tab/>
        <w:t>أدان عضو المجلس من السويد، متحدثاً باسم بلدان الشمال والبلطيق الثمانية، بأشد العبارات العدوان غير المبرر الذي شنه الاتحاد الروسي على أوكرانيا. وينبغي مواصلة الجهود الجديرة بالثناء التي يبذلها الاتحاد لتنفيذ القرار</w:t>
      </w:r>
      <w:r w:rsidR="0056467E">
        <w:rPr>
          <w:rFonts w:hint="cs"/>
          <w:rtl/>
          <w:lang w:bidi="ar-EG"/>
        </w:rPr>
        <w:t> </w:t>
      </w:r>
      <w:r w:rsidR="00243F39" w:rsidRPr="00243F39">
        <w:rPr>
          <w:rtl/>
          <w:lang w:bidi="ar-EG"/>
        </w:rPr>
        <w:t>1408 (الصادر في دورة المجلس لعام 2022 والمعدّل آخر مرة في دور</w:t>
      </w:r>
      <w:r w:rsidR="00C10489">
        <w:rPr>
          <w:rFonts w:hint="cs"/>
          <w:rtl/>
          <w:lang w:bidi="ar-EG"/>
        </w:rPr>
        <w:t>ته</w:t>
      </w:r>
      <w:r w:rsidR="00243F39" w:rsidRPr="00243F39">
        <w:rPr>
          <w:rtl/>
          <w:lang w:bidi="ar-EG"/>
        </w:rPr>
        <w:t xml:space="preserve"> لعام 2023). وستقف بلدان الشمال والبلطيق بحزم إلى جانب أوكرانيا طالما كان ذلك ضرورياً وستظل ثابتة في دعمها لإحلال سلام شامل وعادل ودائم في</w:t>
      </w:r>
      <w:r w:rsidR="00C10489">
        <w:rPr>
          <w:rFonts w:hint="cs"/>
          <w:rtl/>
          <w:lang w:bidi="ar-EG"/>
        </w:rPr>
        <w:t> </w:t>
      </w:r>
      <w:r w:rsidR="00243F39" w:rsidRPr="00243F39">
        <w:rPr>
          <w:rtl/>
          <w:lang w:bidi="ar-EG"/>
        </w:rPr>
        <w:t>أوكرانيا، على أساس القانون الدولي.</w:t>
      </w:r>
    </w:p>
    <w:p w14:paraId="4CEAF19D" w14:textId="4CEE1DC0" w:rsidR="00243F39" w:rsidRPr="00243F39" w:rsidRDefault="00B34032" w:rsidP="00243F39">
      <w:pPr>
        <w:rPr>
          <w:rtl/>
          <w:lang w:bidi="ar-EG"/>
        </w:rPr>
      </w:pPr>
      <w:r>
        <w:rPr>
          <w:rFonts w:hint="cs"/>
          <w:rtl/>
          <w:lang w:bidi="ar-EG"/>
        </w:rPr>
        <w:t>5.6</w:t>
      </w:r>
      <w:r w:rsidR="00243F39" w:rsidRPr="00243F39">
        <w:rPr>
          <w:rtl/>
          <w:lang w:bidi="ar-EG"/>
        </w:rPr>
        <w:tab/>
        <w:t>وأدلى عضو المجلس من كندا بالبيان التالي:</w:t>
      </w:r>
      <w:r w:rsidR="0056467E">
        <w:rPr>
          <w:rtl/>
          <w:lang w:bidi="ar-EG"/>
        </w:rPr>
        <w:tab/>
      </w:r>
      <w:r w:rsidR="0056467E">
        <w:rPr>
          <w:rtl/>
          <w:lang w:bidi="ar-EG"/>
        </w:rPr>
        <w:br/>
      </w:r>
      <w:hyperlink r:id="rId25" w:history="1">
        <w:r w:rsidR="0056467E" w:rsidRPr="0056467E">
          <w:rPr>
            <w:rStyle w:val="Hyperlink"/>
            <w:spacing w:val="-2"/>
          </w:rPr>
          <w:t>council.itu.int/2025/wp-content/uploads/sites/5/2025/07/Statement_Canada-250625-e.pdf</w:t>
        </w:r>
      </w:hyperlink>
      <w:r w:rsidR="00243F39" w:rsidRPr="00243F39">
        <w:rPr>
          <w:rtl/>
          <w:lang w:bidi="ar-EG"/>
        </w:rPr>
        <w:t>.</w:t>
      </w:r>
    </w:p>
    <w:p w14:paraId="6C43EFD2" w14:textId="3CE96C8E" w:rsidR="00243F39" w:rsidRPr="00243F39" w:rsidRDefault="00B34032" w:rsidP="00243F39">
      <w:pPr>
        <w:rPr>
          <w:rtl/>
          <w:lang w:bidi="ar-EG"/>
        </w:rPr>
      </w:pPr>
      <w:r>
        <w:rPr>
          <w:rFonts w:hint="cs"/>
          <w:rtl/>
          <w:lang w:bidi="ar-EG"/>
        </w:rPr>
        <w:t>6.6</w:t>
      </w:r>
      <w:r w:rsidR="00243F39" w:rsidRPr="00243F39">
        <w:rPr>
          <w:rtl/>
          <w:lang w:bidi="ar-EG"/>
        </w:rPr>
        <w:tab/>
        <w:t xml:space="preserve">رحب عدد من أعضاء المجلس بالخطوات المتخذة لتفعيل القرار 1408 (الصادر في دورة المجلس لعام 2022، والمعدّل آخر مرة في </w:t>
      </w:r>
      <w:r w:rsidR="00C10489" w:rsidRPr="00243F39">
        <w:rPr>
          <w:rtl/>
          <w:lang w:bidi="ar-EG"/>
        </w:rPr>
        <w:t>دور</w:t>
      </w:r>
      <w:r w:rsidR="00C10489">
        <w:rPr>
          <w:rFonts w:hint="cs"/>
          <w:rtl/>
          <w:lang w:bidi="ar-EG"/>
        </w:rPr>
        <w:t>ته</w:t>
      </w:r>
      <w:r w:rsidR="00C10489" w:rsidRPr="00243F39">
        <w:rPr>
          <w:rtl/>
          <w:lang w:bidi="ar-EG"/>
        </w:rPr>
        <w:t xml:space="preserve"> </w:t>
      </w:r>
      <w:r w:rsidR="00243F39" w:rsidRPr="00243F39">
        <w:rPr>
          <w:rtl/>
          <w:lang w:bidi="ar-EG"/>
        </w:rPr>
        <w:t>لعام 2023)، ودعوا إلى الوقف الفوري للأعمال العدائية في أوكرانيا، التي تشكل انتهاكاً للقانون الدولي وميثاق الأمم المتحدة وقرارات الجمعية العامة للأمم المتحدة. وأُعرب عن القلق إزاء حجم الضرر والخسائر الناجمة عن الهجمات على البنية التحتية للاتصالات التي تعد بالغة الأهمية للقدرة الوطنية على الصمود</w:t>
      </w:r>
      <w:r w:rsidR="0056467E">
        <w:rPr>
          <w:rFonts w:hint="cs"/>
          <w:rtl/>
          <w:lang w:bidi="ar-EG"/>
        </w:rPr>
        <w:t>.</w:t>
      </w:r>
    </w:p>
    <w:p w14:paraId="055438B0" w14:textId="3336E0F5" w:rsidR="00243F39" w:rsidRPr="00243F39" w:rsidRDefault="00B34032" w:rsidP="00243F39">
      <w:pPr>
        <w:rPr>
          <w:rtl/>
          <w:lang w:bidi="ar-EG"/>
        </w:rPr>
      </w:pPr>
      <w:r>
        <w:rPr>
          <w:rFonts w:hint="cs"/>
          <w:rtl/>
          <w:lang w:bidi="ar-EG"/>
        </w:rPr>
        <w:t>7.6</w:t>
      </w:r>
      <w:r w:rsidR="00243F39" w:rsidRPr="00243F39">
        <w:rPr>
          <w:rtl/>
          <w:lang w:bidi="ar-EG"/>
        </w:rPr>
        <w:tab/>
        <w:t>وجدد أعضاء المجلس تأكيد تضامنهم الراسخ مع أوكرانيا، وحثوا الاتحاد على الاستمرار في تقديم الدعم التقني لأوكرانيا واستقطاب المزيد من الموارد المالية، بما في ذلك من خلال المؤسسات الدولية الأخرى ومساهمات الدول الأعضاء. وإن وجود نظام بيئي رقمي مرن أمر أساسي لتعافي أوكرانيا وتنميتها على المدى الطويل.</w:t>
      </w:r>
    </w:p>
    <w:p w14:paraId="0B0F72E9" w14:textId="47AFA9C0" w:rsidR="00243F39" w:rsidRPr="00243F39" w:rsidRDefault="00B34032" w:rsidP="00243F39">
      <w:pPr>
        <w:rPr>
          <w:rtl/>
          <w:lang w:bidi="ar-EG"/>
        </w:rPr>
      </w:pPr>
      <w:r>
        <w:rPr>
          <w:rFonts w:hint="cs"/>
          <w:rtl/>
          <w:lang w:bidi="ar-EG"/>
        </w:rPr>
        <w:t>8.6</w:t>
      </w:r>
      <w:r w:rsidR="00243F39" w:rsidRPr="00243F39">
        <w:rPr>
          <w:rtl/>
          <w:lang w:bidi="ar-EG"/>
        </w:rPr>
        <w:tab/>
        <w:t>وقال أحد أعضاء المجلس إن تقديم الاتحاد للمساعدة المتعلقة بتكنولوجيا المعلومات والاتصالات إلى الدول الأعضاء المتضررة من النزاعات أو الكوارث يجب أن يكون محايداً وشاملاً ومتوازناً. ‏وتم تشجيع تطبيق نهج قائم على</w:t>
      </w:r>
      <w:r w:rsidR="0056467E">
        <w:rPr>
          <w:rFonts w:hint="cs"/>
          <w:rtl/>
          <w:lang w:bidi="ar-EG"/>
        </w:rPr>
        <w:t> </w:t>
      </w:r>
      <w:r w:rsidR="00243F39" w:rsidRPr="00243F39">
        <w:rPr>
          <w:rtl/>
          <w:lang w:bidi="ar-EG"/>
        </w:rPr>
        <w:t>الاحتياجات يعكس الواقع الميداني ويستجيب لمتطلبات جميع الدول الأعضاء.</w:t>
      </w:r>
      <w:r w:rsidR="00243F39" w:rsidRPr="00243F39">
        <w:rPr>
          <w:cs/>
          <w:lang w:bidi="ar-EG"/>
        </w:rPr>
        <w:t>‎</w:t>
      </w:r>
    </w:p>
    <w:p w14:paraId="6AB8063F" w14:textId="33C30D9C" w:rsidR="00243F39" w:rsidRPr="00243F39" w:rsidRDefault="00B34032" w:rsidP="00243F39">
      <w:pPr>
        <w:rPr>
          <w:rtl/>
          <w:lang w:bidi="ar-EG"/>
        </w:rPr>
      </w:pPr>
      <w:r>
        <w:rPr>
          <w:rFonts w:hint="cs"/>
          <w:rtl/>
          <w:lang w:bidi="ar-EG"/>
        </w:rPr>
        <w:t>9.6</w:t>
      </w:r>
      <w:r w:rsidR="00243F39" w:rsidRPr="00243F39">
        <w:rPr>
          <w:rtl/>
          <w:lang w:bidi="ar-EG"/>
        </w:rPr>
        <w:tab/>
        <w:t>وأدلى المراقب عن الاتحاد الروسي بالبيان التالي:</w:t>
      </w:r>
      <w:r w:rsidR="0056467E">
        <w:rPr>
          <w:rtl/>
          <w:lang w:bidi="ar-EG"/>
        </w:rPr>
        <w:tab/>
      </w:r>
      <w:r w:rsidR="0056467E">
        <w:rPr>
          <w:rtl/>
          <w:lang w:bidi="ar-EG"/>
        </w:rPr>
        <w:br/>
      </w:r>
      <w:hyperlink r:id="rId26" w:history="1">
        <w:r w:rsidR="0056467E" w:rsidRPr="00B9564B">
          <w:rPr>
            <w:rStyle w:val="Hyperlink"/>
            <w:spacing w:val="-4"/>
          </w:rPr>
          <w:t>council.itu.int/2025/wp-content/uploads/sites/5/2025/07/Statement_1408_Russia_250625-e-1.pdf</w:t>
        </w:r>
      </w:hyperlink>
      <w:r w:rsidR="00243F39" w:rsidRPr="00B9564B">
        <w:rPr>
          <w:spacing w:val="-4"/>
          <w:rtl/>
          <w:lang w:bidi="ar-EG"/>
        </w:rPr>
        <w:t>.</w:t>
      </w:r>
    </w:p>
    <w:p w14:paraId="30D4822B" w14:textId="46943830" w:rsidR="00243F39" w:rsidRPr="00243F39" w:rsidRDefault="00B34032" w:rsidP="00243F39">
      <w:pPr>
        <w:rPr>
          <w:rtl/>
          <w:lang w:bidi="ar-EG"/>
        </w:rPr>
      </w:pPr>
      <w:r>
        <w:rPr>
          <w:rFonts w:hint="cs"/>
          <w:rtl/>
          <w:lang w:bidi="ar-EG"/>
        </w:rPr>
        <w:t>10.6</w:t>
      </w:r>
      <w:r w:rsidR="00243F39" w:rsidRPr="00243F39">
        <w:rPr>
          <w:rtl/>
          <w:lang w:bidi="ar-EG"/>
        </w:rPr>
        <w:tab/>
        <w:t xml:space="preserve">قالت الأمينة العامة إن الأمانة ستواصل تنفيذ القرار 1408 (الصادر في دورة المجلس لعام 2022، والمعدّل آخر مرة في </w:t>
      </w:r>
      <w:r w:rsidR="00C10489">
        <w:rPr>
          <w:rFonts w:hint="cs"/>
          <w:rtl/>
          <w:lang w:bidi="ar-EG"/>
        </w:rPr>
        <w:t>دورته</w:t>
      </w:r>
      <w:r w:rsidR="00243F39" w:rsidRPr="00243F39">
        <w:rPr>
          <w:rtl/>
          <w:lang w:bidi="ar-EG"/>
        </w:rPr>
        <w:t xml:space="preserve"> لعام 2023) من خلال فريق المهام الخاص المعني بالقرار 1408. ولتيسير تقديم المساعدة التقنية إلى أوكرانيا، شجعت الدول الأعضاء والشركاء على تقديم مساهمات طوعية مباشرة إلى الاتحاد أو من خلال </w:t>
      </w:r>
      <w:r w:rsidR="00243F39" w:rsidRPr="00C10489">
        <w:rPr>
          <w:rtl/>
          <w:lang w:bidi="ar-EG"/>
        </w:rPr>
        <w:t>الشراكة من أجل التوصيل</w:t>
      </w:r>
      <w:r w:rsidR="00243F39" w:rsidRPr="00243F39">
        <w:rPr>
          <w:rtl/>
          <w:lang w:bidi="ar-EG"/>
        </w:rPr>
        <w:t>؛ وأعربت عن تقديرها للمساهمات التي وردت بالفعل.</w:t>
      </w:r>
    </w:p>
    <w:p w14:paraId="2626044C" w14:textId="507C3B63" w:rsidR="00F50E3F" w:rsidRDefault="00B34032" w:rsidP="00243F39">
      <w:pPr>
        <w:rPr>
          <w:rtl/>
          <w:lang w:bidi="ar-EG"/>
        </w:rPr>
      </w:pPr>
      <w:r>
        <w:rPr>
          <w:rFonts w:hint="cs"/>
          <w:rtl/>
          <w:lang w:bidi="ar-EG"/>
        </w:rPr>
        <w:t>11.6</w:t>
      </w:r>
      <w:r w:rsidR="00243F39" w:rsidRPr="00243F39">
        <w:rPr>
          <w:rtl/>
          <w:lang w:bidi="ar-EG"/>
        </w:rPr>
        <w:tab/>
      </w:r>
      <w:r w:rsidR="00BC5BA0">
        <w:rPr>
          <w:b/>
          <w:bCs/>
          <w:rtl/>
          <w:lang w:bidi="ar-EG"/>
        </w:rPr>
        <w:t>وأخذ</w:t>
      </w:r>
      <w:r w:rsidR="00243F39" w:rsidRPr="00243F39">
        <w:rPr>
          <w:rtl/>
          <w:lang w:bidi="ar-EG"/>
        </w:rPr>
        <w:t xml:space="preserve"> المجلس </w:t>
      </w:r>
      <w:r w:rsidR="00243F39" w:rsidRPr="0056467E">
        <w:rPr>
          <w:b/>
          <w:bCs/>
          <w:rtl/>
          <w:lang w:bidi="ar-EG"/>
        </w:rPr>
        <w:t>علماً</w:t>
      </w:r>
      <w:r w:rsidR="00243F39" w:rsidRPr="00243F39">
        <w:rPr>
          <w:rtl/>
          <w:lang w:bidi="ar-EG"/>
        </w:rPr>
        <w:t xml:space="preserve"> بالتقرير الوارد في الوثيقة </w:t>
      </w:r>
      <w:r w:rsidR="00243F39" w:rsidRPr="00243F39">
        <w:rPr>
          <w:lang w:bidi="ar-EG"/>
        </w:rPr>
        <w:t>C25/68</w:t>
      </w:r>
      <w:r w:rsidR="00243F39" w:rsidRPr="00243F39">
        <w:rPr>
          <w:rtl/>
          <w:lang w:bidi="ar-EG"/>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354440" w:rsidRPr="002A0750" w14:paraId="79AB8987" w14:textId="77777777" w:rsidTr="00675004">
        <w:tc>
          <w:tcPr>
            <w:tcW w:w="4530" w:type="dxa"/>
          </w:tcPr>
          <w:p w14:paraId="55D1673A" w14:textId="77777777" w:rsidR="00354440" w:rsidRPr="002A0750" w:rsidRDefault="00354440" w:rsidP="005521C3">
            <w:pPr>
              <w:tabs>
                <w:tab w:val="clear" w:pos="794"/>
              </w:tabs>
              <w:spacing w:before="600" w:after="0"/>
              <w:rPr>
                <w:rtl/>
              </w:rPr>
            </w:pPr>
            <w:r w:rsidRPr="002A0750">
              <w:rPr>
                <w:rtl/>
              </w:rPr>
              <w:t>الأمينة العامة:</w:t>
            </w:r>
          </w:p>
        </w:tc>
        <w:tc>
          <w:tcPr>
            <w:tcW w:w="4531" w:type="dxa"/>
          </w:tcPr>
          <w:p w14:paraId="5D72015F" w14:textId="77777777" w:rsidR="00354440" w:rsidRPr="002A0750" w:rsidRDefault="00354440" w:rsidP="005521C3">
            <w:pPr>
              <w:tabs>
                <w:tab w:val="clear" w:pos="794"/>
              </w:tabs>
              <w:spacing w:before="600" w:after="0"/>
              <w:rPr>
                <w:lang w:val="ar-SA" w:bidi="ar-EG"/>
              </w:rPr>
            </w:pPr>
            <w:r w:rsidRPr="002A0750">
              <w:rPr>
                <w:rtl/>
              </w:rPr>
              <w:t>الرئيسة:</w:t>
            </w:r>
          </w:p>
        </w:tc>
      </w:tr>
      <w:tr w:rsidR="00354440" w:rsidRPr="002A0750" w14:paraId="4415481E" w14:textId="77777777" w:rsidTr="00675004">
        <w:tc>
          <w:tcPr>
            <w:tcW w:w="4530" w:type="dxa"/>
          </w:tcPr>
          <w:p w14:paraId="44C7EF16" w14:textId="386860EA" w:rsidR="00354440" w:rsidRPr="002A0750" w:rsidRDefault="00354440" w:rsidP="00675004">
            <w:pPr>
              <w:tabs>
                <w:tab w:val="clear" w:pos="794"/>
              </w:tabs>
              <w:rPr>
                <w:rtl/>
              </w:rPr>
            </w:pPr>
            <w:r w:rsidRPr="002A0750">
              <w:rPr>
                <w:rtl/>
              </w:rPr>
              <w:t>د</w:t>
            </w:r>
            <w:r w:rsidR="00C10489">
              <w:rPr>
                <w:rFonts w:hint="cs"/>
                <w:rtl/>
              </w:rPr>
              <w:t xml:space="preserve">. </w:t>
            </w:r>
            <w:proofErr w:type="spellStart"/>
            <w:r w:rsidRPr="002A0750">
              <w:rPr>
                <w:rtl/>
              </w:rPr>
              <w:t>بوغدان</w:t>
            </w:r>
            <w:proofErr w:type="spellEnd"/>
            <w:r w:rsidRPr="002A0750">
              <w:rPr>
                <w:rtl/>
              </w:rPr>
              <w:t>-مارتن</w:t>
            </w:r>
          </w:p>
        </w:tc>
        <w:tc>
          <w:tcPr>
            <w:tcW w:w="4531" w:type="dxa"/>
          </w:tcPr>
          <w:p w14:paraId="452C0053" w14:textId="218CD7D3" w:rsidR="00354440" w:rsidRPr="002A0750" w:rsidRDefault="00354440" w:rsidP="00675004">
            <w:pPr>
              <w:tabs>
                <w:tab w:val="clear" w:pos="794"/>
              </w:tabs>
              <w:rPr>
                <w:lang w:val="ar-SA" w:bidi="ar-EG"/>
              </w:rPr>
            </w:pPr>
            <w:r w:rsidRPr="002A0750">
              <w:rPr>
                <w:rtl/>
              </w:rPr>
              <w:t>ك</w:t>
            </w:r>
            <w:r w:rsidR="00C10489">
              <w:rPr>
                <w:rFonts w:hint="cs"/>
                <w:rtl/>
              </w:rPr>
              <w:t>.</w:t>
            </w:r>
            <w:r w:rsidRPr="002A0750">
              <w:rPr>
                <w:rtl/>
              </w:rPr>
              <w:t xml:space="preserve"> </w:t>
            </w:r>
            <w:proofErr w:type="spellStart"/>
            <w:r w:rsidRPr="002A0750">
              <w:rPr>
                <w:rtl/>
              </w:rPr>
              <w:t>فلوتور</w:t>
            </w:r>
            <w:proofErr w:type="spellEnd"/>
          </w:p>
        </w:tc>
      </w:tr>
    </w:tbl>
    <w:p w14:paraId="079FF5D0"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27"/>
      <w:headerReference w:type="first" r:id="rId28"/>
      <w:footerReference w:type="first" r:id="rId29"/>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30DA6" w14:textId="77777777" w:rsidR="0004236E" w:rsidRDefault="0004236E" w:rsidP="006C3242">
      <w:pPr>
        <w:spacing w:before="0" w:line="240" w:lineRule="auto"/>
      </w:pPr>
      <w:r>
        <w:separator/>
      </w:r>
    </w:p>
  </w:endnote>
  <w:endnote w:type="continuationSeparator" w:id="0">
    <w:p w14:paraId="59239655" w14:textId="77777777" w:rsidR="0004236E" w:rsidRDefault="0004236E"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244EBC75" w14:textId="77777777" w:rsidTr="00A67F05">
      <w:trPr>
        <w:jc w:val="center"/>
      </w:trPr>
      <w:tc>
        <w:tcPr>
          <w:tcW w:w="868" w:type="pct"/>
          <w:vAlign w:val="center"/>
        </w:tcPr>
        <w:p w14:paraId="2AB6457F" w14:textId="2878054F" w:rsidR="00F50E3F" w:rsidRPr="007B0AA0" w:rsidRDefault="0023364F"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23364F">
            <w:rPr>
              <w:rFonts w:ascii="Calibri" w:hAnsi="Calibri" w:cs="Arial"/>
              <w:sz w:val="18"/>
              <w:szCs w:val="14"/>
            </w:rPr>
            <w:t>2501783</w:t>
          </w:r>
        </w:p>
      </w:tc>
      <w:tc>
        <w:tcPr>
          <w:tcW w:w="3912" w:type="pct"/>
        </w:tcPr>
        <w:p w14:paraId="2D94EC9C" w14:textId="07343EF0"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6F363C">
            <w:rPr>
              <w:rFonts w:ascii="Calibri" w:hAnsi="Calibri" w:cs="Arial"/>
              <w:bCs/>
              <w:color w:val="7F7F7F"/>
              <w:sz w:val="18"/>
            </w:rPr>
            <w:t>5</w:t>
          </w:r>
          <w:r w:rsidRPr="007B0AA0">
            <w:rPr>
              <w:rFonts w:ascii="Calibri" w:hAnsi="Calibri" w:cs="Arial"/>
              <w:bCs/>
              <w:color w:val="7F7F7F"/>
              <w:sz w:val="18"/>
            </w:rPr>
            <w:t>/</w:t>
          </w:r>
          <w:r w:rsidR="006158AF">
            <w:rPr>
              <w:rFonts w:ascii="Calibri" w:hAnsi="Calibri" w:cs="Arial"/>
              <w:bCs/>
              <w:color w:val="7F7F7F"/>
              <w:sz w:val="18"/>
            </w:rPr>
            <w:t>112</w:t>
          </w:r>
          <w:r w:rsidRPr="007B0AA0">
            <w:rPr>
              <w:rFonts w:ascii="Calibri" w:hAnsi="Calibri" w:cs="Arial"/>
              <w:bCs/>
              <w:color w:val="7F7F7F"/>
              <w:sz w:val="18"/>
            </w:rPr>
            <w:t>-</w:t>
          </w:r>
          <w:r>
            <w:rPr>
              <w:rFonts w:ascii="Calibri" w:hAnsi="Calibri" w:cs="Arial"/>
              <w:bCs/>
              <w:color w:val="7F7F7F"/>
              <w:sz w:val="18"/>
            </w:rPr>
            <w:t>A</w:t>
          </w:r>
        </w:p>
      </w:tc>
      <w:tc>
        <w:tcPr>
          <w:tcW w:w="220" w:type="pct"/>
        </w:tcPr>
        <w:p w14:paraId="4545DD7C"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7BA0A93F"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788E39BD" w14:textId="77777777" w:rsidTr="00A67F05">
      <w:trPr>
        <w:jc w:val="center"/>
      </w:trPr>
      <w:tc>
        <w:tcPr>
          <w:tcW w:w="1013" w:type="pct"/>
          <w:vAlign w:val="center"/>
        </w:tcPr>
        <w:p w14:paraId="057BAB3C" w14:textId="77777777" w:rsidR="007B0AA0" w:rsidRPr="0096716C" w:rsidRDefault="00660DEA" w:rsidP="00A67F05">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history="1">
            <w:r w:rsidRPr="0096716C">
              <w:rPr>
                <w:rStyle w:val="Hyperlink"/>
                <w:sz w:val="18"/>
                <w:szCs w:val="18"/>
                <w:u w:val="none"/>
              </w:rPr>
              <w:t>council.itu.int/2025</w:t>
            </w:r>
          </w:hyperlink>
        </w:p>
      </w:tc>
      <w:tc>
        <w:tcPr>
          <w:tcW w:w="3768" w:type="pct"/>
        </w:tcPr>
        <w:p w14:paraId="7464D73D" w14:textId="1D400B75"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6F363C">
            <w:rPr>
              <w:rFonts w:ascii="Calibri" w:hAnsi="Calibri" w:cs="Arial"/>
              <w:bCs/>
              <w:color w:val="7F7F7F"/>
              <w:sz w:val="18"/>
            </w:rPr>
            <w:t>5</w:t>
          </w:r>
          <w:r w:rsidRPr="007B0AA0">
            <w:rPr>
              <w:rFonts w:ascii="Calibri" w:hAnsi="Calibri" w:cs="Arial"/>
              <w:bCs/>
              <w:color w:val="7F7F7F"/>
              <w:sz w:val="18"/>
            </w:rPr>
            <w:t>/</w:t>
          </w:r>
          <w:r w:rsidR="006158AF">
            <w:rPr>
              <w:rFonts w:ascii="Calibri" w:hAnsi="Calibri" w:cs="Arial"/>
              <w:bCs/>
              <w:color w:val="7F7F7F"/>
              <w:sz w:val="18"/>
            </w:rPr>
            <w:t>112</w:t>
          </w:r>
          <w:r w:rsidRPr="007B0AA0">
            <w:rPr>
              <w:rFonts w:ascii="Calibri" w:hAnsi="Calibri" w:cs="Arial"/>
              <w:bCs/>
              <w:color w:val="7F7F7F"/>
              <w:sz w:val="18"/>
            </w:rPr>
            <w:t>-</w:t>
          </w:r>
          <w:r>
            <w:rPr>
              <w:rFonts w:ascii="Calibri" w:hAnsi="Calibri" w:cs="Arial"/>
              <w:bCs/>
              <w:color w:val="7F7F7F"/>
              <w:sz w:val="18"/>
            </w:rPr>
            <w:t>A</w:t>
          </w:r>
        </w:p>
      </w:tc>
      <w:tc>
        <w:tcPr>
          <w:tcW w:w="220" w:type="pct"/>
        </w:tcPr>
        <w:p w14:paraId="5BA23313"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0349FFB3"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508CF" w14:textId="77777777" w:rsidR="0004236E" w:rsidRDefault="0004236E" w:rsidP="006C3242">
      <w:pPr>
        <w:spacing w:before="0" w:line="240" w:lineRule="auto"/>
      </w:pPr>
      <w:r>
        <w:separator/>
      </w:r>
    </w:p>
  </w:footnote>
  <w:footnote w:type="continuationSeparator" w:id="0">
    <w:p w14:paraId="462EB437" w14:textId="77777777" w:rsidR="0004236E" w:rsidRDefault="0004236E"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8478E" w14:textId="77777777" w:rsidR="007B0AA0" w:rsidRDefault="007648A6" w:rsidP="00935AAC">
    <w:pPr>
      <w:pStyle w:val="Header"/>
      <w:spacing w:before="120" w:after="600"/>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08F9CF9A" wp14:editId="729E0A9A">
              <wp:simplePos x="0" y="0"/>
              <wp:positionH relativeFrom="page">
                <wp:posOffset>7453630</wp:posOffset>
              </wp:positionH>
              <wp:positionV relativeFrom="topMargin">
                <wp:posOffset>641294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94CAA" id="Rectangle 5" o:spid="_x0000_s1026" style="position:absolute;margin-left:586.9pt;margin-top:50.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" fillcolor="#009cd5" stroked="f">
              <w10:wrap anchorx="page" anchory="margin"/>
            </v:rect>
          </w:pict>
        </mc:Fallback>
      </mc:AlternateContent>
    </w:r>
    <w:r w:rsidR="00420F8A">
      <w:rPr>
        <w:rFonts w:ascii="Avenir Nxt2 W1G Medium" w:eastAsia="Avenir Nxt2 W1G Medium" w:hAnsi="Avenir Nxt2 W1G Medium" w:cs="Avenir Nxt2 W1G Medium"/>
        <w:noProof/>
      </w:rPr>
      <w:drawing>
        <wp:inline distT="0" distB="0" distL="0" distR="0" wp14:anchorId="3409B6F9" wp14:editId="73BD4033">
          <wp:extent cx="2999433" cy="612775"/>
          <wp:effectExtent l="0" t="0" r="0" b="0"/>
          <wp:docPr id="1631567398"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67398"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8302"/>
                  <a:stretch/>
                </pic:blipFill>
                <pic:spPr bwMode="auto">
                  <a:xfrm>
                    <a:off x="0" y="0"/>
                    <a:ext cx="2999932" cy="61287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333"/>
    <w:rsid w:val="00035B35"/>
    <w:rsid w:val="00041648"/>
    <w:rsid w:val="0004236E"/>
    <w:rsid w:val="00045CD7"/>
    <w:rsid w:val="00052D1F"/>
    <w:rsid w:val="00061258"/>
    <w:rsid w:val="00062B31"/>
    <w:rsid w:val="0006468A"/>
    <w:rsid w:val="00075707"/>
    <w:rsid w:val="00077A58"/>
    <w:rsid w:val="00087718"/>
    <w:rsid w:val="00090574"/>
    <w:rsid w:val="0009269B"/>
    <w:rsid w:val="000B7EC8"/>
    <w:rsid w:val="000C0F7C"/>
    <w:rsid w:val="000C1C0E"/>
    <w:rsid w:val="000C320E"/>
    <w:rsid w:val="000C548A"/>
    <w:rsid w:val="000D202B"/>
    <w:rsid w:val="000E4EDD"/>
    <w:rsid w:val="000F4095"/>
    <w:rsid w:val="000F5B07"/>
    <w:rsid w:val="00102CA6"/>
    <w:rsid w:val="00107F3D"/>
    <w:rsid w:val="0011279A"/>
    <w:rsid w:val="00136621"/>
    <w:rsid w:val="001503C5"/>
    <w:rsid w:val="00191059"/>
    <w:rsid w:val="00191333"/>
    <w:rsid w:val="00194CD2"/>
    <w:rsid w:val="001A07C3"/>
    <w:rsid w:val="001B6E2B"/>
    <w:rsid w:val="001C0169"/>
    <w:rsid w:val="001C036A"/>
    <w:rsid w:val="001C0C21"/>
    <w:rsid w:val="001C6278"/>
    <w:rsid w:val="001D1D50"/>
    <w:rsid w:val="001D5927"/>
    <w:rsid w:val="001D64C7"/>
    <w:rsid w:val="001D6745"/>
    <w:rsid w:val="001E2B9F"/>
    <w:rsid w:val="001E446E"/>
    <w:rsid w:val="001E78D1"/>
    <w:rsid w:val="001F3BC7"/>
    <w:rsid w:val="001F7598"/>
    <w:rsid w:val="00201BD4"/>
    <w:rsid w:val="002154EE"/>
    <w:rsid w:val="002276D2"/>
    <w:rsid w:val="0023283D"/>
    <w:rsid w:val="0023364F"/>
    <w:rsid w:val="00243F39"/>
    <w:rsid w:val="00254393"/>
    <w:rsid w:val="00256B1B"/>
    <w:rsid w:val="0026373E"/>
    <w:rsid w:val="00271C43"/>
    <w:rsid w:val="00290728"/>
    <w:rsid w:val="002978F4"/>
    <w:rsid w:val="002B028D"/>
    <w:rsid w:val="002B2B12"/>
    <w:rsid w:val="002C3F32"/>
    <w:rsid w:val="002D726F"/>
    <w:rsid w:val="002E6541"/>
    <w:rsid w:val="002F133C"/>
    <w:rsid w:val="002F2094"/>
    <w:rsid w:val="00300BB9"/>
    <w:rsid w:val="00324A3A"/>
    <w:rsid w:val="00334325"/>
    <w:rsid w:val="00334924"/>
    <w:rsid w:val="00335B87"/>
    <w:rsid w:val="003409BC"/>
    <w:rsid w:val="00354440"/>
    <w:rsid w:val="00357185"/>
    <w:rsid w:val="00383829"/>
    <w:rsid w:val="003B0F70"/>
    <w:rsid w:val="003D4594"/>
    <w:rsid w:val="003F46B9"/>
    <w:rsid w:val="003F4B29"/>
    <w:rsid w:val="00400616"/>
    <w:rsid w:val="00410B26"/>
    <w:rsid w:val="004131D9"/>
    <w:rsid w:val="004134D5"/>
    <w:rsid w:val="00420F8A"/>
    <w:rsid w:val="004223AE"/>
    <w:rsid w:val="0042686F"/>
    <w:rsid w:val="004317D8"/>
    <w:rsid w:val="0043260A"/>
    <w:rsid w:val="00434183"/>
    <w:rsid w:val="00434435"/>
    <w:rsid w:val="0044096A"/>
    <w:rsid w:val="00443869"/>
    <w:rsid w:val="00447321"/>
    <w:rsid w:val="00447F32"/>
    <w:rsid w:val="0045620D"/>
    <w:rsid w:val="00457845"/>
    <w:rsid w:val="00462A3A"/>
    <w:rsid w:val="00487109"/>
    <w:rsid w:val="00491BA9"/>
    <w:rsid w:val="00494004"/>
    <w:rsid w:val="00494119"/>
    <w:rsid w:val="004A4701"/>
    <w:rsid w:val="004B7334"/>
    <w:rsid w:val="004E11DC"/>
    <w:rsid w:val="005130DE"/>
    <w:rsid w:val="00513157"/>
    <w:rsid w:val="00525DDD"/>
    <w:rsid w:val="00525E7A"/>
    <w:rsid w:val="005409AC"/>
    <w:rsid w:val="005434E0"/>
    <w:rsid w:val="005521C3"/>
    <w:rsid w:val="005546CF"/>
    <w:rsid w:val="0055516A"/>
    <w:rsid w:val="0056467E"/>
    <w:rsid w:val="0058491B"/>
    <w:rsid w:val="00592EA5"/>
    <w:rsid w:val="005A3170"/>
    <w:rsid w:val="005B04D9"/>
    <w:rsid w:val="005B1C8B"/>
    <w:rsid w:val="005C5734"/>
    <w:rsid w:val="00602518"/>
    <w:rsid w:val="006158AF"/>
    <w:rsid w:val="006357FA"/>
    <w:rsid w:val="00657019"/>
    <w:rsid w:val="00660DEA"/>
    <w:rsid w:val="006637B9"/>
    <w:rsid w:val="00671A3B"/>
    <w:rsid w:val="00672B43"/>
    <w:rsid w:val="00674726"/>
    <w:rsid w:val="00677396"/>
    <w:rsid w:val="00680646"/>
    <w:rsid w:val="00682E89"/>
    <w:rsid w:val="00683F16"/>
    <w:rsid w:val="0069200F"/>
    <w:rsid w:val="006A3376"/>
    <w:rsid w:val="006A65CB"/>
    <w:rsid w:val="006B12E5"/>
    <w:rsid w:val="006C3242"/>
    <w:rsid w:val="006C7CC0"/>
    <w:rsid w:val="006D7F07"/>
    <w:rsid w:val="006E6E9A"/>
    <w:rsid w:val="006F363C"/>
    <w:rsid w:val="006F63F7"/>
    <w:rsid w:val="007025C7"/>
    <w:rsid w:val="007032D6"/>
    <w:rsid w:val="00703C23"/>
    <w:rsid w:val="00706D7A"/>
    <w:rsid w:val="00721908"/>
    <w:rsid w:val="00722F0D"/>
    <w:rsid w:val="00735081"/>
    <w:rsid w:val="0074420E"/>
    <w:rsid w:val="007523C9"/>
    <w:rsid w:val="007648A6"/>
    <w:rsid w:val="0077110E"/>
    <w:rsid w:val="007714B6"/>
    <w:rsid w:val="007802A2"/>
    <w:rsid w:val="00783E26"/>
    <w:rsid w:val="007A6684"/>
    <w:rsid w:val="007B0AA0"/>
    <w:rsid w:val="007C3BC7"/>
    <w:rsid w:val="007C3BCD"/>
    <w:rsid w:val="007C7FDC"/>
    <w:rsid w:val="007D0CEE"/>
    <w:rsid w:val="007D4ACF"/>
    <w:rsid w:val="007E10CA"/>
    <w:rsid w:val="007F0787"/>
    <w:rsid w:val="007F7840"/>
    <w:rsid w:val="00810B7B"/>
    <w:rsid w:val="0082358A"/>
    <w:rsid w:val="008235CD"/>
    <w:rsid w:val="008247DE"/>
    <w:rsid w:val="008339C0"/>
    <w:rsid w:val="008374A1"/>
    <w:rsid w:val="00840B10"/>
    <w:rsid w:val="008513CB"/>
    <w:rsid w:val="00865D87"/>
    <w:rsid w:val="00873E01"/>
    <w:rsid w:val="00874E9F"/>
    <w:rsid w:val="00875999"/>
    <w:rsid w:val="00883C65"/>
    <w:rsid w:val="0088776B"/>
    <w:rsid w:val="008A78B1"/>
    <w:rsid w:val="008A7F84"/>
    <w:rsid w:val="008C3D13"/>
    <w:rsid w:val="008F67A0"/>
    <w:rsid w:val="009150B6"/>
    <w:rsid w:val="00915CEA"/>
    <w:rsid w:val="0091702E"/>
    <w:rsid w:val="009232B7"/>
    <w:rsid w:val="00923B0C"/>
    <w:rsid w:val="00924F46"/>
    <w:rsid w:val="00935AAC"/>
    <w:rsid w:val="0093725D"/>
    <w:rsid w:val="0094021C"/>
    <w:rsid w:val="00952F86"/>
    <w:rsid w:val="009578B0"/>
    <w:rsid w:val="0096716C"/>
    <w:rsid w:val="00982B28"/>
    <w:rsid w:val="009A06BC"/>
    <w:rsid w:val="009B1D45"/>
    <w:rsid w:val="009B51B5"/>
    <w:rsid w:val="009B6CB2"/>
    <w:rsid w:val="009D313F"/>
    <w:rsid w:val="009D656C"/>
    <w:rsid w:val="009D6FF6"/>
    <w:rsid w:val="009E7408"/>
    <w:rsid w:val="009F7C8A"/>
    <w:rsid w:val="00A05AEE"/>
    <w:rsid w:val="00A47A5A"/>
    <w:rsid w:val="00A501D6"/>
    <w:rsid w:val="00A57E47"/>
    <w:rsid w:val="00A63AE6"/>
    <w:rsid w:val="00A6683B"/>
    <w:rsid w:val="00A6744C"/>
    <w:rsid w:val="00A67F05"/>
    <w:rsid w:val="00A75C55"/>
    <w:rsid w:val="00A83CC8"/>
    <w:rsid w:val="00A90F7A"/>
    <w:rsid w:val="00A97F94"/>
    <w:rsid w:val="00AA7EA2"/>
    <w:rsid w:val="00AB39E6"/>
    <w:rsid w:val="00AB4376"/>
    <w:rsid w:val="00AB5564"/>
    <w:rsid w:val="00AB5A56"/>
    <w:rsid w:val="00AE4882"/>
    <w:rsid w:val="00AF4D33"/>
    <w:rsid w:val="00B03099"/>
    <w:rsid w:val="00B05BC8"/>
    <w:rsid w:val="00B14376"/>
    <w:rsid w:val="00B1595F"/>
    <w:rsid w:val="00B30F5E"/>
    <w:rsid w:val="00B34032"/>
    <w:rsid w:val="00B60408"/>
    <w:rsid w:val="00B612C0"/>
    <w:rsid w:val="00B64B47"/>
    <w:rsid w:val="00B66995"/>
    <w:rsid w:val="00B807CE"/>
    <w:rsid w:val="00B951F3"/>
    <w:rsid w:val="00B95384"/>
    <w:rsid w:val="00B9564B"/>
    <w:rsid w:val="00B95654"/>
    <w:rsid w:val="00B969B1"/>
    <w:rsid w:val="00B97F32"/>
    <w:rsid w:val="00BA04B2"/>
    <w:rsid w:val="00BA0B43"/>
    <w:rsid w:val="00BC5BA0"/>
    <w:rsid w:val="00BC7244"/>
    <w:rsid w:val="00BE155B"/>
    <w:rsid w:val="00BF0EC7"/>
    <w:rsid w:val="00C002DE"/>
    <w:rsid w:val="00C049C6"/>
    <w:rsid w:val="00C0602B"/>
    <w:rsid w:val="00C10489"/>
    <w:rsid w:val="00C140B7"/>
    <w:rsid w:val="00C224DA"/>
    <w:rsid w:val="00C37913"/>
    <w:rsid w:val="00C53BF8"/>
    <w:rsid w:val="00C66157"/>
    <w:rsid w:val="00C674FE"/>
    <w:rsid w:val="00C67501"/>
    <w:rsid w:val="00C74E2E"/>
    <w:rsid w:val="00C75633"/>
    <w:rsid w:val="00C8018E"/>
    <w:rsid w:val="00C85CBB"/>
    <w:rsid w:val="00C931AB"/>
    <w:rsid w:val="00CB174E"/>
    <w:rsid w:val="00CD6E62"/>
    <w:rsid w:val="00CE2EE1"/>
    <w:rsid w:val="00CE3349"/>
    <w:rsid w:val="00CE36E5"/>
    <w:rsid w:val="00CE3DB4"/>
    <w:rsid w:val="00CE4360"/>
    <w:rsid w:val="00CF27F5"/>
    <w:rsid w:val="00CF3FFD"/>
    <w:rsid w:val="00D10CCF"/>
    <w:rsid w:val="00D11DB4"/>
    <w:rsid w:val="00D13941"/>
    <w:rsid w:val="00D23F5F"/>
    <w:rsid w:val="00D24758"/>
    <w:rsid w:val="00D275E8"/>
    <w:rsid w:val="00D43F7D"/>
    <w:rsid w:val="00D479B2"/>
    <w:rsid w:val="00D628BE"/>
    <w:rsid w:val="00D63735"/>
    <w:rsid w:val="00D67F64"/>
    <w:rsid w:val="00D76203"/>
    <w:rsid w:val="00D77D0F"/>
    <w:rsid w:val="00D8730F"/>
    <w:rsid w:val="00DA1CF0"/>
    <w:rsid w:val="00DA5451"/>
    <w:rsid w:val="00DB577F"/>
    <w:rsid w:val="00DB6467"/>
    <w:rsid w:val="00DC1E02"/>
    <w:rsid w:val="00DC24B4"/>
    <w:rsid w:val="00DC5FB0"/>
    <w:rsid w:val="00DD30AF"/>
    <w:rsid w:val="00DF16DC"/>
    <w:rsid w:val="00E03244"/>
    <w:rsid w:val="00E103B1"/>
    <w:rsid w:val="00E1158B"/>
    <w:rsid w:val="00E11EF3"/>
    <w:rsid w:val="00E13995"/>
    <w:rsid w:val="00E23387"/>
    <w:rsid w:val="00E45211"/>
    <w:rsid w:val="00E473C5"/>
    <w:rsid w:val="00E61BE8"/>
    <w:rsid w:val="00E737BE"/>
    <w:rsid w:val="00E83C5B"/>
    <w:rsid w:val="00E83FF1"/>
    <w:rsid w:val="00E91C0F"/>
    <w:rsid w:val="00E92863"/>
    <w:rsid w:val="00E95AF7"/>
    <w:rsid w:val="00E979B2"/>
    <w:rsid w:val="00EB5ADC"/>
    <w:rsid w:val="00EB5E6E"/>
    <w:rsid w:val="00EB796D"/>
    <w:rsid w:val="00ED5B9A"/>
    <w:rsid w:val="00ED5C77"/>
    <w:rsid w:val="00F058DC"/>
    <w:rsid w:val="00F128BB"/>
    <w:rsid w:val="00F24FC4"/>
    <w:rsid w:val="00F2676C"/>
    <w:rsid w:val="00F363FE"/>
    <w:rsid w:val="00F50E3F"/>
    <w:rsid w:val="00F50F63"/>
    <w:rsid w:val="00F57DC8"/>
    <w:rsid w:val="00F603FA"/>
    <w:rsid w:val="00F71CF6"/>
    <w:rsid w:val="00F72163"/>
    <w:rsid w:val="00F72172"/>
    <w:rsid w:val="00F84366"/>
    <w:rsid w:val="00F85089"/>
    <w:rsid w:val="00F92A20"/>
    <w:rsid w:val="00F94B58"/>
    <w:rsid w:val="00F974C5"/>
    <w:rsid w:val="00FA3763"/>
    <w:rsid w:val="00FA6F46"/>
    <w:rsid w:val="00FB5922"/>
    <w:rsid w:val="00FC0E94"/>
    <w:rsid w:val="00FC22F6"/>
    <w:rsid w:val="00FC4592"/>
    <w:rsid w:val="00FD527F"/>
    <w:rsid w:val="00FE18C2"/>
    <w:rsid w:val="00FE32D3"/>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1C0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2C0"/>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link w:val="ResNoChar"/>
    <w:qFormat/>
    <w:rsid w:val="00F974C5"/>
    <w:pPr>
      <w:keepNext/>
      <w:keepLines/>
      <w:spacing w:before="360"/>
      <w:jc w:val="center"/>
    </w:pPr>
    <w:rPr>
      <w:sz w:val="26"/>
      <w:szCs w:val="26"/>
    </w:rPr>
  </w:style>
  <w:style w:type="paragraph" w:customStyle="1" w:styleId="Restitle">
    <w:name w:val="Res_title"/>
    <w:basedOn w:val="Normal"/>
    <w:link w:val="RestitleChar"/>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FE32D3"/>
    <w:pPr>
      <w:keepNext/>
      <w:spacing w:before="240"/>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354440"/>
    <w:rPr>
      <w:color w:val="954F72" w:themeColor="followedHyperlink"/>
      <w:u w:val="single"/>
    </w:rPr>
  </w:style>
  <w:style w:type="paragraph" w:customStyle="1" w:styleId="enumlev10">
    <w:name w:val="enumlev 1"/>
    <w:basedOn w:val="Normal"/>
    <w:qFormat/>
    <w:rsid w:val="00B612C0"/>
    <w:pPr>
      <w:spacing w:before="80" w:after="80"/>
      <w:ind w:left="794" w:hanging="794"/>
      <w:outlineLvl w:val="0"/>
    </w:pPr>
    <w:rPr>
      <w:lang w:bidi="ar-SY"/>
    </w:rPr>
  </w:style>
  <w:style w:type="paragraph" w:customStyle="1" w:styleId="AnnexNo0">
    <w:name w:val="Annex No"/>
    <w:basedOn w:val="AgendaItem"/>
    <w:qFormat/>
    <w:rsid w:val="008F67A0"/>
  </w:style>
  <w:style w:type="character" w:customStyle="1" w:styleId="ResNoChar">
    <w:name w:val="Res_No Char"/>
    <w:basedOn w:val="DefaultParagraphFont"/>
    <w:link w:val="ResNo"/>
    <w:rsid w:val="008F67A0"/>
    <w:rPr>
      <w:rFonts w:ascii="Dubai" w:hAnsi="Dubai" w:cs="Dubai"/>
      <w:sz w:val="26"/>
      <w:szCs w:val="26"/>
    </w:rPr>
  </w:style>
  <w:style w:type="character" w:customStyle="1" w:styleId="RestitleChar">
    <w:name w:val="Res_title Char"/>
    <w:basedOn w:val="DefaultParagraphFont"/>
    <w:link w:val="Restitle"/>
    <w:rsid w:val="008F67A0"/>
    <w:rPr>
      <w:rFonts w:ascii="Dubai" w:hAnsi="Dubai" w:cs="Dubai"/>
      <w:b/>
      <w:bCs/>
      <w:sz w:val="28"/>
      <w:szCs w:val="28"/>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250617-TD-0004/en" TargetMode="External"/><Relationship Id="rId13" Type="http://schemas.openxmlformats.org/officeDocument/2006/relationships/hyperlink" Target="http://www.itu.int/md/S25-CL-C-0033/en" TargetMode="External"/><Relationship Id="rId18" Type="http://schemas.openxmlformats.org/officeDocument/2006/relationships/hyperlink" Target="https://www.itu.int/md/S25-CL-C-0035/en" TargetMode="External"/><Relationship Id="rId26" Type="http://schemas.openxmlformats.org/officeDocument/2006/relationships/hyperlink" Target="http://council.itu.int/2025/wp-content/uploads/sites/5/2025/07/Statement_1408_Russia_250625-e-1.pdf" TargetMode="External"/><Relationship Id="rId3" Type="http://schemas.openxmlformats.org/officeDocument/2006/relationships/styles" Target="styles.xml"/><Relationship Id="rId21" Type="http://schemas.openxmlformats.org/officeDocument/2006/relationships/hyperlink" Target="http://council.itu.int/2025/wp-content/uploads/sites/5/2025/07/Statement_Palestine-250625e.pdf" TargetMode="External"/><Relationship Id="rId7" Type="http://schemas.openxmlformats.org/officeDocument/2006/relationships/endnotes" Target="endnotes.xml"/><Relationship Id="rId12" Type="http://schemas.openxmlformats.org/officeDocument/2006/relationships/hyperlink" Target="http://www.itu.int/md/S25-CL-C-0068/en" TargetMode="External"/><Relationship Id="rId17" Type="http://schemas.openxmlformats.org/officeDocument/2006/relationships/hyperlink" Target="http://www.itu.int/md/S25-CL-C-0045/en" TargetMode="External"/><Relationship Id="rId25" Type="http://schemas.openxmlformats.org/officeDocument/2006/relationships/hyperlink" Target="http://council.itu.int/2025/wp-content/uploads/sites/5/2025/07/Statement_Canada-250625-e.pdf" TargetMode="External"/><Relationship Id="rId2" Type="http://schemas.openxmlformats.org/officeDocument/2006/relationships/numbering" Target="numbering.xml"/><Relationship Id="rId16" Type="http://schemas.openxmlformats.org/officeDocument/2006/relationships/hyperlink" Target="http://www.itu.int/md/S25-CL-C-0101/en" TargetMode="External"/><Relationship Id="rId20" Type="http://schemas.openxmlformats.org/officeDocument/2006/relationships/hyperlink" Target="http://www.itu.int/md/S25-CL-C-0071/e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md/S25-CL-C-0071/en" TargetMode="External"/><Relationship Id="rId24" Type="http://schemas.openxmlformats.org/officeDocument/2006/relationships/hyperlink" Target="http://council.itu.int/2025/wp-content/uploads/sites/5/2025/07/Statement-joint-Poland-multicountries-250625.pdf" TargetMode="External"/><Relationship Id="rId5" Type="http://schemas.openxmlformats.org/officeDocument/2006/relationships/webSettings" Target="webSettings.xml"/><Relationship Id="rId15" Type="http://schemas.openxmlformats.org/officeDocument/2006/relationships/hyperlink" Target="http://www.itu.int/md/S25-CL-C-0058/en" TargetMode="External"/><Relationship Id="rId23" Type="http://schemas.openxmlformats.org/officeDocument/2006/relationships/hyperlink" Target="http://council.itu.int/2025/wp-content/uploads/sites/5/2025/07/Statement-joint-Ukraine-co-countries-250625-e.pdf" TargetMode="External"/><Relationship Id="rId28" Type="http://schemas.openxmlformats.org/officeDocument/2006/relationships/header" Target="header1.xml"/><Relationship Id="rId10" Type="http://schemas.openxmlformats.org/officeDocument/2006/relationships/hyperlink" Target="http://www.itu.int/md/S25-CL-C-0101/en" TargetMode="External"/><Relationship Id="rId19" Type="http://schemas.openxmlformats.org/officeDocument/2006/relationships/hyperlink" Target="http://www.itu.int/md/S25-CL-C-0072/e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tu.int/md/S25-CL-C-0058/en" TargetMode="External"/><Relationship Id="rId14" Type="http://schemas.openxmlformats.org/officeDocument/2006/relationships/hyperlink" Target="https://www.itu.int/md/S25-CL-250617-TD-0004/en" TargetMode="External"/><Relationship Id="rId22" Type="http://schemas.openxmlformats.org/officeDocument/2006/relationships/hyperlink" Target="http://www.itu.int/md/S25-CL-C-0068/en"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3007</Words>
  <Characters>18041</Characters>
  <Application>Microsoft Office Word</Application>
  <DocSecurity>0</DocSecurity>
  <Lines>150</Lines>
  <Paragraphs>42</Paragraphs>
  <ScaleCrop>false</ScaleCrop>
  <Company/>
  <LinksUpToDate>false</LinksUpToDate>
  <CharactersWithSpaces>21006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record of the sixth Plenary meeting of the ITU Council-25</dc:title>
  <dc:subject/>
  <dc:creator/>
  <cp:keywords>C2025, C25, Council-25</cp:keywords>
  <dc:description/>
  <cp:lastModifiedBy/>
  <cp:revision>1</cp:revision>
  <dcterms:created xsi:type="dcterms:W3CDTF">2025-09-11T14:07:00Z</dcterms:created>
  <dcterms:modified xsi:type="dcterms:W3CDTF">2025-09-11T14:07:00Z</dcterms:modified>
  <cp:category/>
</cp:coreProperties>
</file>