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CF5F2A" w14:paraId="4FE1D00E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FD00362" w14:textId="2A59A514" w:rsidR="00796BD3" w:rsidRPr="00CF5F2A" w:rsidRDefault="00796BD3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0A1E8505" w14:textId="7D6F1A87" w:rsidR="00796BD3" w:rsidRPr="00CF5F2A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F5F2A">
              <w:rPr>
                <w:b/>
                <w:lang w:val="ru-RU"/>
              </w:rPr>
              <w:t xml:space="preserve">Документ </w:t>
            </w:r>
            <w:r w:rsidR="00796BD3" w:rsidRPr="00CF5F2A">
              <w:rPr>
                <w:b/>
                <w:lang w:val="ru-RU"/>
              </w:rPr>
              <w:t>C2</w:t>
            </w:r>
            <w:r w:rsidR="00D631AA" w:rsidRPr="00CF5F2A">
              <w:rPr>
                <w:b/>
                <w:lang w:val="ru-RU"/>
              </w:rPr>
              <w:t>5</w:t>
            </w:r>
            <w:r w:rsidR="00796BD3" w:rsidRPr="00CF5F2A">
              <w:rPr>
                <w:b/>
                <w:lang w:val="ru-RU"/>
              </w:rPr>
              <w:t>/</w:t>
            </w:r>
            <w:r w:rsidR="00291AC8" w:rsidRPr="00CF5F2A">
              <w:rPr>
                <w:b/>
                <w:lang w:val="ru-RU"/>
              </w:rPr>
              <w:t>111</w:t>
            </w:r>
            <w:r w:rsidR="00796BD3" w:rsidRPr="00CF5F2A">
              <w:rPr>
                <w:b/>
                <w:lang w:val="ru-RU"/>
              </w:rPr>
              <w:t>-R</w:t>
            </w:r>
          </w:p>
        </w:tc>
      </w:tr>
      <w:tr w:rsidR="00796BD3" w:rsidRPr="00CF5F2A" w14:paraId="1A8ED8E7" w14:textId="77777777" w:rsidTr="00DA770A">
        <w:trPr>
          <w:cantSplit/>
        </w:trPr>
        <w:tc>
          <w:tcPr>
            <w:tcW w:w="3969" w:type="dxa"/>
            <w:vMerge/>
          </w:tcPr>
          <w:p w14:paraId="24F78E9E" w14:textId="77777777" w:rsidR="00796BD3" w:rsidRPr="00CF5F2A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826FB98" w14:textId="1E8A83C6" w:rsidR="00796BD3" w:rsidRPr="00CF5F2A" w:rsidRDefault="002727E1" w:rsidP="00DA770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CF5F2A">
              <w:rPr>
                <w:b/>
                <w:lang w:val="ru-RU"/>
              </w:rPr>
              <w:t xml:space="preserve">1 </w:t>
            </w:r>
            <w:r w:rsidR="005B1BF3" w:rsidRPr="00CF5F2A">
              <w:rPr>
                <w:b/>
                <w:lang w:val="ru-RU"/>
              </w:rPr>
              <w:t xml:space="preserve">сентября </w:t>
            </w:r>
            <w:r w:rsidR="00291AC8" w:rsidRPr="00CF5F2A">
              <w:rPr>
                <w:b/>
                <w:lang w:val="ru-RU"/>
              </w:rPr>
              <w:t>2025 года</w:t>
            </w:r>
          </w:p>
        </w:tc>
      </w:tr>
      <w:tr w:rsidR="00796BD3" w:rsidRPr="00CF5F2A" w14:paraId="230CFBE6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7523D1DC" w14:textId="77777777" w:rsidR="00796BD3" w:rsidRPr="00CF5F2A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7A36CABF" w14:textId="77777777" w:rsidR="00796BD3" w:rsidRPr="00CF5F2A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CF5F2A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CF5F2A" w14:paraId="05BFD609" w14:textId="77777777" w:rsidTr="00DA770A">
        <w:trPr>
          <w:cantSplit/>
          <w:trHeight w:val="23"/>
        </w:trPr>
        <w:tc>
          <w:tcPr>
            <w:tcW w:w="3969" w:type="dxa"/>
          </w:tcPr>
          <w:p w14:paraId="4428596E" w14:textId="77777777" w:rsidR="00796BD3" w:rsidRPr="00CF5F2A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AFBB79D" w14:textId="77777777" w:rsidR="00796BD3" w:rsidRPr="00CF5F2A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</w:tbl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CF5F2A" w:rsidRPr="00575EA9" w14:paraId="07EE8737" w14:textId="77777777" w:rsidTr="00411A94">
        <w:trPr>
          <w:cantSplit/>
          <w:trHeight w:val="23"/>
        </w:trPr>
        <w:tc>
          <w:tcPr>
            <w:tcW w:w="9214" w:type="dxa"/>
          </w:tcPr>
          <w:bookmarkEnd w:id="2"/>
          <w:bookmarkEnd w:id="4"/>
          <w:p w14:paraId="2CE646BC" w14:textId="77777777" w:rsidR="00CF5F2A" w:rsidRPr="00E4748C" w:rsidRDefault="00CF5F2A" w:rsidP="00411A94">
            <w:pPr>
              <w:pStyle w:val="Title1"/>
              <w:spacing w:before="480"/>
              <w:rPr>
                <w:lang w:val="ru-RU"/>
              </w:rPr>
            </w:pPr>
            <w:r w:rsidRPr="00B91FB7">
              <w:rPr>
                <w:lang w:val="ru-RU"/>
              </w:rPr>
              <w:t>КРАТКИЙ ОТЧЕТ</w:t>
            </w:r>
          </w:p>
          <w:p w14:paraId="193456B1" w14:textId="77777777" w:rsidR="00CF5F2A" w:rsidRPr="00B91FB7" w:rsidRDefault="00CF5F2A" w:rsidP="00411A94">
            <w:pPr>
              <w:pStyle w:val="Title1"/>
              <w:rPr>
                <w:lang w:val="ru-RU"/>
              </w:rPr>
            </w:pPr>
            <w:r w:rsidRPr="00CF5F2A">
              <w:rPr>
                <w:lang w:val="ru-RU"/>
              </w:rPr>
              <w:t>О ПЯТОМ ПЛЕНАРНОМ ЗАСЕДАНИИ</w:t>
            </w:r>
          </w:p>
        </w:tc>
      </w:tr>
      <w:tr w:rsidR="00CF5F2A" w:rsidRPr="00575EA9" w14:paraId="7FD69441" w14:textId="77777777" w:rsidTr="00411A94">
        <w:trPr>
          <w:cantSplit/>
          <w:trHeight w:val="23"/>
        </w:trPr>
        <w:tc>
          <w:tcPr>
            <w:tcW w:w="9214" w:type="dxa"/>
          </w:tcPr>
          <w:p w14:paraId="64C60452" w14:textId="22936F9E" w:rsidR="00CF5F2A" w:rsidRPr="00B91FB7" w:rsidRDefault="00CF5F2A" w:rsidP="00411A94">
            <w:pPr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lang w:val="ru-RU"/>
              </w:rPr>
            </w:pPr>
            <w:r w:rsidRPr="00CF5F2A">
              <w:rPr>
                <w:color w:val="000000"/>
                <w:lang w:val="ru-RU"/>
              </w:rPr>
              <w:t xml:space="preserve">Среда, 25 июня 2025 года, 09 час. 30 мин. </w:t>
            </w:r>
            <w:r w:rsidRPr="00575EA9">
              <w:rPr>
                <w:color w:val="000000"/>
                <w:lang w:val="ru-RU"/>
              </w:rPr>
              <w:t>−</w:t>
            </w:r>
            <w:r w:rsidRPr="00CF5F2A">
              <w:rPr>
                <w:color w:val="000000"/>
                <w:lang w:val="ru-RU"/>
              </w:rPr>
              <w:t xml:space="preserve"> 12 час. 40 мин.</w:t>
            </w:r>
          </w:p>
          <w:p w14:paraId="1BA0B899" w14:textId="77777777" w:rsidR="00CF5F2A" w:rsidRPr="00B91FB7" w:rsidRDefault="00CF5F2A" w:rsidP="00411A94">
            <w:pPr>
              <w:tabs>
                <w:tab w:val="left" w:pos="851"/>
              </w:tabs>
              <w:spacing w:after="240" w:line="240" w:lineRule="atLeast"/>
              <w:jc w:val="center"/>
              <w:rPr>
                <w:bCs/>
                <w:lang w:val="ru-RU"/>
              </w:rPr>
            </w:pPr>
            <w:r w:rsidRPr="00CF5F2A">
              <w:rPr>
                <w:b/>
                <w:bCs/>
                <w:color w:val="000000"/>
                <w:lang w:val="ru-RU"/>
              </w:rPr>
              <w:t>Председатель</w:t>
            </w:r>
            <w:r w:rsidRPr="00CF5F2A">
              <w:rPr>
                <w:color w:val="000000"/>
                <w:lang w:val="ru-RU"/>
              </w:rPr>
              <w:t xml:space="preserve">: г-жа К. </w:t>
            </w:r>
            <w:proofErr w:type="spellStart"/>
            <w:r w:rsidRPr="00CF5F2A">
              <w:rPr>
                <w:color w:val="000000"/>
                <w:lang w:val="ru-RU"/>
              </w:rPr>
              <w:t>Флутур</w:t>
            </w:r>
            <w:proofErr w:type="spellEnd"/>
            <w:r w:rsidRPr="00CF5F2A">
              <w:rPr>
                <w:color w:val="000000"/>
                <w:lang w:val="ru-RU"/>
              </w:rPr>
              <w:t xml:space="preserve"> (Румыния)</w:t>
            </w:r>
          </w:p>
        </w:tc>
      </w:tr>
    </w:tbl>
    <w:tbl>
      <w:tblPr>
        <w:tblpPr w:leftFromText="181" w:rightFromText="181" w:vertAnchor="text" w:horzAnchor="page" w:tblpX="1821" w:tblpY="1"/>
        <w:tblOverlap w:val="never"/>
        <w:tblW w:w="9214" w:type="dxa"/>
        <w:tblLayout w:type="fixed"/>
        <w:tblLook w:val="04A0" w:firstRow="1" w:lastRow="0" w:firstColumn="1" w:lastColumn="0" w:noHBand="0" w:noVBand="1"/>
      </w:tblPr>
      <w:tblGrid>
        <w:gridCol w:w="446"/>
        <w:gridCol w:w="6597"/>
        <w:gridCol w:w="2171"/>
      </w:tblGrid>
      <w:tr w:rsidR="00291AC8" w:rsidRPr="00CF5F2A" w14:paraId="2F93E727" w14:textId="77777777" w:rsidTr="00CF5F2A">
        <w:trPr>
          <w:trHeight w:val="846"/>
        </w:trPr>
        <w:tc>
          <w:tcPr>
            <w:tcW w:w="242" w:type="pct"/>
          </w:tcPr>
          <w:p w14:paraId="4627A378" w14:textId="77777777" w:rsidR="00291AC8" w:rsidRPr="00CF5F2A" w:rsidRDefault="00291AC8" w:rsidP="00CF5F2A">
            <w:pPr>
              <w:spacing w:before="480" w:after="120"/>
              <w:rPr>
                <w:b/>
                <w:bCs/>
                <w:szCs w:val="24"/>
                <w:lang w:val="ru-RU"/>
              </w:rPr>
            </w:pPr>
            <w:bookmarkStart w:id="5" w:name="_Hlk141438382"/>
            <w:r w:rsidRPr="00CF5F2A">
              <w:rPr>
                <w:b/>
                <w:bCs/>
                <w:color w:val="000000"/>
                <w:szCs w:val="24"/>
                <w:lang w:val="ru-RU"/>
              </w:rPr>
              <w:br w:type="page"/>
            </w:r>
            <w:r w:rsidRPr="00CF5F2A">
              <w:rPr>
                <w:b/>
                <w:bCs/>
                <w:color w:val="000000"/>
                <w:szCs w:val="24"/>
                <w:lang w:val="ru-RU"/>
              </w:rPr>
              <w:br w:type="page"/>
            </w:r>
          </w:p>
        </w:tc>
        <w:tc>
          <w:tcPr>
            <w:tcW w:w="3580" w:type="pct"/>
            <w:hideMark/>
          </w:tcPr>
          <w:p w14:paraId="79B71340" w14:textId="77777777" w:rsidR="00291AC8" w:rsidRPr="00CF5F2A" w:rsidRDefault="00291AC8" w:rsidP="00CF5F2A">
            <w:pPr>
              <w:spacing w:before="480" w:after="120"/>
              <w:jc w:val="center"/>
              <w:rPr>
                <w:b/>
                <w:bCs/>
                <w:szCs w:val="24"/>
                <w:lang w:val="ru-RU"/>
              </w:rPr>
            </w:pPr>
            <w:r w:rsidRPr="00CF5F2A">
              <w:rPr>
                <w:b/>
                <w:bCs/>
                <w:color w:val="000000"/>
                <w:lang w:val="ru-RU"/>
              </w:rPr>
              <w:t>Обсуждаемые вопросы</w:t>
            </w:r>
          </w:p>
        </w:tc>
        <w:tc>
          <w:tcPr>
            <w:tcW w:w="1178" w:type="pct"/>
            <w:hideMark/>
          </w:tcPr>
          <w:p w14:paraId="7F6A6439" w14:textId="77777777" w:rsidR="00291AC8" w:rsidRPr="00CF5F2A" w:rsidRDefault="00291AC8" w:rsidP="00CF5F2A">
            <w:pPr>
              <w:spacing w:before="480" w:after="120"/>
              <w:jc w:val="center"/>
              <w:rPr>
                <w:b/>
                <w:bCs/>
                <w:szCs w:val="24"/>
                <w:lang w:val="ru-RU"/>
              </w:rPr>
            </w:pPr>
            <w:r w:rsidRPr="00CF5F2A">
              <w:rPr>
                <w:b/>
                <w:bCs/>
                <w:color w:val="000000"/>
                <w:lang w:val="ru-RU"/>
              </w:rPr>
              <w:t>Документы</w:t>
            </w:r>
          </w:p>
        </w:tc>
      </w:tr>
      <w:tr w:rsidR="00291AC8" w:rsidRPr="00CF5F2A" w14:paraId="7CC5E4B6" w14:textId="77777777" w:rsidTr="00207F55">
        <w:trPr>
          <w:trHeight w:val="20"/>
        </w:trPr>
        <w:tc>
          <w:tcPr>
            <w:tcW w:w="242" w:type="pct"/>
            <w:hideMark/>
          </w:tcPr>
          <w:p w14:paraId="5817942A" w14:textId="77777777" w:rsidR="00291AC8" w:rsidRPr="00CF5F2A" w:rsidRDefault="00291AC8" w:rsidP="00207F55">
            <w:pPr>
              <w:spacing w:before="80" w:after="80"/>
              <w:rPr>
                <w:szCs w:val="22"/>
                <w:lang w:val="ru-RU"/>
              </w:rPr>
            </w:pPr>
            <w:r w:rsidRPr="00CF5F2A">
              <w:rPr>
                <w:color w:val="000000"/>
                <w:lang w:val="ru-RU"/>
              </w:rPr>
              <w:t>1</w:t>
            </w:r>
          </w:p>
        </w:tc>
        <w:tc>
          <w:tcPr>
            <w:tcW w:w="3580" w:type="pct"/>
          </w:tcPr>
          <w:p w14:paraId="1B9BF6A9" w14:textId="77777777" w:rsidR="00291AC8" w:rsidRPr="00CF5F2A" w:rsidRDefault="00291AC8" w:rsidP="00207F55">
            <w:pPr>
              <w:spacing w:before="80" w:after="80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CF5F2A">
              <w:rPr>
                <w:color w:val="000000"/>
                <w:lang w:val="ru-RU"/>
              </w:rPr>
              <w:t>Отчет председателя Рабочей группы Совета по защите ребенка в онлайновой среде</w:t>
            </w:r>
          </w:p>
        </w:tc>
        <w:bookmarkStart w:id="6" w:name="_Hlk201756613"/>
        <w:tc>
          <w:tcPr>
            <w:tcW w:w="1178" w:type="pct"/>
          </w:tcPr>
          <w:p w14:paraId="49527E58" w14:textId="77777777" w:rsidR="00291AC8" w:rsidRPr="00CF5F2A" w:rsidRDefault="00291AC8" w:rsidP="00207F55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CF5F2A">
              <w:rPr>
                <w:rFonts w:asciiTheme="minorHAnsi" w:hAnsiTheme="minorHAnsi" w:cstheme="minorHAnsi"/>
                <w:szCs w:val="24"/>
                <w:lang w:val="ru-RU" w:eastAsia="en-GB"/>
              </w:rPr>
              <w:fldChar w:fldCharType="begin"/>
            </w:r>
            <w:r w:rsidRPr="00CF5F2A">
              <w:rPr>
                <w:rFonts w:asciiTheme="minorHAnsi" w:hAnsiTheme="minorHAnsi" w:cstheme="minorHAnsi"/>
                <w:szCs w:val="24"/>
                <w:lang w:val="ru-RU" w:eastAsia="en-GB"/>
              </w:rPr>
              <w:instrText>HYPERLINK "https://www.itu.int/md/S25-CL-C-0015/en"</w:instrText>
            </w:r>
            <w:r w:rsidRPr="00CF5F2A">
              <w:rPr>
                <w:rFonts w:asciiTheme="minorHAnsi" w:hAnsiTheme="minorHAnsi" w:cstheme="minorHAnsi"/>
                <w:szCs w:val="24"/>
                <w:lang w:val="ru-RU" w:eastAsia="en-GB"/>
              </w:rPr>
            </w:r>
            <w:r w:rsidRPr="00CF5F2A">
              <w:rPr>
                <w:rFonts w:asciiTheme="minorHAnsi" w:hAnsiTheme="minorHAnsi" w:cstheme="minorHAnsi"/>
                <w:szCs w:val="24"/>
                <w:lang w:val="ru-RU" w:eastAsia="en-GB"/>
              </w:rPr>
              <w:fldChar w:fldCharType="separate"/>
            </w:r>
            <w:r w:rsidRPr="00CF5F2A">
              <w:rPr>
                <w:rStyle w:val="Hyperlink"/>
                <w:rFonts w:asciiTheme="minorHAnsi" w:hAnsiTheme="minorHAnsi" w:cstheme="minorHAnsi"/>
                <w:szCs w:val="24"/>
                <w:lang w:val="ru-RU" w:eastAsia="en-GB"/>
              </w:rPr>
              <w:t>C25/15</w:t>
            </w:r>
            <w:bookmarkEnd w:id="6"/>
            <w:r w:rsidRPr="00CF5F2A">
              <w:rPr>
                <w:rFonts w:asciiTheme="minorHAnsi" w:hAnsiTheme="minorHAnsi" w:cstheme="minorHAnsi"/>
                <w:szCs w:val="24"/>
                <w:lang w:val="ru-RU" w:eastAsia="en-GB"/>
              </w:rPr>
              <w:fldChar w:fldCharType="end"/>
            </w:r>
          </w:p>
        </w:tc>
      </w:tr>
      <w:tr w:rsidR="00291AC8" w:rsidRPr="00CF5F2A" w14:paraId="0560618A" w14:textId="77777777" w:rsidTr="00207F55">
        <w:trPr>
          <w:trHeight w:val="20"/>
        </w:trPr>
        <w:tc>
          <w:tcPr>
            <w:tcW w:w="242" w:type="pct"/>
          </w:tcPr>
          <w:p w14:paraId="4EE405CA" w14:textId="77777777" w:rsidR="00291AC8" w:rsidRPr="00CF5F2A" w:rsidRDefault="00291AC8" w:rsidP="00207F55">
            <w:pPr>
              <w:spacing w:before="80" w:after="80"/>
              <w:rPr>
                <w:szCs w:val="22"/>
                <w:lang w:val="ru-RU"/>
              </w:rPr>
            </w:pPr>
            <w:r w:rsidRPr="00CF5F2A">
              <w:rPr>
                <w:color w:val="000000"/>
                <w:lang w:val="ru-RU"/>
              </w:rPr>
              <w:t>2</w:t>
            </w:r>
          </w:p>
        </w:tc>
        <w:tc>
          <w:tcPr>
            <w:tcW w:w="3580" w:type="pct"/>
          </w:tcPr>
          <w:p w14:paraId="1CBEF0F9" w14:textId="08037EA0" w:rsidR="00291AC8" w:rsidRPr="00CF5F2A" w:rsidRDefault="00291AC8" w:rsidP="00207F55">
            <w:pPr>
              <w:overflowPunct/>
              <w:autoSpaceDE/>
              <w:autoSpaceDN/>
              <w:adjustRightInd/>
              <w:spacing w:before="80" w:after="80"/>
              <w:rPr>
                <w:rFonts w:asciiTheme="minorHAnsi" w:hAnsiTheme="minorHAnsi" w:cstheme="minorHAnsi"/>
                <w:szCs w:val="24"/>
                <w:lang w:val="ru-RU"/>
              </w:rPr>
            </w:pPr>
            <w:bookmarkStart w:id="7" w:name="_Hlk201766753"/>
            <w:r w:rsidRPr="00CF5F2A">
              <w:rPr>
                <w:color w:val="000000"/>
                <w:lang w:val="ru-RU"/>
              </w:rPr>
              <w:t>Отчет о выполнении Резолюции 214 (Бухарест, 2022 г.) Полномочной конференции "Технологии искусственного интеллекта и электросвязь/информационно-коммуникационные технологии"</w:t>
            </w:r>
            <w:bookmarkEnd w:id="7"/>
          </w:p>
        </w:tc>
        <w:tc>
          <w:tcPr>
            <w:tcW w:w="1178" w:type="pct"/>
          </w:tcPr>
          <w:p w14:paraId="642F4B15" w14:textId="77777777" w:rsidR="00291AC8" w:rsidRPr="00CF5F2A" w:rsidRDefault="00291AC8" w:rsidP="00207F55">
            <w:pPr>
              <w:overflowPunct/>
              <w:autoSpaceDE/>
              <w:autoSpaceDN/>
              <w:adjustRightInd/>
              <w:spacing w:before="80" w:after="80"/>
              <w:jc w:val="center"/>
              <w:rPr>
                <w:rFonts w:asciiTheme="minorHAnsi" w:hAnsiTheme="minorHAnsi" w:cstheme="minorHAnsi"/>
                <w:szCs w:val="24"/>
                <w:lang w:val="ru-RU" w:eastAsia="en-GB"/>
              </w:rPr>
            </w:pPr>
            <w:hyperlink r:id="rId7" w:history="1">
              <w:r w:rsidRPr="00CF5F2A">
                <w:rPr>
                  <w:rStyle w:val="Hyperlink"/>
                  <w:rFonts w:asciiTheme="minorHAnsi" w:hAnsiTheme="minorHAnsi" w:cstheme="minorHAnsi"/>
                  <w:szCs w:val="24"/>
                  <w:lang w:val="ru-RU" w:eastAsia="en-GB"/>
                </w:rPr>
                <w:t>C25/56</w:t>
              </w:r>
            </w:hyperlink>
            <w:r w:rsidRPr="00CF5F2A">
              <w:rPr>
                <w:lang w:val="ru-RU" w:eastAsia="en-GB"/>
              </w:rPr>
              <w:t xml:space="preserve">, </w:t>
            </w:r>
            <w:hyperlink r:id="rId8" w:history="1">
              <w:r w:rsidRPr="00CF5F2A">
                <w:rPr>
                  <w:rStyle w:val="Hyperlink"/>
                  <w:lang w:val="ru-RU" w:eastAsia="en-GB"/>
                </w:rPr>
                <w:t>C25/96</w:t>
              </w:r>
            </w:hyperlink>
          </w:p>
        </w:tc>
      </w:tr>
      <w:tr w:rsidR="00291AC8" w:rsidRPr="00CF5F2A" w14:paraId="26134F5C" w14:textId="77777777" w:rsidTr="00207F55">
        <w:trPr>
          <w:trHeight w:val="20"/>
        </w:trPr>
        <w:tc>
          <w:tcPr>
            <w:tcW w:w="242" w:type="pct"/>
          </w:tcPr>
          <w:p w14:paraId="5D8A96BD" w14:textId="77777777" w:rsidR="00291AC8" w:rsidRPr="00CF5F2A" w:rsidRDefault="00291AC8" w:rsidP="00207F55">
            <w:pPr>
              <w:spacing w:before="80" w:after="80"/>
              <w:rPr>
                <w:szCs w:val="22"/>
                <w:lang w:val="ru-RU"/>
              </w:rPr>
            </w:pPr>
            <w:r w:rsidRPr="00CF5F2A">
              <w:rPr>
                <w:color w:val="000000"/>
                <w:lang w:val="ru-RU"/>
              </w:rPr>
              <w:t>3</w:t>
            </w:r>
          </w:p>
        </w:tc>
        <w:tc>
          <w:tcPr>
            <w:tcW w:w="3580" w:type="pct"/>
          </w:tcPr>
          <w:p w14:paraId="28C5C5ED" w14:textId="77777777" w:rsidR="00291AC8" w:rsidRPr="00CF5F2A" w:rsidRDefault="00291AC8" w:rsidP="00207F55">
            <w:pPr>
              <w:spacing w:before="80" w:after="80"/>
              <w:rPr>
                <w:rFonts w:asciiTheme="minorHAnsi" w:hAnsiTheme="minorHAnsi" w:cstheme="minorHAnsi"/>
                <w:color w:val="2F2F2F"/>
                <w:szCs w:val="24"/>
                <w:shd w:val="clear" w:color="auto" w:fill="FFFFFF"/>
                <w:lang w:val="ru-RU"/>
              </w:rPr>
            </w:pPr>
            <w:r w:rsidRPr="00CF5F2A">
              <w:rPr>
                <w:color w:val="000000"/>
                <w:lang w:val="ru-RU"/>
              </w:rPr>
              <w:t>Всемирный день электросвязи и информационного общества</w:t>
            </w:r>
          </w:p>
        </w:tc>
        <w:tc>
          <w:tcPr>
            <w:tcW w:w="1178" w:type="pct"/>
          </w:tcPr>
          <w:p w14:paraId="4646D2D7" w14:textId="77777777" w:rsidR="00291AC8" w:rsidRPr="00CF5F2A" w:rsidRDefault="00291AC8" w:rsidP="00207F55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  <w:lang w:val="ru-RU"/>
              </w:rPr>
            </w:pPr>
            <w:hyperlink r:id="rId9" w:history="1">
              <w:r w:rsidRPr="00CF5F2A">
                <w:rPr>
                  <w:rStyle w:val="Hyperlink"/>
                  <w:rFonts w:asciiTheme="minorHAnsi" w:hAnsiTheme="minorHAnsi" w:cstheme="minorHAnsi"/>
                  <w:szCs w:val="24"/>
                  <w:lang w:val="ru-RU" w:eastAsia="en-GB"/>
                </w:rPr>
                <w:t>C25/17</w:t>
              </w:r>
            </w:hyperlink>
            <w:r w:rsidRPr="00CF5F2A">
              <w:rPr>
                <w:rFonts w:asciiTheme="minorHAnsi" w:hAnsiTheme="minorHAnsi" w:cstheme="minorHAnsi"/>
                <w:szCs w:val="24"/>
                <w:lang w:val="ru-RU" w:eastAsia="en-GB"/>
              </w:rPr>
              <w:t xml:space="preserve">, </w:t>
            </w:r>
            <w:hyperlink r:id="rId10" w:history="1">
              <w:r w:rsidRPr="00CF5F2A">
                <w:rPr>
                  <w:rStyle w:val="Hyperlink"/>
                  <w:rFonts w:asciiTheme="minorHAnsi" w:hAnsiTheme="minorHAnsi" w:cstheme="minorHAnsi"/>
                  <w:szCs w:val="24"/>
                  <w:lang w:val="ru-RU" w:eastAsia="en-GB"/>
                </w:rPr>
                <w:t>C25/76</w:t>
              </w:r>
            </w:hyperlink>
            <w:r w:rsidRPr="00CF5F2A">
              <w:rPr>
                <w:rFonts w:asciiTheme="minorHAnsi" w:hAnsiTheme="minorHAnsi" w:cstheme="minorHAnsi"/>
                <w:szCs w:val="24"/>
                <w:lang w:val="ru-RU" w:eastAsia="en-GB"/>
              </w:rPr>
              <w:t xml:space="preserve">, </w:t>
            </w:r>
            <w:hyperlink r:id="rId11" w:history="1">
              <w:r w:rsidRPr="00CF5F2A">
                <w:rPr>
                  <w:rStyle w:val="Hyperlink"/>
                  <w:rFonts w:asciiTheme="minorHAnsi" w:hAnsiTheme="minorHAnsi" w:cstheme="minorHAnsi"/>
                  <w:szCs w:val="24"/>
                  <w:lang w:val="ru-RU" w:eastAsia="en-GB"/>
                </w:rPr>
                <w:t>C25/89</w:t>
              </w:r>
            </w:hyperlink>
            <w:r w:rsidRPr="00CF5F2A">
              <w:rPr>
                <w:rFonts w:asciiTheme="minorHAnsi" w:hAnsiTheme="minorHAnsi" w:cstheme="minorHAnsi"/>
                <w:szCs w:val="24"/>
                <w:lang w:val="ru-RU" w:eastAsia="en-GB"/>
              </w:rPr>
              <w:t xml:space="preserve">, </w:t>
            </w:r>
            <w:hyperlink r:id="rId12" w:history="1">
              <w:r w:rsidRPr="00CF5F2A">
                <w:rPr>
                  <w:rStyle w:val="Hyperlink"/>
                  <w:rFonts w:asciiTheme="minorHAnsi" w:hAnsiTheme="minorHAnsi" w:cstheme="minorHAnsi"/>
                  <w:szCs w:val="24"/>
                  <w:lang w:val="ru-RU" w:eastAsia="en-GB"/>
                </w:rPr>
                <w:t>C25/100</w:t>
              </w:r>
            </w:hyperlink>
          </w:p>
        </w:tc>
      </w:tr>
      <w:tr w:rsidR="00291AC8" w:rsidRPr="00CF5F2A" w14:paraId="4DD36747" w14:textId="77777777" w:rsidTr="00207F55">
        <w:trPr>
          <w:trHeight w:val="20"/>
        </w:trPr>
        <w:tc>
          <w:tcPr>
            <w:tcW w:w="242" w:type="pct"/>
          </w:tcPr>
          <w:p w14:paraId="4DD83A50" w14:textId="77777777" w:rsidR="00291AC8" w:rsidRPr="00CF5F2A" w:rsidRDefault="00291AC8" w:rsidP="00207F55">
            <w:pPr>
              <w:spacing w:before="80" w:after="80"/>
              <w:rPr>
                <w:szCs w:val="22"/>
                <w:lang w:val="ru-RU"/>
              </w:rPr>
            </w:pPr>
            <w:r w:rsidRPr="00CF5F2A">
              <w:rPr>
                <w:color w:val="000000"/>
                <w:lang w:val="ru-RU"/>
              </w:rPr>
              <w:t>4</w:t>
            </w:r>
          </w:p>
        </w:tc>
        <w:tc>
          <w:tcPr>
            <w:tcW w:w="3580" w:type="pct"/>
          </w:tcPr>
          <w:p w14:paraId="7B41EA3F" w14:textId="48529198" w:rsidR="00291AC8" w:rsidRPr="00CF5F2A" w:rsidRDefault="00291AC8" w:rsidP="00207F55">
            <w:pPr>
              <w:spacing w:before="80" w:after="80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CF5F2A">
              <w:rPr>
                <w:color w:val="000000"/>
                <w:lang w:val="ru-RU"/>
              </w:rPr>
              <w:t>Стратегия координации усилий трех Секторов Союза</w:t>
            </w:r>
          </w:p>
        </w:tc>
        <w:tc>
          <w:tcPr>
            <w:tcW w:w="1178" w:type="pct"/>
          </w:tcPr>
          <w:p w14:paraId="2AC47543" w14:textId="77777777" w:rsidR="00291AC8" w:rsidRPr="00CF5F2A" w:rsidRDefault="00291AC8" w:rsidP="00207F55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  <w:lang w:val="ru-RU"/>
              </w:rPr>
            </w:pPr>
            <w:hyperlink r:id="rId13" w:history="1">
              <w:r w:rsidRPr="00CF5F2A">
                <w:rPr>
                  <w:rStyle w:val="Hyperlink"/>
                  <w:lang w:val="ru-RU"/>
                </w:rPr>
                <w:t>C25/27</w:t>
              </w:r>
            </w:hyperlink>
          </w:p>
        </w:tc>
      </w:tr>
      <w:tr w:rsidR="00291AC8" w:rsidRPr="00CF5F2A" w14:paraId="7DF6F995" w14:textId="77777777" w:rsidTr="00207F55">
        <w:trPr>
          <w:trHeight w:val="20"/>
        </w:trPr>
        <w:tc>
          <w:tcPr>
            <w:tcW w:w="242" w:type="pct"/>
          </w:tcPr>
          <w:p w14:paraId="422DE3C3" w14:textId="77777777" w:rsidR="00291AC8" w:rsidRPr="00CF5F2A" w:rsidRDefault="00291AC8" w:rsidP="00207F55">
            <w:pPr>
              <w:spacing w:before="80" w:after="80"/>
              <w:rPr>
                <w:szCs w:val="22"/>
                <w:lang w:val="ru-RU"/>
              </w:rPr>
            </w:pPr>
            <w:r w:rsidRPr="00CF5F2A">
              <w:rPr>
                <w:color w:val="000000"/>
                <w:lang w:val="ru-RU"/>
              </w:rPr>
              <w:t>5</w:t>
            </w:r>
          </w:p>
        </w:tc>
        <w:tc>
          <w:tcPr>
            <w:tcW w:w="3580" w:type="pct"/>
          </w:tcPr>
          <w:p w14:paraId="758788ED" w14:textId="22A854F4" w:rsidR="00291AC8" w:rsidRPr="00CF5F2A" w:rsidRDefault="00291AC8" w:rsidP="00207F55">
            <w:pPr>
              <w:spacing w:before="80" w:after="80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CF5F2A">
              <w:rPr>
                <w:color w:val="000000"/>
                <w:lang w:val="ru-RU"/>
              </w:rPr>
              <w:t>Отчет Председателя Рабочей группы Совета по использованию шести официальных языков Союза</w:t>
            </w:r>
          </w:p>
        </w:tc>
        <w:tc>
          <w:tcPr>
            <w:tcW w:w="1178" w:type="pct"/>
          </w:tcPr>
          <w:p w14:paraId="6B9CEB2C" w14:textId="77777777" w:rsidR="00291AC8" w:rsidRPr="00CF5F2A" w:rsidRDefault="00291AC8" w:rsidP="00207F55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  <w:lang w:val="ru-RU"/>
              </w:rPr>
            </w:pPr>
            <w:hyperlink r:id="rId14" w:history="1">
              <w:r w:rsidRPr="00CF5F2A">
                <w:rPr>
                  <w:rStyle w:val="Hyperlink"/>
                  <w:lang w:val="ru-RU"/>
                </w:rPr>
                <w:t>C25/12</w:t>
              </w:r>
            </w:hyperlink>
            <w:r w:rsidRPr="00CF5F2A">
              <w:rPr>
                <w:bCs/>
                <w:lang w:val="ru-RU"/>
              </w:rPr>
              <w:t xml:space="preserve">, </w:t>
            </w:r>
            <w:hyperlink r:id="rId15" w:history="1">
              <w:r w:rsidRPr="00CF5F2A">
                <w:rPr>
                  <w:rStyle w:val="Hyperlink"/>
                  <w:lang w:val="ru-RU"/>
                </w:rPr>
                <w:t>C25/78</w:t>
              </w:r>
            </w:hyperlink>
          </w:p>
        </w:tc>
      </w:tr>
      <w:tr w:rsidR="00291AC8" w:rsidRPr="00CF5F2A" w14:paraId="181612CA" w14:textId="77777777" w:rsidTr="00207F55">
        <w:trPr>
          <w:trHeight w:val="20"/>
        </w:trPr>
        <w:tc>
          <w:tcPr>
            <w:tcW w:w="242" w:type="pct"/>
          </w:tcPr>
          <w:p w14:paraId="06D1BA0D" w14:textId="77777777" w:rsidR="00291AC8" w:rsidRPr="00CF5F2A" w:rsidRDefault="00291AC8" w:rsidP="00207F55">
            <w:pPr>
              <w:spacing w:before="80" w:after="80"/>
              <w:rPr>
                <w:szCs w:val="22"/>
                <w:lang w:val="ru-RU"/>
              </w:rPr>
            </w:pPr>
            <w:r w:rsidRPr="00CF5F2A">
              <w:rPr>
                <w:color w:val="000000"/>
                <w:lang w:val="ru-RU"/>
              </w:rPr>
              <w:t>6</w:t>
            </w:r>
          </w:p>
        </w:tc>
        <w:tc>
          <w:tcPr>
            <w:tcW w:w="3580" w:type="pct"/>
          </w:tcPr>
          <w:p w14:paraId="36DB2E02" w14:textId="77777777" w:rsidR="00291AC8" w:rsidRPr="00CF5F2A" w:rsidRDefault="00291AC8" w:rsidP="00207F55">
            <w:pPr>
              <w:spacing w:before="80" w:after="80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CF5F2A">
              <w:rPr>
                <w:color w:val="000000"/>
                <w:lang w:val="ru-RU"/>
              </w:rPr>
              <w:t>Роль МСЭ в осуществлении "Повестки дня "Космос-2030": космос как двигатель устойчивого развития", а также в процессе последующей деятельности и анализа</w:t>
            </w:r>
          </w:p>
        </w:tc>
        <w:tc>
          <w:tcPr>
            <w:tcW w:w="1178" w:type="pct"/>
          </w:tcPr>
          <w:p w14:paraId="1180DFCA" w14:textId="77777777" w:rsidR="00291AC8" w:rsidRPr="00CF5F2A" w:rsidRDefault="00291AC8" w:rsidP="00207F55">
            <w:pPr>
              <w:spacing w:before="80" w:after="80"/>
              <w:jc w:val="center"/>
              <w:rPr>
                <w:rFonts w:asciiTheme="minorHAnsi" w:hAnsiTheme="minorHAnsi" w:cstheme="minorHAnsi"/>
                <w:szCs w:val="24"/>
                <w:lang w:val="ru-RU"/>
              </w:rPr>
            </w:pPr>
            <w:hyperlink r:id="rId16" w:history="1">
              <w:r w:rsidRPr="00CF5F2A">
                <w:rPr>
                  <w:rStyle w:val="Hyperlink"/>
                  <w:rFonts w:asciiTheme="minorHAnsi" w:hAnsiTheme="minorHAnsi" w:cstheme="minorHAnsi"/>
                  <w:szCs w:val="24"/>
                  <w:lang w:val="ru-RU" w:eastAsia="en-GB"/>
                </w:rPr>
                <w:t>C25/36</w:t>
              </w:r>
            </w:hyperlink>
          </w:p>
        </w:tc>
      </w:tr>
      <w:bookmarkEnd w:id="5"/>
    </w:tbl>
    <w:p w14:paraId="377780A6" w14:textId="3EB3E4FB" w:rsidR="00291AC8" w:rsidRDefault="00291AC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4A13CAAD" w14:textId="4C5C0EFA" w:rsidR="00291AC8" w:rsidRPr="00CF5F2A" w:rsidRDefault="00291AC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CF5F2A">
        <w:rPr>
          <w:lang w:val="ru-RU"/>
        </w:rPr>
        <w:br w:type="page"/>
      </w:r>
    </w:p>
    <w:p w14:paraId="30A6C69F" w14:textId="0D35E36F" w:rsidR="00291AC8" w:rsidRPr="00CF5F2A" w:rsidRDefault="00291AC8" w:rsidP="00291AC8">
      <w:pPr>
        <w:pStyle w:val="Heading1"/>
        <w:rPr>
          <w:lang w:val="ru-RU"/>
        </w:rPr>
      </w:pPr>
      <w:r w:rsidRPr="00CF5F2A">
        <w:rPr>
          <w:lang w:val="ru-RU"/>
        </w:rPr>
        <w:lastRenderedPageBreak/>
        <w:t>1</w:t>
      </w:r>
      <w:r w:rsidRPr="00CF5F2A">
        <w:rPr>
          <w:lang w:val="ru-RU"/>
        </w:rPr>
        <w:tab/>
        <w:t>Отчет председателя Рабочей группы Совета по защите ребенка в</w:t>
      </w:r>
      <w:r w:rsidR="00234345">
        <w:rPr>
          <w:lang w:val="en-US"/>
        </w:rPr>
        <w:t> </w:t>
      </w:r>
      <w:r w:rsidRPr="00CF5F2A">
        <w:rPr>
          <w:lang w:val="ru-RU"/>
        </w:rPr>
        <w:t xml:space="preserve">онлайновой среде (Документ </w:t>
      </w:r>
      <w:r>
        <w:fldChar w:fldCharType="begin"/>
      </w:r>
      <w:r>
        <w:instrText>HYPERLINK</w:instrText>
      </w:r>
      <w:r w:rsidRPr="00575EA9">
        <w:rPr>
          <w:lang w:val="ru-RU"/>
        </w:rPr>
        <w:instrText xml:space="preserve"> "</w:instrText>
      </w:r>
      <w:r>
        <w:instrText>https</w:instrText>
      </w:r>
      <w:r w:rsidRPr="00575EA9">
        <w:rPr>
          <w:lang w:val="ru-RU"/>
        </w:rPr>
        <w:instrText>://</w:instrText>
      </w:r>
      <w:r>
        <w:instrText>www</w:instrText>
      </w:r>
      <w:r w:rsidRPr="00575EA9">
        <w:rPr>
          <w:lang w:val="ru-RU"/>
        </w:rPr>
        <w:instrText>.</w:instrText>
      </w:r>
      <w:r>
        <w:instrText>itu</w:instrText>
      </w:r>
      <w:r w:rsidRPr="00575EA9">
        <w:rPr>
          <w:lang w:val="ru-RU"/>
        </w:rPr>
        <w:instrText>.</w:instrText>
      </w:r>
      <w:r>
        <w:instrText>int</w:instrText>
      </w:r>
      <w:r w:rsidRPr="00575EA9">
        <w:rPr>
          <w:lang w:val="ru-RU"/>
        </w:rPr>
        <w:instrText>/</w:instrText>
      </w:r>
      <w:r>
        <w:instrText>md</w:instrText>
      </w:r>
      <w:r w:rsidRPr="00575EA9">
        <w:rPr>
          <w:lang w:val="ru-RU"/>
        </w:rPr>
        <w:instrText>/</w:instrText>
      </w:r>
      <w:r>
        <w:instrText>S</w:instrText>
      </w:r>
      <w:r w:rsidRPr="00575EA9">
        <w:rPr>
          <w:lang w:val="ru-RU"/>
        </w:rPr>
        <w:instrText>25-</w:instrText>
      </w:r>
      <w:r>
        <w:instrText>CL</w:instrText>
      </w:r>
      <w:r w:rsidRPr="00575EA9">
        <w:rPr>
          <w:lang w:val="ru-RU"/>
        </w:rPr>
        <w:instrText>-</w:instrText>
      </w:r>
      <w:r>
        <w:instrText>C</w:instrText>
      </w:r>
      <w:r w:rsidRPr="00575EA9">
        <w:rPr>
          <w:lang w:val="ru-RU"/>
        </w:rPr>
        <w:instrText>-0015/</w:instrText>
      </w:r>
      <w:r>
        <w:instrText>en</w:instrText>
      </w:r>
      <w:r w:rsidRPr="00575EA9">
        <w:rPr>
          <w:lang w:val="ru-RU"/>
        </w:rPr>
        <w:instrText>"</w:instrText>
      </w:r>
      <w:r>
        <w:fldChar w:fldCharType="separate"/>
      </w:r>
      <w:r w:rsidRPr="00CF5F2A">
        <w:rPr>
          <w:rStyle w:val="Hyperlink"/>
          <w:rFonts w:asciiTheme="minorHAnsi" w:hAnsiTheme="minorHAnsi" w:cstheme="minorHAnsi"/>
          <w:szCs w:val="24"/>
          <w:lang w:val="ru-RU" w:eastAsia="en-GB"/>
        </w:rPr>
        <w:t>C25/15</w:t>
      </w:r>
      <w:r>
        <w:fldChar w:fldCharType="end"/>
      </w:r>
      <w:r w:rsidRPr="00CF5F2A">
        <w:rPr>
          <w:rStyle w:val="normaltextrun"/>
          <w:rFonts w:cs="Calibri"/>
          <w:bCs/>
          <w:color w:val="000000"/>
          <w:szCs w:val="28"/>
          <w:shd w:val="clear" w:color="auto" w:fill="FFFFFF"/>
          <w:lang w:val="ru-RU"/>
        </w:rPr>
        <w:t>)</w:t>
      </w:r>
      <w:r>
        <w:fldChar w:fldCharType="begin"/>
      </w:r>
      <w:r>
        <w:instrText>HYPERLINK</w:instrText>
      </w:r>
      <w:r w:rsidRPr="00575EA9">
        <w:rPr>
          <w:lang w:val="ru-RU"/>
        </w:rPr>
        <w:instrText xml:space="preserve"> "</w:instrText>
      </w:r>
      <w:r>
        <w:instrText>https</w:instrText>
      </w:r>
      <w:r w:rsidRPr="00575EA9">
        <w:rPr>
          <w:lang w:val="ru-RU"/>
        </w:rPr>
        <w:instrText>://</w:instrText>
      </w:r>
      <w:r>
        <w:instrText>www</w:instrText>
      </w:r>
      <w:r w:rsidRPr="00575EA9">
        <w:rPr>
          <w:lang w:val="ru-RU"/>
        </w:rPr>
        <w:instrText>.</w:instrText>
      </w:r>
      <w:r>
        <w:instrText>itu</w:instrText>
      </w:r>
      <w:r w:rsidRPr="00575EA9">
        <w:rPr>
          <w:lang w:val="ru-RU"/>
        </w:rPr>
        <w:instrText>.</w:instrText>
      </w:r>
      <w:r>
        <w:instrText>int</w:instrText>
      </w:r>
      <w:r w:rsidRPr="00575EA9">
        <w:rPr>
          <w:lang w:val="ru-RU"/>
        </w:rPr>
        <w:instrText>/</w:instrText>
      </w:r>
      <w:r>
        <w:instrText>md</w:instrText>
      </w:r>
      <w:r w:rsidRPr="00575EA9">
        <w:rPr>
          <w:lang w:val="ru-RU"/>
        </w:rPr>
        <w:instrText>/</w:instrText>
      </w:r>
      <w:r>
        <w:instrText>S</w:instrText>
      </w:r>
      <w:r w:rsidRPr="00575EA9">
        <w:rPr>
          <w:lang w:val="ru-RU"/>
        </w:rPr>
        <w:instrText>25-</w:instrText>
      </w:r>
      <w:r>
        <w:instrText>CL</w:instrText>
      </w:r>
      <w:r w:rsidRPr="00575EA9">
        <w:rPr>
          <w:lang w:val="ru-RU"/>
        </w:rPr>
        <w:instrText>-</w:instrText>
      </w:r>
      <w:r>
        <w:instrText>C</w:instrText>
      </w:r>
      <w:r w:rsidRPr="00575EA9">
        <w:rPr>
          <w:lang w:val="ru-RU"/>
        </w:rPr>
        <w:instrText>-0015/</w:instrText>
      </w:r>
      <w:r>
        <w:instrText>en</w:instrText>
      </w:r>
      <w:r w:rsidRPr="00575EA9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091E8BA5" w14:textId="2B59D9CD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1.1</w:t>
      </w:r>
      <w:r w:rsidRPr="00CF5F2A">
        <w:rPr>
          <w:lang w:val="ru-RU"/>
        </w:rPr>
        <w:tab/>
        <w:t>Председатель Рабочей группы Совета по защите ребенка в онлайновой среде (РГС­COP) представляет содержащийся в Документе C25/15 отчет об основных результатах 21­го и 22-го собраний Группы, на которых были рассмотрены многочисленные вклады партнеров и членов по проблемам и решениям в области защиты ребенка в онлайновой среде. Он отмечает, что Бюро развития электросвязи (БРЭ) недавно начало проводить серию мероприятий "Связь МСЭ с отраслью", которая содействует онлайновому диалогу с участием заинтересованных сторон в отрасли и между ними по этому вопросу.</w:t>
      </w:r>
    </w:p>
    <w:p w14:paraId="73DFF029" w14:textId="576582F7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1.2</w:t>
      </w:r>
      <w:r w:rsidRPr="00CF5F2A">
        <w:rPr>
          <w:lang w:val="ru-RU"/>
        </w:rPr>
        <w:tab/>
        <w:t>Советники и наблюдатели высоко оценивают работу РГС-COP как платформы для обмена передовым опытом и информацией о прогрессе в обеспечении безопасности ребенка в изменяющейся цифровой среде. Интернет должен быть благоприятным и безопасным местом для детей, которые относятся к числу наиболее уязвимых пользователей. Важное значение имеет приверженность группы многостороннему взаимодействию, включая непосредственное участие молодежи, а также усиленная координация с исследовательскими комиссиями. Действительно, один из Советников считает, что другие рабочие группы Совета выиграют от открытости для всех заинтересованных сторон, по примеру РГС-COP. Несколько Советников отмечают значительный вклад, который вносит 17-я Исследовательская комиссия МСЭ-Т по этой теме, в то время как другие подчеркивают ценность инициативы "Связь МСЭ с отраслью" для обмена передовым опытом и расширения доступа к полезным инструментам и возможностям сотрудничества. Один из наблюдателей подчеркивает важную роль отрасли в защите ребенка в онлайновой среде.</w:t>
      </w:r>
    </w:p>
    <w:p w14:paraId="710D5013" w14:textId="38130445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1.3</w:t>
      </w:r>
      <w:r w:rsidRPr="00CF5F2A">
        <w:rPr>
          <w:lang w:val="ru-RU"/>
        </w:rPr>
        <w:tab/>
        <w:t>Советники приводят примеры усилий, предпринимаемых на национальном и региональном уровнях в области защиты ребенка в онлайновой среде, в том числе при поддержке секретариата; вместе с тем несколько Советников призывают к расширению помощи развивающимся странам, которые страдают от ограниченного потенциала, отсутствия эффективной политики или согласованных национальных стратегий и бюрократических проволочек и поэтому с трудом справляются с меняющимися угрозами.</w:t>
      </w:r>
    </w:p>
    <w:p w14:paraId="26C5DA6C" w14:textId="2E8EFFD7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1.4</w:t>
      </w:r>
      <w:r w:rsidRPr="00CF5F2A">
        <w:rPr>
          <w:lang w:val="ru-RU"/>
        </w:rPr>
        <w:tab/>
        <w:t>Одн</w:t>
      </w:r>
      <w:r w:rsidR="002727E1" w:rsidRPr="00CF5F2A">
        <w:rPr>
          <w:lang w:val="ru-RU"/>
        </w:rPr>
        <w:t>а</w:t>
      </w:r>
      <w:r w:rsidRPr="00CF5F2A">
        <w:rPr>
          <w:lang w:val="ru-RU"/>
        </w:rPr>
        <w:t xml:space="preserve"> из Советников подчеркивает необходимость эффективной политики и мер, в частности, в таких областях, как защита и просвещение потребителей, а одн</w:t>
      </w:r>
      <w:r w:rsidR="002727E1" w:rsidRPr="00CF5F2A">
        <w:rPr>
          <w:lang w:val="ru-RU"/>
        </w:rPr>
        <w:t>а</w:t>
      </w:r>
      <w:r w:rsidRPr="00CF5F2A">
        <w:rPr>
          <w:lang w:val="ru-RU"/>
        </w:rPr>
        <w:t xml:space="preserve"> из наблюдателей призывает принять меры для обеспечения безопасного использования появляющихся технологий, таких как искусственный интеллект (ИИ), в интересах детей.</w:t>
      </w:r>
    </w:p>
    <w:p w14:paraId="0F591BE8" w14:textId="3A2E1D8B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1.5</w:t>
      </w:r>
      <w:r w:rsidRPr="00CF5F2A">
        <w:rPr>
          <w:lang w:val="ru-RU"/>
        </w:rPr>
        <w:tab/>
        <w:t xml:space="preserve">Директор БРЭ говорит, что РГС-COP вносит важный вклад в защиту ребенка в онлайновой среде, и поэтому расширение участия приветствуется. Он призывает </w:t>
      </w:r>
      <w:proofErr w:type="spellStart"/>
      <w:r w:rsidRPr="00CF5F2A">
        <w:rPr>
          <w:lang w:val="ru-RU"/>
        </w:rPr>
        <w:t>Государства</w:t>
      </w:r>
      <w:r w:rsidR="0094568E" w:rsidRPr="00CF5F2A">
        <w:rPr>
          <w:lang w:val="ru-RU"/>
        </w:rPr>
        <w:t>­</w:t>
      </w:r>
      <w:r w:rsidRPr="00CF5F2A">
        <w:rPr>
          <w:lang w:val="ru-RU"/>
        </w:rPr>
        <w:t>Члены</w:t>
      </w:r>
      <w:proofErr w:type="spellEnd"/>
      <w:r w:rsidRPr="00CF5F2A">
        <w:rPr>
          <w:lang w:val="ru-RU"/>
        </w:rPr>
        <w:t xml:space="preserve"> перевести Руководящие указания МСЭ по защите ребенка в онлайновой среде, ориентированные на детей, родителей и педагогов, представителей отрасли и политиков, на местные языки для обеспечения максимального эффекта. Он отмечает, что роль отрасли в защите ребенка в онлайновой среде будет обсуждаться на Глобальном симпозиуме для регуляторных органов 2025 года (ГСР-25)</w:t>
      </w:r>
      <w:r w:rsidR="002727E1" w:rsidRPr="00CF5F2A">
        <w:rPr>
          <w:lang w:val="ru-RU"/>
        </w:rPr>
        <w:t xml:space="preserve"> и что защита ребенка в онлайновой среде в контексте ИИ и появляющихся технологий обсуждается </w:t>
      </w:r>
      <w:r w:rsidRPr="00CF5F2A">
        <w:rPr>
          <w:lang w:val="ru-RU"/>
        </w:rPr>
        <w:t xml:space="preserve">также в рамках Комитета </w:t>
      </w:r>
      <w:r w:rsidR="002727E1" w:rsidRPr="00CF5F2A">
        <w:rPr>
          <w:lang w:val="ru-RU"/>
        </w:rPr>
        <w:t xml:space="preserve">ООН </w:t>
      </w:r>
      <w:r w:rsidRPr="00CF5F2A">
        <w:rPr>
          <w:lang w:val="ru-RU"/>
        </w:rPr>
        <w:t>по правам ребенка. Взаимодействие со школами также имеет важное значение, поскольку оно позволяет учителям обучать детей на раннем этапе.</w:t>
      </w:r>
    </w:p>
    <w:p w14:paraId="68904F5F" w14:textId="628023EA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1.6</w:t>
      </w:r>
      <w:r w:rsidRPr="00CF5F2A">
        <w:rPr>
          <w:lang w:val="ru-RU"/>
        </w:rPr>
        <w:tab/>
        <w:t xml:space="preserve">Совет </w:t>
      </w:r>
      <w:r w:rsidRPr="00CF5F2A">
        <w:rPr>
          <w:b/>
          <w:bCs/>
          <w:lang w:val="ru-RU"/>
        </w:rPr>
        <w:t>принимает к сведению</w:t>
      </w:r>
      <w:r w:rsidRPr="00CF5F2A">
        <w:rPr>
          <w:lang w:val="ru-RU"/>
        </w:rPr>
        <w:t xml:space="preserve"> отчет, содержащийся в Документе C25/15.</w:t>
      </w:r>
    </w:p>
    <w:p w14:paraId="0341E348" w14:textId="77777777" w:rsidR="00291AC8" w:rsidRPr="00CF5F2A" w:rsidRDefault="00291AC8" w:rsidP="00291AC8">
      <w:pPr>
        <w:pStyle w:val="Heading1"/>
        <w:rPr>
          <w:lang w:val="ru-RU"/>
        </w:rPr>
      </w:pPr>
      <w:r w:rsidRPr="00CF5F2A">
        <w:rPr>
          <w:bCs/>
          <w:lang w:val="ru-RU"/>
        </w:rPr>
        <w:lastRenderedPageBreak/>
        <w:t>2</w:t>
      </w:r>
      <w:r w:rsidRPr="00CF5F2A">
        <w:rPr>
          <w:lang w:val="ru-RU"/>
        </w:rPr>
        <w:tab/>
      </w:r>
      <w:r w:rsidRPr="00CF5F2A">
        <w:rPr>
          <w:bCs/>
          <w:lang w:val="ru-RU"/>
        </w:rPr>
        <w:t>Отчет о выполнении Резолюции 214 (Бухарест, 2022 г.) Полномочной конференции "Технологиях ИИ и электросвязь/информационно-коммуникационные технологии" (Документы</w:t>
      </w:r>
      <w:r w:rsidRPr="00CF5F2A">
        <w:rPr>
          <w:lang w:val="ru-RU"/>
        </w:rPr>
        <w:t xml:space="preserve"> </w:t>
      </w:r>
      <w:r>
        <w:fldChar w:fldCharType="begin"/>
      </w:r>
      <w:r>
        <w:instrText>HYPERLINK</w:instrText>
      </w:r>
      <w:r w:rsidRPr="00575EA9">
        <w:rPr>
          <w:lang w:val="ru-RU"/>
        </w:rPr>
        <w:instrText xml:space="preserve"> "</w:instrText>
      </w:r>
      <w:r>
        <w:instrText>https</w:instrText>
      </w:r>
      <w:r w:rsidRPr="00575EA9">
        <w:rPr>
          <w:lang w:val="ru-RU"/>
        </w:rPr>
        <w:instrText>://</w:instrText>
      </w:r>
      <w:r>
        <w:instrText>www</w:instrText>
      </w:r>
      <w:r w:rsidRPr="00575EA9">
        <w:rPr>
          <w:lang w:val="ru-RU"/>
        </w:rPr>
        <w:instrText>.</w:instrText>
      </w:r>
      <w:r>
        <w:instrText>itu</w:instrText>
      </w:r>
      <w:r w:rsidRPr="00575EA9">
        <w:rPr>
          <w:lang w:val="ru-RU"/>
        </w:rPr>
        <w:instrText>.</w:instrText>
      </w:r>
      <w:r>
        <w:instrText>int</w:instrText>
      </w:r>
      <w:r w:rsidRPr="00575EA9">
        <w:rPr>
          <w:lang w:val="ru-RU"/>
        </w:rPr>
        <w:instrText>/</w:instrText>
      </w:r>
      <w:r>
        <w:instrText>md</w:instrText>
      </w:r>
      <w:r w:rsidRPr="00575EA9">
        <w:rPr>
          <w:lang w:val="ru-RU"/>
        </w:rPr>
        <w:instrText>/</w:instrText>
      </w:r>
      <w:r>
        <w:instrText>S</w:instrText>
      </w:r>
      <w:r w:rsidRPr="00575EA9">
        <w:rPr>
          <w:lang w:val="ru-RU"/>
        </w:rPr>
        <w:instrText>25-</w:instrText>
      </w:r>
      <w:r>
        <w:instrText>CL</w:instrText>
      </w:r>
      <w:r w:rsidRPr="00575EA9">
        <w:rPr>
          <w:lang w:val="ru-RU"/>
        </w:rPr>
        <w:instrText>-</w:instrText>
      </w:r>
      <w:r>
        <w:instrText>C</w:instrText>
      </w:r>
      <w:r w:rsidRPr="00575EA9">
        <w:rPr>
          <w:lang w:val="ru-RU"/>
        </w:rPr>
        <w:instrText>-0056/</w:instrText>
      </w:r>
      <w:r>
        <w:instrText>en</w:instrText>
      </w:r>
      <w:r w:rsidRPr="00575EA9">
        <w:rPr>
          <w:lang w:val="ru-RU"/>
        </w:rPr>
        <w:instrText>"</w:instrText>
      </w:r>
      <w:r>
        <w:fldChar w:fldCharType="separate"/>
      </w:r>
      <w:r w:rsidRPr="00CF5F2A">
        <w:rPr>
          <w:rStyle w:val="Hyperlink"/>
          <w:rFonts w:asciiTheme="minorHAnsi" w:hAnsiTheme="minorHAnsi" w:cstheme="minorHAnsi"/>
          <w:szCs w:val="24"/>
          <w:lang w:val="ru-RU" w:eastAsia="en-GB"/>
        </w:rPr>
        <w:t>C25/56</w:t>
      </w:r>
      <w:r>
        <w:fldChar w:fldCharType="end"/>
      </w:r>
      <w:r w:rsidRPr="00CF5F2A">
        <w:rPr>
          <w:lang w:val="ru-RU"/>
        </w:rPr>
        <w:t xml:space="preserve">, </w:t>
      </w:r>
      <w:r>
        <w:fldChar w:fldCharType="begin"/>
      </w:r>
      <w:r>
        <w:instrText>HYPERLINK</w:instrText>
      </w:r>
      <w:r w:rsidRPr="00575EA9">
        <w:rPr>
          <w:lang w:val="ru-RU"/>
        </w:rPr>
        <w:instrText xml:space="preserve"> "</w:instrText>
      </w:r>
      <w:r>
        <w:instrText>https</w:instrText>
      </w:r>
      <w:r w:rsidRPr="00575EA9">
        <w:rPr>
          <w:lang w:val="ru-RU"/>
        </w:rPr>
        <w:instrText>://</w:instrText>
      </w:r>
      <w:r>
        <w:instrText>www</w:instrText>
      </w:r>
      <w:r w:rsidRPr="00575EA9">
        <w:rPr>
          <w:lang w:val="ru-RU"/>
        </w:rPr>
        <w:instrText>.</w:instrText>
      </w:r>
      <w:r>
        <w:instrText>itu</w:instrText>
      </w:r>
      <w:r w:rsidRPr="00575EA9">
        <w:rPr>
          <w:lang w:val="ru-RU"/>
        </w:rPr>
        <w:instrText>.</w:instrText>
      </w:r>
      <w:r>
        <w:instrText>int</w:instrText>
      </w:r>
      <w:r w:rsidRPr="00575EA9">
        <w:rPr>
          <w:lang w:val="ru-RU"/>
        </w:rPr>
        <w:instrText>/</w:instrText>
      </w:r>
      <w:r>
        <w:instrText>md</w:instrText>
      </w:r>
      <w:r w:rsidRPr="00575EA9">
        <w:rPr>
          <w:lang w:val="ru-RU"/>
        </w:rPr>
        <w:instrText>/</w:instrText>
      </w:r>
      <w:r>
        <w:instrText>S</w:instrText>
      </w:r>
      <w:r w:rsidRPr="00575EA9">
        <w:rPr>
          <w:lang w:val="ru-RU"/>
        </w:rPr>
        <w:instrText>25-</w:instrText>
      </w:r>
      <w:r>
        <w:instrText>CL</w:instrText>
      </w:r>
      <w:r w:rsidRPr="00575EA9">
        <w:rPr>
          <w:lang w:val="ru-RU"/>
        </w:rPr>
        <w:instrText>-</w:instrText>
      </w:r>
      <w:r>
        <w:instrText>C</w:instrText>
      </w:r>
      <w:r w:rsidRPr="00575EA9">
        <w:rPr>
          <w:lang w:val="ru-RU"/>
        </w:rPr>
        <w:instrText>-0096/</w:instrText>
      </w:r>
      <w:r>
        <w:instrText>en</w:instrText>
      </w:r>
      <w:r w:rsidRPr="00575EA9">
        <w:rPr>
          <w:lang w:val="ru-RU"/>
        </w:rPr>
        <w:instrText>"</w:instrText>
      </w:r>
      <w:r>
        <w:fldChar w:fldCharType="separate"/>
      </w:r>
      <w:r w:rsidRPr="00CF5F2A">
        <w:rPr>
          <w:rStyle w:val="Hyperlink"/>
          <w:lang w:val="ru-RU"/>
        </w:rPr>
        <w:t>C25/96</w:t>
      </w:r>
      <w:r>
        <w:fldChar w:fldCharType="end"/>
      </w:r>
      <w:r w:rsidRPr="00CF5F2A">
        <w:rPr>
          <w:lang w:val="ru-RU"/>
        </w:rPr>
        <w:t>)</w:t>
      </w:r>
      <w:r>
        <w:fldChar w:fldCharType="begin"/>
      </w:r>
      <w:r>
        <w:instrText>HYPERLINK</w:instrText>
      </w:r>
      <w:r w:rsidRPr="00575EA9">
        <w:rPr>
          <w:lang w:val="ru-RU"/>
        </w:rPr>
        <w:instrText xml:space="preserve"> "</w:instrText>
      </w:r>
      <w:r>
        <w:instrText>https</w:instrText>
      </w:r>
      <w:r w:rsidRPr="00575EA9">
        <w:rPr>
          <w:lang w:val="ru-RU"/>
        </w:rPr>
        <w:instrText>://</w:instrText>
      </w:r>
      <w:r>
        <w:instrText>www</w:instrText>
      </w:r>
      <w:r w:rsidRPr="00575EA9">
        <w:rPr>
          <w:lang w:val="ru-RU"/>
        </w:rPr>
        <w:instrText>.</w:instrText>
      </w:r>
      <w:r>
        <w:instrText>itu</w:instrText>
      </w:r>
      <w:r w:rsidRPr="00575EA9">
        <w:rPr>
          <w:lang w:val="ru-RU"/>
        </w:rPr>
        <w:instrText>.</w:instrText>
      </w:r>
      <w:r>
        <w:instrText>int</w:instrText>
      </w:r>
      <w:r w:rsidRPr="00575EA9">
        <w:rPr>
          <w:lang w:val="ru-RU"/>
        </w:rPr>
        <w:instrText>/</w:instrText>
      </w:r>
      <w:r>
        <w:instrText>md</w:instrText>
      </w:r>
      <w:r w:rsidRPr="00575EA9">
        <w:rPr>
          <w:lang w:val="ru-RU"/>
        </w:rPr>
        <w:instrText>/</w:instrText>
      </w:r>
      <w:r>
        <w:instrText>S</w:instrText>
      </w:r>
      <w:r w:rsidRPr="00575EA9">
        <w:rPr>
          <w:lang w:val="ru-RU"/>
        </w:rPr>
        <w:instrText>25-</w:instrText>
      </w:r>
      <w:r>
        <w:instrText>CL</w:instrText>
      </w:r>
      <w:r w:rsidRPr="00575EA9">
        <w:rPr>
          <w:lang w:val="ru-RU"/>
        </w:rPr>
        <w:instrText>-</w:instrText>
      </w:r>
      <w:r>
        <w:instrText>C</w:instrText>
      </w:r>
      <w:r w:rsidRPr="00575EA9">
        <w:rPr>
          <w:lang w:val="ru-RU"/>
        </w:rPr>
        <w:instrText>-0056/</w:instrText>
      </w:r>
      <w:r>
        <w:instrText>en</w:instrText>
      </w:r>
      <w:r w:rsidRPr="00575EA9">
        <w:rPr>
          <w:lang w:val="ru-RU"/>
        </w:rPr>
        <w:instrText>"</w:instrText>
      </w:r>
      <w:r>
        <w:fldChar w:fldCharType="separate"/>
      </w:r>
      <w:r>
        <w:fldChar w:fldCharType="end"/>
      </w:r>
      <w:r>
        <w:fldChar w:fldCharType="begin"/>
      </w:r>
      <w:r>
        <w:instrText>HYPERLINK</w:instrText>
      </w:r>
      <w:r w:rsidRPr="00575EA9">
        <w:rPr>
          <w:lang w:val="ru-RU"/>
        </w:rPr>
        <w:instrText xml:space="preserve"> "</w:instrText>
      </w:r>
      <w:r>
        <w:instrText>https</w:instrText>
      </w:r>
      <w:r w:rsidRPr="00575EA9">
        <w:rPr>
          <w:lang w:val="ru-RU"/>
        </w:rPr>
        <w:instrText>://</w:instrText>
      </w:r>
      <w:r>
        <w:instrText>www</w:instrText>
      </w:r>
      <w:r w:rsidRPr="00575EA9">
        <w:rPr>
          <w:lang w:val="ru-RU"/>
        </w:rPr>
        <w:instrText>.</w:instrText>
      </w:r>
      <w:r>
        <w:instrText>itu</w:instrText>
      </w:r>
      <w:r w:rsidRPr="00575EA9">
        <w:rPr>
          <w:lang w:val="ru-RU"/>
        </w:rPr>
        <w:instrText>.</w:instrText>
      </w:r>
      <w:r>
        <w:instrText>int</w:instrText>
      </w:r>
      <w:r w:rsidRPr="00575EA9">
        <w:rPr>
          <w:lang w:val="ru-RU"/>
        </w:rPr>
        <w:instrText>/</w:instrText>
      </w:r>
      <w:r>
        <w:instrText>md</w:instrText>
      </w:r>
      <w:r w:rsidRPr="00575EA9">
        <w:rPr>
          <w:lang w:val="ru-RU"/>
        </w:rPr>
        <w:instrText>/</w:instrText>
      </w:r>
      <w:r>
        <w:instrText>S</w:instrText>
      </w:r>
      <w:r w:rsidRPr="00575EA9">
        <w:rPr>
          <w:lang w:val="ru-RU"/>
        </w:rPr>
        <w:instrText>25-</w:instrText>
      </w:r>
      <w:r>
        <w:instrText>CL</w:instrText>
      </w:r>
      <w:r w:rsidRPr="00575EA9">
        <w:rPr>
          <w:lang w:val="ru-RU"/>
        </w:rPr>
        <w:instrText>-</w:instrText>
      </w:r>
      <w:r>
        <w:instrText>C</w:instrText>
      </w:r>
      <w:r w:rsidRPr="00575EA9">
        <w:rPr>
          <w:lang w:val="ru-RU"/>
        </w:rPr>
        <w:instrText>-0096/</w:instrText>
      </w:r>
      <w:r>
        <w:instrText>en</w:instrText>
      </w:r>
      <w:r w:rsidRPr="00575EA9">
        <w:rPr>
          <w:lang w:val="ru-RU"/>
        </w:rPr>
        <w:instrText>"</w:instrText>
      </w:r>
      <w:r>
        <w:fldChar w:fldCharType="separate"/>
      </w:r>
      <w:r>
        <w:fldChar w:fldCharType="end"/>
      </w:r>
    </w:p>
    <w:p w14:paraId="11B8E6A0" w14:textId="77777777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2.1</w:t>
      </w:r>
      <w:r w:rsidRPr="00CF5F2A">
        <w:rPr>
          <w:lang w:val="ru-RU"/>
        </w:rPr>
        <w:tab/>
        <w:t xml:space="preserve">Заместитель Директора Бюро стандартизации электросвязи (БСЭ) представляет Документ C25/56, в котором содержится отчет о деятельности МСЭ, связанной с ИИ, в соответствии с Резолюцией 214 (Бухарест, 2022 г.) Полномочной конференции (ПК) и резолюциями 78/265 и 78/311 Генеральной Ассамблеи Организации Объединенных Наций, в том что касается стандартов, развития навыков, управления и многосторонних платформ. МСЭ осуществляет сотрудничество с участием многих заинтересованных сторон, в том числе с другими учреждениями системы Организации Объединенных Наций. Возрастает интерес к деятельности МСЭ, что свидетельствует о его ведущей роли и опыте. Выступающий отмечает, что в Документе </w:t>
      </w:r>
      <w:hyperlink r:id="rId17" w:history="1">
        <w:r w:rsidRPr="00CF5F2A">
          <w:rPr>
            <w:rStyle w:val="Hyperlink"/>
            <w:szCs w:val="24"/>
            <w:lang w:val="ru-RU"/>
          </w:rPr>
          <w:t>C25/43</w:t>
        </w:r>
      </w:hyperlink>
      <w:r w:rsidRPr="00CF5F2A">
        <w:rPr>
          <w:szCs w:val="24"/>
          <w:lang w:val="ru-RU"/>
        </w:rPr>
        <w:t xml:space="preserve"> </w:t>
      </w:r>
      <w:r w:rsidRPr="00CF5F2A">
        <w:rPr>
          <w:lang w:val="ru-RU"/>
        </w:rPr>
        <w:t>содержится просьба о дополнительном финансировании для поддержки такой деятельности, связанной с ИИ.</w:t>
      </w:r>
      <w:hyperlink r:id="rId18" w:history="1"/>
    </w:p>
    <w:p w14:paraId="7D7434B5" w14:textId="77777777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2.2</w:t>
      </w:r>
      <w:r w:rsidRPr="00CF5F2A">
        <w:rPr>
          <w:lang w:val="ru-RU"/>
        </w:rPr>
        <w:tab/>
        <w:t>Советник от Руанды представляет вклад, содержащийся в Документе C25/96, с просьбой о содействии МСЭ в оценке и повышении готовности наименее развитых стран (НРС) к использованию искусственного интеллекта, а также в разработке адаптированных национальных политик и стратегий в области ИИ, которых в подавляющем большинстве таких стран пока не хватает. Секретариату предлагается представить следующей сессии Совета отчет о любых видах деятельности, предпринятых в этом отношении.</w:t>
      </w:r>
    </w:p>
    <w:p w14:paraId="6E16F784" w14:textId="77777777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2.3</w:t>
      </w:r>
      <w:r w:rsidRPr="00CF5F2A">
        <w:rPr>
          <w:lang w:val="ru-RU"/>
        </w:rPr>
        <w:tab/>
        <w:t>Советники и наблюдатели приветствуют ведущую роль, которую МСЭ играет на многостороннем уровне в области развития приложений ИИ и управления им, отмечая всемирное признание его экспертных знаний в области технических стандартов и цифрового развития. Советники подчеркивают необходимость того, чтобы МСЭ продолжал выполнять эту роль, в частности путем разработки стандартов в БСЭ, чтобы заложить основу для надлежащего управления и создания технических структур, обеспечивающих безопасное и открытое для всех развитие ИИ. Вместе с тем несколько Советников отмечают необходимость обеспечения практической применимости стандартов в местных условиях; большое значение для этого имеет содействие разработке инструментов с открытым исходным кодом.</w:t>
      </w:r>
    </w:p>
    <w:p w14:paraId="02227539" w14:textId="1870D055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2.4</w:t>
      </w:r>
      <w:r w:rsidRPr="00CF5F2A">
        <w:rPr>
          <w:lang w:val="ru-RU"/>
        </w:rPr>
        <w:tab/>
        <w:t>Советники отмечают значение участия и руководящей роли МСЭ в ряде многосторонних платформ, в частности в инициативе "ИИ во благо" и Цифровой коалиции "Партнерства для подключения" (Partner2Connect). Продолжение участия в подобных форумах имеет важное значение для расширения охвата деятельности и экспертизы МСЭ, при условии максимального повышения эффективности многостороннего сотрудничества и сведения к минимуму дублирования усилий. Один из Советников предлагает сотрудничать с Коалицией за устойчивый ИИ, а несколько Советников обращают внимание на национальные и региональные инициативы, направленные на устойчивое и всеобъемлющее развитие ИИ. Еще одн</w:t>
      </w:r>
      <w:r w:rsidR="002727E1" w:rsidRPr="00CF5F2A">
        <w:rPr>
          <w:lang w:val="ru-RU"/>
        </w:rPr>
        <w:t>а</w:t>
      </w:r>
      <w:r w:rsidRPr="00CF5F2A">
        <w:rPr>
          <w:lang w:val="ru-RU"/>
        </w:rPr>
        <w:t xml:space="preserve"> </w:t>
      </w:r>
      <w:r w:rsidR="002727E1" w:rsidRPr="00CF5F2A">
        <w:rPr>
          <w:lang w:val="ru-RU"/>
        </w:rPr>
        <w:t xml:space="preserve">из </w:t>
      </w:r>
      <w:r w:rsidRPr="00CF5F2A">
        <w:rPr>
          <w:lang w:val="ru-RU"/>
        </w:rPr>
        <w:t>Советник</w:t>
      </w:r>
      <w:r w:rsidR="002727E1" w:rsidRPr="00CF5F2A">
        <w:rPr>
          <w:lang w:val="ru-RU"/>
        </w:rPr>
        <w:t>ов</w:t>
      </w:r>
      <w:r w:rsidRPr="00CF5F2A">
        <w:rPr>
          <w:lang w:val="ru-RU"/>
        </w:rPr>
        <w:t xml:space="preserve"> призывает к расширению сотрудничества с отраслью и академическими организациями, а третий </w:t>
      </w:r>
      <w:r w:rsidR="002727E1" w:rsidRPr="00CF5F2A">
        <w:rPr>
          <w:lang w:val="ru-RU"/>
        </w:rPr>
        <w:t xml:space="preserve">Советник </w:t>
      </w:r>
      <w:r w:rsidRPr="00CF5F2A">
        <w:rPr>
          <w:lang w:val="ru-RU"/>
        </w:rPr>
        <w:t>напоминает о Резолюции 74 (</w:t>
      </w:r>
      <w:proofErr w:type="spellStart"/>
      <w:r w:rsidRPr="00CF5F2A">
        <w:rPr>
          <w:lang w:val="ru-RU"/>
        </w:rPr>
        <w:t>Пересм</w:t>
      </w:r>
      <w:proofErr w:type="spellEnd"/>
      <w:r w:rsidRPr="00CF5F2A">
        <w:rPr>
          <w:lang w:val="ru-RU"/>
        </w:rPr>
        <w:t>. Нью</w:t>
      </w:r>
      <w:r w:rsidR="00A56785" w:rsidRPr="00CF5F2A">
        <w:rPr>
          <w:lang w:val="ru-RU"/>
        </w:rPr>
        <w:noBreakHyphen/>
      </w:r>
      <w:r w:rsidRPr="00CF5F2A">
        <w:rPr>
          <w:lang w:val="ru-RU"/>
        </w:rPr>
        <w:t>Дели, 2024 г.) Всемирной ассамблеи по стандартизации электросвязи о расширении участия Членов Сектора из развивающихся стран в работе МСЭ-Т.</w:t>
      </w:r>
    </w:p>
    <w:p w14:paraId="7EF7BF54" w14:textId="5DCE4630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2.5</w:t>
      </w:r>
      <w:r w:rsidRPr="00CF5F2A">
        <w:rPr>
          <w:lang w:val="ru-RU"/>
        </w:rPr>
        <w:tab/>
        <w:t xml:space="preserve">Советники и наблюдатели выражают поддержку увеличению помощи НРС, при этом Советник от Канады обозначает два канадских учреждения, которые могли бы оказать помощь в этом отношении. Несколько Советников спрашивают, какие инициативы по созданию потенциала реализованы в соответствии с Резолюцией 214 (Бухарест, 2022 г.) ПК. Приложения ИИ обладают потенциалом содействия достижению Целей в области устойчивого развития (ЦУР) и преодолению цифровых разрывов; вместе с тем адаптированное к конкретным условиям повышение потенциала и техническая помощь будут иметь решающее значение для обеспечения доступа наименее развитых и других развивающихся стран к системам ИИ, а также их использования и управления ими с учетом специфики их </w:t>
      </w:r>
      <w:r w:rsidRPr="00CF5F2A">
        <w:rPr>
          <w:lang w:val="ru-RU"/>
        </w:rPr>
        <w:lastRenderedPageBreak/>
        <w:t>потребностей. Один из Советников говорит, что взаимодействие с региональными органами электросвязи и местными академическими организациями, проводящими экспериментальную реализацию сценариев использования ИИ в местных условиях, может стать ценным источником передачи знаний; другой Советник говорит, что увеличение технической поддержки могло бы помочь в определении экспериментальных проектов в ключевых социально-экономических секторах.</w:t>
      </w:r>
    </w:p>
    <w:p w14:paraId="0173FF7E" w14:textId="77777777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2.6</w:t>
      </w:r>
      <w:r w:rsidRPr="00CF5F2A">
        <w:rPr>
          <w:lang w:val="ru-RU"/>
        </w:rPr>
        <w:tab/>
        <w:t>Один из Советников подчеркивает, что НРС и другие развивающиеся страны испытывают нехватку институционального потенциала, технических знаний и финансовых ресурсов для разработки надежных политик и стратегий; без адресной поддержки с учетом местных условий они рискуют стать жертвами еще одного цифрового разрыва и оказаться в отчуждении в быстро развивающейся глобальной экосистеме ИИ. Помощь МСЭ должна обеспечивать, чтобы развитие ИИ в таких странах соответствовало мировому передовому опыту, способствовало обеспечению совместимости, доверию, этическим стандартам и согласованности на международном уровне. Несколько Советников отмечают, что Всемирная конференция по развитию электросвязи 2025 года (ВКРЭ-25), а также ее подготовительный процесс представляют собой подходящую возможность для определения приоритетов в области развития потенциала в сфере искусственного интеллекта, подчеркивая, что развитие навыков и обмен знаниями являются ключевыми факторами эффективного использования ИИ во благо. Один из Советников призывает к разработке специальной африканской стратегии в области ИИ.</w:t>
      </w:r>
    </w:p>
    <w:p w14:paraId="5A1D46A2" w14:textId="77777777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2.7</w:t>
      </w:r>
      <w:r w:rsidRPr="00CF5F2A">
        <w:rPr>
          <w:lang w:val="ru-RU"/>
        </w:rPr>
        <w:tab/>
        <w:t>Один из Советников предлагает дополнительно рассмотреть вопрос о том, каким образом и с помощью каких инструментов секретариат будет оценивать готовность стран в области политики и стратегии в сфере ИИ. Другой Советник отмечает, что Международный валютный фонд запустил информационную панель "Индекс готовности к ИИ", охватывающую 174 страны, для оценки уровня готовности стран к ИИ с использованием данных различных международных организаций. МСЭ мог бы подумать о том, чтобы взять эту работу за основу. Еще один Советник предлагает представить Документ C25/96 Рабочей группе Совета по ВВУИО и ЦУР для дальнейшего изучения.</w:t>
      </w:r>
    </w:p>
    <w:p w14:paraId="302BA818" w14:textId="65F60D0E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2.8</w:t>
      </w:r>
      <w:r w:rsidRPr="00CF5F2A">
        <w:rPr>
          <w:lang w:val="ru-RU"/>
        </w:rPr>
        <w:tab/>
        <w:t>Несколько Советников заявляют, что для предоставления расширенной помощи необходимо использовать существующие инициативы МСЭ. Другие, отмечая растущий спрос на связанные с ИИ инициативы, в том числе через БСЭ, заявляют, что для удовлетворения этого спроса необходимо найти соответствующие устойчивые ресурсы. Одн</w:t>
      </w:r>
      <w:r w:rsidR="002727E1" w:rsidRPr="00CF5F2A">
        <w:rPr>
          <w:lang w:val="ru-RU"/>
        </w:rPr>
        <w:t>а</w:t>
      </w:r>
      <w:r w:rsidRPr="00CF5F2A">
        <w:rPr>
          <w:lang w:val="ru-RU"/>
        </w:rPr>
        <w:t xml:space="preserve"> из Советников говорит, что связанные с ИИ инициативы являются хорошим ориентиром для выделения сэкономленных средств бюджета, поскольку они оказывают значительное воздействие, в особенности в развивающихся странах и маргинализированных сообществах.</w:t>
      </w:r>
    </w:p>
    <w:p w14:paraId="15DC6D99" w14:textId="69C4C84D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2.9</w:t>
      </w:r>
      <w:r w:rsidRPr="00CF5F2A">
        <w:rPr>
          <w:lang w:val="ru-RU"/>
        </w:rPr>
        <w:tab/>
        <w:t xml:space="preserve">Директор БРЭ отмечает, что несколько регионов разрабатывают региональные инициативы, касающиеся применения ИИ, которые будут приняты на ВКРЭ-25. Конференция предоставит отличную возможность определить приоритеты по развитию потенциала в области ИИ, а также разработать соответствующие показатели для отслеживания прогресса и воздействия. По его мнению, этот процесс должен быть инициирован членами, однако Секретариат сотрудничает с другими организациями для обеспечения согласования и предоставления членам наилучшей экспертной поддержки. БРЭ тесно сотрудничает с БСЭ в целях </w:t>
      </w:r>
      <w:r w:rsidR="002727E1" w:rsidRPr="00CF5F2A">
        <w:rPr>
          <w:lang w:val="ru-RU"/>
        </w:rPr>
        <w:t xml:space="preserve">поддержки усилий по </w:t>
      </w:r>
      <w:r w:rsidRPr="00CF5F2A">
        <w:rPr>
          <w:lang w:val="ru-RU"/>
        </w:rPr>
        <w:t>обеспечени</w:t>
      </w:r>
      <w:r w:rsidR="002727E1" w:rsidRPr="00CF5F2A">
        <w:rPr>
          <w:lang w:val="ru-RU"/>
        </w:rPr>
        <w:t>ю</w:t>
      </w:r>
      <w:r w:rsidRPr="00CF5F2A">
        <w:rPr>
          <w:lang w:val="ru-RU"/>
        </w:rPr>
        <w:t xml:space="preserve"> оптимального баланса между регулированием ИИ и стимулированием инноваций; например, в рамках ГСР-24 был организован семинар-практикум, посвященный роли и воздействию ИИ на сектор развития. Без надлежащих мер быстрое, неконтролируемое развитие ИИ может привести к дальнейшему увеличению цифровых разрывов. Кроме того, в БРЭ продолжается работа по интеграции ИИ в системы раннего предупреждения, а также по разработке ИИ-решений с открытым исходным кодом. Важным источником развития навыков и повышения осведомленности в области ИИ является Академия МСЭ. Выступающий приветствует призывы к расширению помощи НРС и всем </w:t>
      </w:r>
      <w:r w:rsidRPr="00CF5F2A">
        <w:rPr>
          <w:lang w:val="ru-RU"/>
        </w:rPr>
        <w:lastRenderedPageBreak/>
        <w:t>развивающимся странам и отмечает, что в Резолюции 16 (</w:t>
      </w:r>
      <w:proofErr w:type="spellStart"/>
      <w:r w:rsidRPr="00CF5F2A">
        <w:rPr>
          <w:lang w:val="ru-RU"/>
        </w:rPr>
        <w:t>Пересм</w:t>
      </w:r>
      <w:proofErr w:type="spellEnd"/>
      <w:r w:rsidRPr="00CF5F2A">
        <w:rPr>
          <w:lang w:val="ru-RU"/>
        </w:rPr>
        <w:t>. Кигали, 2022 г.) ВКРЭ и Резолюции 30 (</w:t>
      </w:r>
      <w:proofErr w:type="spellStart"/>
      <w:r w:rsidRPr="00CF5F2A">
        <w:rPr>
          <w:lang w:val="ru-RU"/>
        </w:rPr>
        <w:t>Пересм</w:t>
      </w:r>
      <w:proofErr w:type="spellEnd"/>
      <w:r w:rsidRPr="00CF5F2A">
        <w:rPr>
          <w:lang w:val="ru-RU"/>
        </w:rPr>
        <w:t>. Бухарест, 2022 г.) ПК представлен общий контекст для оказания помощи, не привязанной к конкретным технологиям и адаптированной к потребностям таких стран. Он надеется, что ВКРЭ-25 продлит мандаты Союза на деятельность в этой области.</w:t>
      </w:r>
    </w:p>
    <w:p w14:paraId="446547FF" w14:textId="77777777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2.10</w:t>
      </w:r>
      <w:r w:rsidRPr="00CF5F2A">
        <w:rPr>
          <w:lang w:val="ru-RU"/>
        </w:rPr>
        <w:tab/>
        <w:t>Заместитель Директора БСЭ говорит, что сотрудничество между МСЭ-Т и МСЭ-D имеет огромное значение с точки зрения создания потенциала для НРС и других развивающихся стран. Он отмечает, что ведется работа по разработке инструментов для оценки готовности к ИИ, включая координацию с другими организациями с целью использования принципа взаимодополняемости в работе.</w:t>
      </w:r>
    </w:p>
    <w:p w14:paraId="7C87CB10" w14:textId="75279AC1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2.11</w:t>
      </w:r>
      <w:r w:rsidRPr="00CF5F2A">
        <w:rPr>
          <w:lang w:val="ru-RU"/>
        </w:rPr>
        <w:tab/>
        <w:t>Председатель предлагает Совету принять к сведению отчет, содержащийся в Документе</w:t>
      </w:r>
      <w:r w:rsidR="00234345">
        <w:rPr>
          <w:lang w:val="en-US"/>
        </w:rPr>
        <w:t> </w:t>
      </w:r>
      <w:r w:rsidR="002727E1">
        <w:fldChar w:fldCharType="begin"/>
      </w:r>
      <w:r w:rsidR="002727E1">
        <w:instrText>HYPERLINK</w:instrText>
      </w:r>
      <w:r w:rsidR="002727E1" w:rsidRPr="00575EA9">
        <w:rPr>
          <w:lang w:val="ru-RU"/>
        </w:rPr>
        <w:instrText xml:space="preserve"> "</w:instrText>
      </w:r>
      <w:r w:rsidR="002727E1">
        <w:instrText>https</w:instrText>
      </w:r>
      <w:r w:rsidR="002727E1" w:rsidRPr="00575EA9">
        <w:rPr>
          <w:lang w:val="ru-RU"/>
        </w:rPr>
        <w:instrText>://</w:instrText>
      </w:r>
      <w:r w:rsidR="002727E1">
        <w:instrText>www</w:instrText>
      </w:r>
      <w:r w:rsidR="002727E1" w:rsidRPr="00575EA9">
        <w:rPr>
          <w:lang w:val="ru-RU"/>
        </w:rPr>
        <w:instrText>.</w:instrText>
      </w:r>
      <w:r w:rsidR="002727E1">
        <w:instrText>itu</w:instrText>
      </w:r>
      <w:r w:rsidR="002727E1" w:rsidRPr="00575EA9">
        <w:rPr>
          <w:lang w:val="ru-RU"/>
        </w:rPr>
        <w:instrText>.</w:instrText>
      </w:r>
      <w:r w:rsidR="002727E1">
        <w:instrText>int</w:instrText>
      </w:r>
      <w:r w:rsidR="002727E1" w:rsidRPr="00575EA9">
        <w:rPr>
          <w:lang w:val="ru-RU"/>
        </w:rPr>
        <w:instrText>/</w:instrText>
      </w:r>
      <w:r w:rsidR="002727E1">
        <w:instrText>md</w:instrText>
      </w:r>
      <w:r w:rsidR="002727E1" w:rsidRPr="00575EA9">
        <w:rPr>
          <w:lang w:val="ru-RU"/>
        </w:rPr>
        <w:instrText>/</w:instrText>
      </w:r>
      <w:r w:rsidR="002727E1">
        <w:instrText>S</w:instrText>
      </w:r>
      <w:r w:rsidR="002727E1" w:rsidRPr="00575EA9">
        <w:rPr>
          <w:lang w:val="ru-RU"/>
        </w:rPr>
        <w:instrText>25-</w:instrText>
      </w:r>
      <w:r w:rsidR="002727E1">
        <w:instrText>CL</w:instrText>
      </w:r>
      <w:r w:rsidR="002727E1" w:rsidRPr="00575EA9">
        <w:rPr>
          <w:lang w:val="ru-RU"/>
        </w:rPr>
        <w:instrText>-</w:instrText>
      </w:r>
      <w:r w:rsidR="002727E1">
        <w:instrText>C</w:instrText>
      </w:r>
      <w:r w:rsidR="002727E1" w:rsidRPr="00575EA9">
        <w:rPr>
          <w:lang w:val="ru-RU"/>
        </w:rPr>
        <w:instrText>-0052/</w:instrText>
      </w:r>
      <w:r w:rsidR="002727E1">
        <w:instrText>en</w:instrText>
      </w:r>
      <w:r w:rsidR="002727E1" w:rsidRPr="00575EA9">
        <w:rPr>
          <w:lang w:val="ru-RU"/>
        </w:rPr>
        <w:instrText>"</w:instrText>
      </w:r>
      <w:r w:rsidR="002727E1">
        <w:fldChar w:fldCharType="separate"/>
      </w:r>
      <w:r w:rsidR="002727E1" w:rsidRPr="00CF5F2A">
        <w:rPr>
          <w:rStyle w:val="Hyperlink"/>
          <w:lang w:val="ru-RU"/>
        </w:rPr>
        <w:t>C25/52</w:t>
      </w:r>
      <w:r w:rsidR="002727E1">
        <w:fldChar w:fldCharType="end"/>
      </w:r>
      <w:r w:rsidRPr="00CF5F2A">
        <w:rPr>
          <w:lang w:val="ru-RU"/>
        </w:rPr>
        <w:t>, а также принять к сведению вклад, содержащийся в Документе C25/96, и предложить секретариату продолжить работу по предоставлению технической поддержки НРС в разработке политики в области ИИ и создании потенциала в рамках существующих бюджетов.</w:t>
      </w:r>
    </w:p>
    <w:p w14:paraId="00862552" w14:textId="77777777" w:rsidR="00291AC8" w:rsidRPr="00CF5F2A" w:rsidRDefault="00291AC8" w:rsidP="00291AC8">
      <w:pPr>
        <w:rPr>
          <w:szCs w:val="24"/>
          <w:lang w:val="ru-RU"/>
        </w:rPr>
      </w:pPr>
      <w:r w:rsidRPr="00CF5F2A">
        <w:rPr>
          <w:lang w:val="ru-RU"/>
        </w:rPr>
        <w:t>2.12</w:t>
      </w:r>
      <w:r w:rsidRPr="00CF5F2A">
        <w:rPr>
          <w:lang w:val="ru-RU"/>
        </w:rPr>
        <w:tab/>
        <w:t xml:space="preserve">Предложение </w:t>
      </w:r>
      <w:r w:rsidRPr="00CF5F2A">
        <w:rPr>
          <w:b/>
          <w:bCs/>
          <w:lang w:val="ru-RU"/>
        </w:rPr>
        <w:t>принимается</w:t>
      </w:r>
      <w:r w:rsidRPr="00CF5F2A">
        <w:rPr>
          <w:lang w:val="ru-RU"/>
        </w:rPr>
        <w:t>.</w:t>
      </w:r>
    </w:p>
    <w:p w14:paraId="35525BAF" w14:textId="6EFB196C" w:rsidR="00291AC8" w:rsidRPr="00CF5F2A" w:rsidRDefault="00291AC8" w:rsidP="00291AC8">
      <w:pPr>
        <w:pStyle w:val="Heading1"/>
        <w:rPr>
          <w:lang w:val="ru-RU"/>
        </w:rPr>
      </w:pPr>
      <w:r w:rsidRPr="00CF5F2A">
        <w:rPr>
          <w:bCs/>
          <w:lang w:val="ru-RU"/>
        </w:rPr>
        <w:t>3</w:t>
      </w:r>
      <w:r w:rsidRPr="00CF5F2A">
        <w:rPr>
          <w:lang w:val="ru-RU"/>
        </w:rPr>
        <w:tab/>
      </w:r>
      <w:r w:rsidRPr="00CF5F2A">
        <w:rPr>
          <w:bCs/>
          <w:lang w:val="ru-RU"/>
        </w:rPr>
        <w:t xml:space="preserve">Всемирный день электросвязи и информационного общества (Документы </w:t>
      </w:r>
      <w:hyperlink r:id="rId19" w:history="1">
        <w:r w:rsidRPr="00CF5F2A">
          <w:rPr>
            <w:rStyle w:val="Hyperlink"/>
            <w:rFonts w:asciiTheme="minorHAnsi" w:hAnsiTheme="minorHAnsi" w:cstheme="minorHAnsi"/>
            <w:szCs w:val="24"/>
            <w:lang w:val="ru-RU" w:eastAsia="en-GB"/>
          </w:rPr>
          <w:t>C25/17</w:t>
        </w:r>
      </w:hyperlink>
      <w:r w:rsidRPr="00CF5F2A">
        <w:rPr>
          <w:rFonts w:asciiTheme="minorHAnsi" w:hAnsiTheme="minorHAnsi" w:cstheme="minorHAnsi"/>
          <w:sz w:val="24"/>
          <w:szCs w:val="24"/>
          <w:lang w:val="ru-RU" w:eastAsia="en-GB"/>
        </w:rPr>
        <w:t xml:space="preserve">, </w:t>
      </w:r>
      <w:hyperlink r:id="rId20" w:history="1">
        <w:r w:rsidRPr="00CF5F2A">
          <w:rPr>
            <w:rStyle w:val="Hyperlink"/>
            <w:rFonts w:asciiTheme="minorHAnsi" w:hAnsiTheme="minorHAnsi" w:cstheme="minorHAnsi"/>
            <w:szCs w:val="24"/>
            <w:lang w:val="ru-RU" w:eastAsia="en-GB"/>
          </w:rPr>
          <w:t>C25/76</w:t>
        </w:r>
      </w:hyperlink>
      <w:r w:rsidRPr="00CF5F2A">
        <w:rPr>
          <w:rFonts w:asciiTheme="minorHAnsi" w:hAnsiTheme="minorHAnsi" w:cstheme="minorHAnsi"/>
          <w:sz w:val="24"/>
          <w:szCs w:val="24"/>
          <w:lang w:val="ru-RU" w:eastAsia="en-GB"/>
        </w:rPr>
        <w:t xml:space="preserve">, </w:t>
      </w:r>
      <w:hyperlink r:id="rId21" w:history="1">
        <w:r w:rsidRPr="00CF5F2A">
          <w:rPr>
            <w:rStyle w:val="Hyperlink"/>
            <w:rFonts w:asciiTheme="minorHAnsi" w:hAnsiTheme="minorHAnsi" w:cstheme="minorHAnsi"/>
            <w:szCs w:val="24"/>
            <w:lang w:val="ru-RU" w:eastAsia="en-GB"/>
          </w:rPr>
          <w:t>C25/89</w:t>
        </w:r>
      </w:hyperlink>
      <w:r w:rsidRPr="00CF5F2A">
        <w:rPr>
          <w:rFonts w:asciiTheme="minorHAnsi" w:hAnsiTheme="minorHAnsi" w:cstheme="minorHAnsi"/>
          <w:sz w:val="24"/>
          <w:szCs w:val="24"/>
          <w:lang w:val="ru-RU" w:eastAsia="en-GB"/>
        </w:rPr>
        <w:t xml:space="preserve">, </w:t>
      </w:r>
      <w:hyperlink r:id="rId22" w:history="1">
        <w:r w:rsidRPr="00CF5F2A">
          <w:rPr>
            <w:rStyle w:val="Hyperlink"/>
            <w:rFonts w:asciiTheme="minorHAnsi" w:hAnsiTheme="minorHAnsi" w:cstheme="minorHAnsi"/>
            <w:szCs w:val="24"/>
            <w:lang w:val="ru-RU" w:eastAsia="en-GB"/>
          </w:rPr>
          <w:t>C25/100</w:t>
        </w:r>
      </w:hyperlink>
      <w:r w:rsidRPr="00CF5F2A">
        <w:rPr>
          <w:lang w:val="ru-RU"/>
        </w:rPr>
        <w:t>)</w:t>
      </w:r>
      <w:hyperlink r:id="rId23" w:history="1"/>
      <w:hyperlink r:id="rId24" w:history="1"/>
      <w:hyperlink r:id="rId25" w:history="1"/>
      <w:hyperlink r:id="rId26" w:history="1"/>
    </w:p>
    <w:p w14:paraId="33941873" w14:textId="724518AF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3.1</w:t>
      </w:r>
      <w:r w:rsidRPr="00CF5F2A">
        <w:rPr>
          <w:lang w:val="ru-RU"/>
        </w:rPr>
        <w:tab/>
        <w:t xml:space="preserve">Представитель Генерального секретариата представляет отчет, содержащийся в Документе C25/17, о праздновании Всемирного дня электросвязи и информационного общества (ВДЭИО-25) и 160-й годовщины образования МСЭ ("МСЭ160") в 2025 году, демонстрируя краткую видеозапись, посвященную основным моментам </w:t>
      </w:r>
      <w:r w:rsidR="0072052A" w:rsidRPr="00CF5F2A">
        <w:rPr>
          <w:lang w:val="ru-RU"/>
        </w:rPr>
        <w:t>совмещенного мероприятия Секретариата</w:t>
      </w:r>
      <w:r w:rsidRPr="00CF5F2A">
        <w:rPr>
          <w:lang w:val="ru-RU"/>
        </w:rPr>
        <w:t>. Государствам-Членам предложено связаться с Секретариатом в случае желания воспроизвести световое шоу, подготовленное к 160-й годовщине, в своих странах.</w:t>
      </w:r>
    </w:p>
    <w:p w14:paraId="537ACAE1" w14:textId="3A3C4C8C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3.2</w:t>
      </w:r>
      <w:r w:rsidRPr="00CF5F2A">
        <w:rPr>
          <w:lang w:val="ru-RU"/>
        </w:rPr>
        <w:tab/>
        <w:t>Советник от Малайзии представляет Документ C25/76, в котором подводятся итоги празднования ВДЭИО-25, Международного дня "Девушки в ИКТ" 2025 года и "МСЭ160" в Малайзии, которые объединили представителей правительства, отрасли и международных организаций для обсуждения общей приверженности глобальным целям МСЭ.</w:t>
      </w:r>
    </w:p>
    <w:p w14:paraId="28C60CCB" w14:textId="3CAC6233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3.3</w:t>
      </w:r>
      <w:r w:rsidRPr="00CF5F2A">
        <w:rPr>
          <w:lang w:val="ru-RU"/>
        </w:rPr>
        <w:tab/>
        <w:t>Советник от Саудовской Аравии представляет вклад группы стран, содержащийся в Документе</w:t>
      </w:r>
      <w:r w:rsidR="00234345">
        <w:rPr>
          <w:lang w:val="en-US"/>
        </w:rPr>
        <w:t> </w:t>
      </w:r>
      <w:r w:rsidRPr="00CF5F2A">
        <w:rPr>
          <w:lang w:val="ru-RU"/>
        </w:rPr>
        <w:t>C25/89, от имени семи стран. В нем предлагаются две темы для ВДЭИО-26</w:t>
      </w:r>
      <w:r w:rsidR="00234345">
        <w:rPr>
          <w:lang w:val="en-US"/>
        </w:rPr>
        <w:t> </w:t>
      </w:r>
      <w:r w:rsidRPr="00CF5F2A">
        <w:rPr>
          <w:lang w:val="ru-RU"/>
        </w:rPr>
        <w:sym w:font="Symbol" w:char="F02D"/>
      </w:r>
      <w:r w:rsidRPr="00CF5F2A">
        <w:rPr>
          <w:lang w:val="ru-RU"/>
        </w:rPr>
        <w:t xml:space="preserve"> "Укрепление цифрового доверия в мире технологий на основе ИИ", в рамках которой подчеркивается необходимость ответственного развития ИИ, прозрачности и этичного управления данными; и "Космическое пространство на благо всех: расширение возможности установления соединений во всем мире", где освещается роль спутниковых и космических технологий в обеспечении универсального доступа и охвата цифровыми технологиями.</w:t>
      </w:r>
    </w:p>
    <w:p w14:paraId="50E58AE2" w14:textId="3376DE70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3.4</w:t>
      </w:r>
      <w:r w:rsidRPr="00CF5F2A">
        <w:rPr>
          <w:lang w:val="ru-RU"/>
        </w:rPr>
        <w:tab/>
        <w:t>Советник от Нигерии представляет Документ C25/100, в котором предлагается еще одна тема для ВДЭИО-26 – "Важнейшая цифровая инфраструктура: укрепление устойчивости в соединенном мире"; ее цель − подчеркнуть значение устойчивой цифровой инфраструктуры для экономической стабильности, всеохватного роста и технологических инноваций.</w:t>
      </w:r>
    </w:p>
    <w:p w14:paraId="110DD05A" w14:textId="7240447A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3.5</w:t>
      </w:r>
      <w:r w:rsidRPr="00CF5F2A">
        <w:rPr>
          <w:lang w:val="ru-RU"/>
        </w:rPr>
        <w:tab/>
        <w:t>Отвечая на вопрос Председателя, Советники от Саудовской Аравии и Нигерии подтверждают, что после неофициальных консультаций было решено, что в качестве темы для ВДЭИО-26 будет предложена тема "Важнейшая цифровая инфраструктура: укрепление устойчивости в соединенном мире", а для ВДЭИО-27 – "Космическое пространство на благо всех: расширение возможности установления соединений во всем мире".</w:t>
      </w:r>
    </w:p>
    <w:p w14:paraId="59FED4C6" w14:textId="7CB7D3C5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lastRenderedPageBreak/>
        <w:t>3.6</w:t>
      </w:r>
      <w:r w:rsidRPr="00CF5F2A">
        <w:rPr>
          <w:lang w:val="ru-RU"/>
        </w:rPr>
        <w:tab/>
        <w:t>Советники дают высокую оценку мероприятиям, организованным в Малайзии в рамках празднования ВДЭИО-25, и отмечают их направленность на укрепление международного сотрудничества и открытую для всех цифровую трансформацию. Многие Советники полностью поддерживают темы, предложенные для ВДЭИО-26 и ВДЭИО-27: укрепление устойчивости является важной темой, затрагивающей многие области, а тема космоса будет особенно актуальной в контексте Всемирной конференции радиосвязи 2027 года. Вместе с тем один из Советников предупреждает, что "расширение возможности установления соединений во всем мире" не должно подрывать национальный суверенитет.</w:t>
      </w:r>
    </w:p>
    <w:p w14:paraId="2035A618" w14:textId="5FD0D766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3.7</w:t>
      </w:r>
      <w:r w:rsidRPr="00CF5F2A">
        <w:rPr>
          <w:lang w:val="ru-RU"/>
        </w:rPr>
        <w:tab/>
        <w:t>Одн</w:t>
      </w:r>
      <w:r w:rsidR="002727E1" w:rsidRPr="00CF5F2A">
        <w:rPr>
          <w:lang w:val="ru-RU"/>
        </w:rPr>
        <w:t>а</w:t>
      </w:r>
      <w:r w:rsidRPr="00CF5F2A">
        <w:rPr>
          <w:lang w:val="ru-RU"/>
        </w:rPr>
        <w:t xml:space="preserve"> из Советников подчеркивает необходимость создания устойчивых партнерств и механизмов финансирования для поддержки деятельности по линии ВДЭИО.</w:t>
      </w:r>
    </w:p>
    <w:p w14:paraId="4531AB5A" w14:textId="5A706823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3.8</w:t>
      </w:r>
      <w:r w:rsidRPr="00CF5F2A">
        <w:rPr>
          <w:lang w:val="ru-RU"/>
        </w:rPr>
        <w:tab/>
        <w:t>Председатель предлагает Совету принять к сведению отчет, содержащийся в Документе C25/17, далее принять к сведению информацию о празднованиях в Малайзии, отчет о которых содержится в Документе C25/76, и утвердить предлагаемые темы ВДЭИО-26 и ВДЭИО-27.</w:t>
      </w:r>
    </w:p>
    <w:p w14:paraId="1D878439" w14:textId="48B59BEB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3.9</w:t>
      </w:r>
      <w:r w:rsidRPr="00CF5F2A">
        <w:rPr>
          <w:lang w:val="ru-RU"/>
        </w:rPr>
        <w:tab/>
        <w:t xml:space="preserve">Предложение </w:t>
      </w:r>
      <w:r w:rsidRPr="00CF5F2A">
        <w:rPr>
          <w:b/>
          <w:bCs/>
          <w:lang w:val="ru-RU"/>
        </w:rPr>
        <w:t>принимается</w:t>
      </w:r>
      <w:r w:rsidRPr="00CF5F2A">
        <w:rPr>
          <w:lang w:val="ru-RU"/>
        </w:rPr>
        <w:t>.</w:t>
      </w:r>
    </w:p>
    <w:p w14:paraId="72E84117" w14:textId="77777777" w:rsidR="00291AC8" w:rsidRPr="00CF5F2A" w:rsidRDefault="00291AC8" w:rsidP="00291AC8">
      <w:pPr>
        <w:pStyle w:val="Heading1"/>
        <w:rPr>
          <w:lang w:val="ru-RU"/>
        </w:rPr>
      </w:pPr>
      <w:r w:rsidRPr="00CF5F2A">
        <w:rPr>
          <w:bCs/>
          <w:lang w:val="ru-RU"/>
        </w:rPr>
        <w:t>4</w:t>
      </w:r>
      <w:r w:rsidRPr="00CF5F2A">
        <w:rPr>
          <w:lang w:val="ru-RU"/>
        </w:rPr>
        <w:tab/>
      </w:r>
      <w:r w:rsidRPr="00CF5F2A">
        <w:rPr>
          <w:bCs/>
          <w:lang w:val="ru-RU"/>
        </w:rPr>
        <w:t>Стратегия координации усилий трех Секторов Союза (Документ</w:t>
      </w:r>
      <w:r w:rsidRPr="00CF5F2A">
        <w:rPr>
          <w:lang w:val="ru-RU"/>
        </w:rPr>
        <w:t xml:space="preserve"> </w:t>
      </w:r>
      <w:hyperlink r:id="rId27" w:history="1">
        <w:r w:rsidRPr="00CF5F2A">
          <w:rPr>
            <w:rStyle w:val="Hyperlink"/>
            <w:lang w:val="ru-RU"/>
          </w:rPr>
          <w:t>C25/27</w:t>
        </w:r>
      </w:hyperlink>
      <w:r w:rsidRPr="00CF5F2A">
        <w:rPr>
          <w:lang w:val="ru-RU"/>
        </w:rPr>
        <w:t>)</w:t>
      </w:r>
      <w:hyperlink r:id="rId28" w:history="1"/>
    </w:p>
    <w:p w14:paraId="53160D02" w14:textId="31D3B890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4.1</w:t>
      </w:r>
      <w:r w:rsidRPr="00CF5F2A">
        <w:rPr>
          <w:lang w:val="ru-RU"/>
        </w:rPr>
        <w:tab/>
        <w:t xml:space="preserve">Представитель Генерального секретариата представляет Документ C25/27, в котором содержится отчет о стратегии координации усилий трех Секторов и Генерального секретариата и кратко излагается деятельность </w:t>
      </w:r>
      <w:proofErr w:type="spellStart"/>
      <w:r w:rsidRPr="00CF5F2A">
        <w:rPr>
          <w:lang w:val="ru-RU"/>
        </w:rPr>
        <w:t>Межсекторальной</w:t>
      </w:r>
      <w:proofErr w:type="spellEnd"/>
      <w:r w:rsidRPr="00CF5F2A">
        <w:rPr>
          <w:lang w:val="ru-RU"/>
        </w:rPr>
        <w:t xml:space="preserve"> целевой группы по координации (ЦГ-МСК) и </w:t>
      </w:r>
      <w:proofErr w:type="spellStart"/>
      <w:r w:rsidRPr="00CF5F2A">
        <w:rPr>
          <w:lang w:val="ru-RU"/>
        </w:rPr>
        <w:t>Межсекторальной</w:t>
      </w:r>
      <w:proofErr w:type="spellEnd"/>
      <w:r w:rsidRPr="00CF5F2A">
        <w:rPr>
          <w:lang w:val="ru-RU"/>
        </w:rPr>
        <w:t xml:space="preserve"> координационной группы (МСКГ). Веб-платформа, ссылка на которую содержится в Документе </w:t>
      </w:r>
      <w:hyperlink r:id="rId29" w:history="1">
        <w:r w:rsidRPr="00CF5F2A">
          <w:rPr>
            <w:rStyle w:val="Hyperlink"/>
            <w:lang w:val="ru-RU"/>
          </w:rPr>
          <w:t>C25/35</w:t>
        </w:r>
      </w:hyperlink>
      <w:r w:rsidRPr="00CF5F2A">
        <w:rPr>
          <w:lang w:val="ru-RU"/>
        </w:rPr>
        <w:t xml:space="preserve"> о выполнении Резолюций ПК, демонстрирует конкретные результаты координации по вопросам взаимного интереса для Секторов и Генерального секретариата.</w:t>
      </w:r>
      <w:hyperlink r:id="rId30" w:history="1"/>
    </w:p>
    <w:p w14:paraId="0FFDF719" w14:textId="365177E4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4.2</w:t>
      </w:r>
      <w:r w:rsidRPr="00CF5F2A">
        <w:rPr>
          <w:lang w:val="ru-RU"/>
        </w:rPr>
        <w:tab/>
        <w:t>Председатель МСКГ сообщает, что были назначены координаторы по вопросам доступности, изменения климата, дистанционного участия и устойчивой цифровой трансформации. МСКГ разместила результаты своей работы по сопоставлению на своем веб­сайте, с тем чтобы облегчить координацию и избежать дублирования деятельности и исследований между Секторами.</w:t>
      </w:r>
    </w:p>
    <w:p w14:paraId="1CFD26BE" w14:textId="350E4ABC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4.3</w:t>
      </w:r>
      <w:r w:rsidRPr="00CF5F2A">
        <w:rPr>
          <w:lang w:val="ru-RU"/>
        </w:rPr>
        <w:tab/>
        <w:t>Советники приветствуют прогресс в реализации стратегии укрепления координации между тремя Секторами и Генеральным секретариатом, что будет иметь большое значение для определенных сквозных тем. Дается высокая оценка работе по сопоставлению, проведенной МСКГ, и платформе Резолюций ПК. Вместе с тем несколько Советников говорят, что неясно, каким образом эти и другие меры по повышению эффективности способствуют недопущению дублирования на практике. В отчет следует включить более подробную информацию по этому вопросу и соответствующие показатели.</w:t>
      </w:r>
    </w:p>
    <w:p w14:paraId="36C40464" w14:textId="0055E957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4.4</w:t>
      </w:r>
      <w:r w:rsidRPr="00CF5F2A">
        <w:rPr>
          <w:lang w:val="ru-RU"/>
        </w:rPr>
        <w:tab/>
        <w:t xml:space="preserve">Представитель Генерального секретариата говорит, что Координационный комитет (КК) утвердил стратегию </w:t>
      </w:r>
      <w:proofErr w:type="spellStart"/>
      <w:r w:rsidRPr="00CF5F2A">
        <w:rPr>
          <w:lang w:val="ru-RU"/>
        </w:rPr>
        <w:t>межсекторальной</w:t>
      </w:r>
      <w:proofErr w:type="spellEnd"/>
      <w:r w:rsidRPr="00CF5F2A">
        <w:rPr>
          <w:lang w:val="ru-RU"/>
        </w:rPr>
        <w:t xml:space="preserve"> координации, а старшее руководство было вовлечено в выбор ключевых тем и рекомендацию по ним координаторов. ЦГ-МСК, возглавляемая заместителем Генерального секретаря, периодически отчитывалась перед КК и представляла вклады для собраний МСКГ. Меры по укреплению координации и сокращению дублирования состоят в создании совместного секретариата для ЦГ-МСК и МСКГ, а также в использовании общего графика работы, инструментов и публикаций. Так, МСКГ часто проводит свои собрания совместно с консультативной группой Сектора. Собрания ЦГ-МСК проводятся раз в два месяца, при этом тематические группы собираются ежемесячно. В будущие отчеты войдут показатели, отражающие эффективность принимаемых мер.</w:t>
      </w:r>
    </w:p>
    <w:p w14:paraId="18E9411B" w14:textId="7AE55650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lastRenderedPageBreak/>
        <w:t>4.5</w:t>
      </w:r>
      <w:r w:rsidRPr="00CF5F2A">
        <w:rPr>
          <w:lang w:val="ru-RU"/>
        </w:rPr>
        <w:tab/>
        <w:t>Председатель МСКГ говорит, что группа, как правило, проводит собрания три раза в год, по возможности приурочивая их к собранию консультативной группы Сектора для содействия участию ее членов. ЦГ-МСК отчитывается перед каждым собранием МСКГ. Веб-сайт МСКГ был усовершенствован для упрощения доступа к информации и результатам.</w:t>
      </w:r>
    </w:p>
    <w:p w14:paraId="477354F1" w14:textId="17A194D0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4.6</w:t>
      </w:r>
      <w:r w:rsidRPr="00CF5F2A">
        <w:rPr>
          <w:lang w:val="ru-RU"/>
        </w:rPr>
        <w:tab/>
        <w:t>Заместитель Директора БСЭ говорит, что МСЭ-T и МСЭ-R полностью согласуют организацию своей работы во избежание ее дублирования. Например, если вклад подпадает под мандат нескольких групп, то заинтересованные исследовательские комиссии не полагаются на заявления о взаимодействии, а связываются с консультативными группами напрямую, а затем соответствующим образом информируют члена. Взаимодействие между Консультативной группой по радиосвязи (КГР) и Консультативной группой по стандартизации электросвязи (КГСЭ) также осуществляется через простые и прямые каналы связи. Кроме того, КГР и КГСЭ решили, что вопросы, касающиеся спутниковых орбит и ресурсов спектра, относятся к компетенции исследовательских комиссий МСЭ-R, в то время как экономические и политические вопросы, связанные с использованием спутников, находятся в ведении 3­й Исследовательской комиссии МСЭ-Т.</w:t>
      </w:r>
    </w:p>
    <w:p w14:paraId="2E8E7ADE" w14:textId="30EBECC8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4.7</w:t>
      </w:r>
      <w:r w:rsidRPr="00CF5F2A">
        <w:rPr>
          <w:lang w:val="ru-RU"/>
        </w:rPr>
        <w:tab/>
        <w:t>Директор Бюро радиосвязи (БР) говорит, что важно также, чтобы Государства-Члены обеспечивали координацию между своими представителями, участвующими в междисциплинарной работе исследовательских комиссий различных Секторов.</w:t>
      </w:r>
    </w:p>
    <w:p w14:paraId="2B0C5DE8" w14:textId="3377DE29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4.8</w:t>
      </w:r>
      <w:r w:rsidRPr="00CF5F2A">
        <w:rPr>
          <w:lang w:val="ru-RU"/>
        </w:rPr>
        <w:tab/>
        <w:t xml:space="preserve">Совет </w:t>
      </w:r>
      <w:r w:rsidRPr="00CF5F2A">
        <w:rPr>
          <w:b/>
          <w:bCs/>
          <w:lang w:val="ru-RU"/>
        </w:rPr>
        <w:t>принимает к сведению</w:t>
      </w:r>
      <w:r w:rsidRPr="00CF5F2A">
        <w:rPr>
          <w:lang w:val="ru-RU"/>
        </w:rPr>
        <w:t xml:space="preserve"> отчет, содержащийся в Документе C25/27.</w:t>
      </w:r>
    </w:p>
    <w:p w14:paraId="147B5D28" w14:textId="3C400290" w:rsidR="00291AC8" w:rsidRPr="00CF5F2A" w:rsidRDefault="00291AC8" w:rsidP="00291AC8">
      <w:pPr>
        <w:pStyle w:val="Heading1"/>
        <w:rPr>
          <w:lang w:val="ru-RU"/>
        </w:rPr>
      </w:pPr>
      <w:r w:rsidRPr="00CF5F2A">
        <w:rPr>
          <w:bCs/>
          <w:lang w:val="ru-RU"/>
        </w:rPr>
        <w:t>5</w:t>
      </w:r>
      <w:r w:rsidRPr="00CF5F2A">
        <w:rPr>
          <w:lang w:val="ru-RU"/>
        </w:rPr>
        <w:tab/>
      </w:r>
      <w:r w:rsidRPr="00CF5F2A">
        <w:rPr>
          <w:bCs/>
          <w:lang w:val="ru-RU"/>
        </w:rPr>
        <w:t>Отчет Председателя Рабочей группы Совета по использованию шести официальных языков Союза (Документ</w:t>
      </w:r>
      <w:r w:rsidR="00234345">
        <w:rPr>
          <w:bCs/>
          <w:lang w:val="ru-RU"/>
        </w:rPr>
        <w:t>ы</w:t>
      </w:r>
      <w:r w:rsidRPr="00CF5F2A">
        <w:rPr>
          <w:lang w:val="ru-RU"/>
        </w:rPr>
        <w:t xml:space="preserve"> </w:t>
      </w:r>
      <w:hyperlink r:id="rId31" w:history="1">
        <w:r w:rsidRPr="00CF5F2A">
          <w:rPr>
            <w:rStyle w:val="Hyperlink"/>
            <w:lang w:val="ru-RU"/>
          </w:rPr>
          <w:t>C25/12</w:t>
        </w:r>
      </w:hyperlink>
      <w:r w:rsidRPr="00CF5F2A">
        <w:rPr>
          <w:lang w:val="ru-RU"/>
        </w:rPr>
        <w:t xml:space="preserve">, </w:t>
      </w:r>
      <w:hyperlink r:id="rId32" w:history="1">
        <w:r w:rsidRPr="00CF5F2A">
          <w:rPr>
            <w:rStyle w:val="Hyperlink"/>
            <w:lang w:val="ru-RU"/>
          </w:rPr>
          <w:t>C25/78</w:t>
        </w:r>
      </w:hyperlink>
      <w:r w:rsidRPr="00CF5F2A">
        <w:rPr>
          <w:lang w:val="ru-RU"/>
        </w:rPr>
        <w:t>)</w:t>
      </w:r>
      <w:hyperlink r:id="rId33" w:history="1"/>
      <w:hyperlink r:id="rId34" w:history="1"/>
    </w:p>
    <w:p w14:paraId="5BB19322" w14:textId="1A3790A4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5.1</w:t>
      </w:r>
      <w:r w:rsidRPr="00CF5F2A">
        <w:rPr>
          <w:lang w:val="ru-RU"/>
        </w:rPr>
        <w:tab/>
        <w:t>Заместитель Председателя Рабочей группы Совета по использованию шести официальных языков Союза (РГС-</w:t>
      </w:r>
      <w:proofErr w:type="spellStart"/>
      <w:r w:rsidRPr="00CF5F2A">
        <w:rPr>
          <w:lang w:val="ru-RU"/>
        </w:rPr>
        <w:t>Яз</w:t>
      </w:r>
      <w:proofErr w:type="spellEnd"/>
      <w:r w:rsidRPr="00CF5F2A">
        <w:rPr>
          <w:lang w:val="ru-RU"/>
        </w:rPr>
        <w:t>) представляет Документ C25/12, содержащий краткое изложение итогов 16-го собрания РГС-</w:t>
      </w:r>
      <w:proofErr w:type="spellStart"/>
      <w:r w:rsidRPr="00CF5F2A">
        <w:rPr>
          <w:lang w:val="ru-RU"/>
        </w:rPr>
        <w:t>Яз</w:t>
      </w:r>
      <w:proofErr w:type="spellEnd"/>
      <w:r w:rsidRPr="00CF5F2A">
        <w:rPr>
          <w:lang w:val="ru-RU"/>
        </w:rPr>
        <w:t>, в ходе которого были проанализированы бюджеты и объемы письменного и устного перевода на шесть официальных языков с 2019 по 2024 год. Она отмечает, что шесть официальных языков использовались на равной основе, и подчеркивает повышение эффективности за счет применения новых технологий. В Документе </w:t>
      </w:r>
      <w:hyperlink r:id="rId35" w:history="1">
        <w:r w:rsidRPr="00CF5F2A">
          <w:rPr>
            <w:rStyle w:val="Hyperlink"/>
            <w:lang w:val="ru-RU"/>
          </w:rPr>
          <w:t>CWG</w:t>
        </w:r>
        <w:r w:rsidRPr="00CF5F2A">
          <w:rPr>
            <w:rStyle w:val="Hyperlink"/>
            <w:lang w:val="ru-RU"/>
          </w:rPr>
          <w:noBreakHyphen/>
          <w:t>LANG-16/3</w:t>
        </w:r>
      </w:hyperlink>
      <w:r w:rsidRPr="00CF5F2A">
        <w:rPr>
          <w:lang w:val="ru-RU"/>
        </w:rPr>
        <w:t xml:space="preserve"> содержится информация об ITU </w:t>
      </w:r>
      <w:proofErr w:type="spellStart"/>
      <w:r w:rsidRPr="00CF5F2A">
        <w:rPr>
          <w:lang w:val="ru-RU"/>
        </w:rPr>
        <w:t>Translate</w:t>
      </w:r>
      <w:proofErr w:type="spellEnd"/>
      <w:r w:rsidRPr="00CF5F2A">
        <w:rPr>
          <w:lang w:val="ru-RU"/>
        </w:rPr>
        <w:t xml:space="preserve"> – внутреннем инструменте машинного перевода. Устный перевод на базе ИИ, опробованный в ходе собрания, оказался удовлетворительным и будет опробован на других собраниях МСЭ. В</w:t>
      </w:r>
      <w:r w:rsidR="00A56785" w:rsidRPr="00CF5F2A">
        <w:rPr>
          <w:lang w:val="ru-RU"/>
        </w:rPr>
        <w:t> </w:t>
      </w:r>
      <w:r w:rsidRPr="00CF5F2A">
        <w:rPr>
          <w:lang w:val="ru-RU"/>
        </w:rPr>
        <w:t xml:space="preserve">Документе </w:t>
      </w:r>
      <w:hyperlink r:id="rId36" w:history="1">
        <w:r w:rsidRPr="00CF5F2A">
          <w:rPr>
            <w:rStyle w:val="Hyperlink"/>
            <w:lang w:val="ru-RU"/>
          </w:rPr>
          <w:t>C25/INF/7</w:t>
        </w:r>
      </w:hyperlink>
      <w:r w:rsidRPr="00CF5F2A">
        <w:rPr>
          <w:lang w:val="ru-RU"/>
        </w:rPr>
        <w:t xml:space="preserve"> содержится отчет о проблемах и возможностях устного перевода на базе ИИ. С учетом достигнутого прогресса секретариат и консультативные группы Секторов рассмотрят меры и принципы, касающиеся устного и письменного перевода в МСЭ.</w:t>
      </w:r>
      <w:hyperlink r:id="rId37" w:history="1"/>
      <w:hyperlink r:id="rId38" w:history="1"/>
    </w:p>
    <w:p w14:paraId="466663C1" w14:textId="6F07A872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5.2</w:t>
      </w:r>
      <w:r w:rsidRPr="00CF5F2A">
        <w:rPr>
          <w:lang w:val="ru-RU"/>
        </w:rPr>
        <w:tab/>
        <w:t xml:space="preserve">Советники выражают поддержку усилиям по укреплению языковых служб Союза в организации в целом и использованию ITU </w:t>
      </w:r>
      <w:proofErr w:type="spellStart"/>
      <w:r w:rsidRPr="00CF5F2A">
        <w:rPr>
          <w:lang w:val="ru-RU"/>
        </w:rPr>
        <w:t>Translate</w:t>
      </w:r>
      <w:proofErr w:type="spellEnd"/>
      <w:r w:rsidRPr="00CF5F2A">
        <w:rPr>
          <w:lang w:val="ru-RU"/>
        </w:rPr>
        <w:t>, устного перевода на базе ИИ и других инструментов для повышения экономической эффективности и расширения доступа к ресурсам МСЭ. Всеобщий охват языковыми услугами, особенно тех, чей родной язык не является одним из шести официальных языков МСЭ, имеет решающее значение для обеспечения эффективного участия всех Государств-Членов в работе МСЭ.</w:t>
      </w:r>
    </w:p>
    <w:p w14:paraId="610DCC3C" w14:textId="13D61D78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5.3</w:t>
      </w:r>
      <w:r w:rsidRPr="00CF5F2A">
        <w:rPr>
          <w:lang w:val="ru-RU"/>
        </w:rPr>
        <w:tab/>
        <w:t>Один из Советников рекомендует опробовать письменный и устный перевод на базе ИИ в исследовательских комиссиях и на других собраниях для дальнейшей оценки показателей работы и повышения доступности. Для содействия созданию местного потенциала и участию на уровне сообществ следует также перевести избранный контент на языки, не являющиеся официальными языками МСЭ.</w:t>
      </w:r>
    </w:p>
    <w:p w14:paraId="696113EE" w14:textId="18354868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5.4</w:t>
      </w:r>
      <w:r w:rsidRPr="00CF5F2A">
        <w:rPr>
          <w:lang w:val="ru-RU"/>
        </w:rPr>
        <w:tab/>
        <w:t xml:space="preserve">Один из наблюдателей, приветствуя содержание Документа C25/12 и предлагаемые дальнейшие действия, изложенные в Документе C25/INF/7, призывает к лучшему </w:t>
      </w:r>
      <w:r w:rsidRPr="00CF5F2A">
        <w:rPr>
          <w:lang w:val="ru-RU"/>
        </w:rPr>
        <w:lastRenderedPageBreak/>
        <w:t xml:space="preserve">согласованию веб-сайтов Координационного комитета МСЭ по терминологии (ККТ МСЭ) и МСКГ, отмечая проблемы с загрузкой документов и отсутствие интеграции с ITU </w:t>
      </w:r>
      <w:proofErr w:type="spellStart"/>
      <w:r w:rsidRPr="00CF5F2A">
        <w:rPr>
          <w:lang w:val="ru-RU"/>
        </w:rPr>
        <w:t>Translate</w:t>
      </w:r>
      <w:proofErr w:type="spellEnd"/>
      <w:r w:rsidRPr="00CF5F2A">
        <w:rPr>
          <w:lang w:val="ru-RU"/>
        </w:rPr>
        <w:t>.</w:t>
      </w:r>
    </w:p>
    <w:p w14:paraId="4C466E26" w14:textId="2633FCD9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5.5</w:t>
      </w:r>
      <w:r w:rsidRPr="00CF5F2A">
        <w:rPr>
          <w:lang w:val="ru-RU"/>
        </w:rPr>
        <w:tab/>
        <w:t xml:space="preserve">Совет </w:t>
      </w:r>
      <w:r w:rsidRPr="00CF5F2A">
        <w:rPr>
          <w:b/>
          <w:bCs/>
          <w:lang w:val="ru-RU"/>
        </w:rPr>
        <w:t xml:space="preserve">принимает к сведению </w:t>
      </w:r>
      <w:r w:rsidRPr="00CF5F2A">
        <w:rPr>
          <w:lang w:val="ru-RU"/>
        </w:rPr>
        <w:t>отчет, содержащийся в Документе C25/12.</w:t>
      </w:r>
    </w:p>
    <w:p w14:paraId="44FC75BB" w14:textId="77777777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5.6</w:t>
      </w:r>
      <w:r w:rsidRPr="00CF5F2A">
        <w:rPr>
          <w:lang w:val="ru-RU"/>
        </w:rPr>
        <w:tab/>
        <w:t>Наблюдатель от Российской Федерации представляет Документ C25/78, в котором предлагается пересмотреть Резолюцию 1386 (C17, последнее изменение C24) Совета МСЭ о ККТ МСЭ с целью согласования с соответствующими резолюциями Секторов на основе Резолюции 154 (</w:t>
      </w:r>
      <w:proofErr w:type="spellStart"/>
      <w:r w:rsidRPr="00CF5F2A">
        <w:rPr>
          <w:lang w:val="ru-RU"/>
        </w:rPr>
        <w:t>Пересм</w:t>
      </w:r>
      <w:proofErr w:type="spellEnd"/>
      <w:r w:rsidRPr="00CF5F2A">
        <w:rPr>
          <w:lang w:val="ru-RU"/>
        </w:rPr>
        <w:t>. Бухарест, 2022 г.) ПК об использовании шести официальных языков Союза на равной основе. Обязанности Докладчиков по терминологии должны быть закреплены в Резолюции 1386 Совета, в которой должны содержаться ссылки только на резолюции Секторов.</w:t>
      </w:r>
    </w:p>
    <w:p w14:paraId="243D5D2E" w14:textId="1CB9D79E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5.7</w:t>
      </w:r>
      <w:r w:rsidRPr="00CF5F2A">
        <w:rPr>
          <w:lang w:val="ru-RU"/>
        </w:rPr>
        <w:tab/>
      </w:r>
      <w:r w:rsidR="002349B8" w:rsidRPr="00CF5F2A">
        <w:rPr>
          <w:lang w:val="ru-RU"/>
        </w:rPr>
        <w:t xml:space="preserve">Один </w:t>
      </w:r>
      <w:r w:rsidR="00652FC0" w:rsidRPr="00CF5F2A">
        <w:rPr>
          <w:lang w:val="ru-RU"/>
        </w:rPr>
        <w:t xml:space="preserve">из </w:t>
      </w:r>
      <w:r w:rsidRPr="00CF5F2A">
        <w:rPr>
          <w:lang w:val="ru-RU"/>
        </w:rPr>
        <w:t>Советник</w:t>
      </w:r>
      <w:r w:rsidR="00652FC0" w:rsidRPr="00CF5F2A">
        <w:rPr>
          <w:lang w:val="ru-RU"/>
        </w:rPr>
        <w:t>ов</w:t>
      </w:r>
      <w:r w:rsidRPr="00CF5F2A">
        <w:rPr>
          <w:lang w:val="ru-RU"/>
        </w:rPr>
        <w:t xml:space="preserve"> выступает в поддержку этого предложения.</w:t>
      </w:r>
    </w:p>
    <w:p w14:paraId="612C63CF" w14:textId="77777777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5.8</w:t>
      </w:r>
      <w:r w:rsidRPr="00CF5F2A">
        <w:rPr>
          <w:lang w:val="ru-RU"/>
        </w:rPr>
        <w:tab/>
        <w:t>Председатель предлагает Совету утвердить проект пересмотра Резолюции 1386 (C17, последнее изменение C24), содержащийся в Документе C25/78.</w:t>
      </w:r>
    </w:p>
    <w:p w14:paraId="7EFDDB94" w14:textId="520260B7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5.9</w:t>
      </w:r>
      <w:r w:rsidRPr="00CF5F2A">
        <w:rPr>
          <w:lang w:val="ru-RU"/>
        </w:rPr>
        <w:tab/>
        <w:t xml:space="preserve">Предложение </w:t>
      </w:r>
      <w:r w:rsidRPr="00CF5F2A">
        <w:rPr>
          <w:b/>
          <w:bCs/>
          <w:lang w:val="ru-RU"/>
        </w:rPr>
        <w:t>принимается</w:t>
      </w:r>
      <w:r w:rsidRPr="00CF5F2A">
        <w:rPr>
          <w:lang w:val="ru-RU"/>
        </w:rPr>
        <w:t>.</w:t>
      </w:r>
    </w:p>
    <w:p w14:paraId="6BDDC5BB" w14:textId="5F57066D" w:rsidR="00291AC8" w:rsidRPr="00CF5F2A" w:rsidRDefault="00291AC8" w:rsidP="00291AC8">
      <w:pPr>
        <w:pStyle w:val="Heading1"/>
        <w:rPr>
          <w:lang w:val="ru-RU"/>
        </w:rPr>
      </w:pPr>
      <w:r w:rsidRPr="00CF5F2A">
        <w:rPr>
          <w:lang w:val="ru-RU"/>
        </w:rPr>
        <w:t>6</w:t>
      </w:r>
      <w:r w:rsidRPr="00CF5F2A">
        <w:rPr>
          <w:lang w:val="ru-RU"/>
        </w:rPr>
        <w:tab/>
        <w:t xml:space="preserve">Роль МСЭ в осуществлении "Повестки дня "Космос-2030": космос как двигатель устойчивого развития", а также в процессе последующей деятельности и анализа (Документ </w:t>
      </w:r>
      <w:hyperlink r:id="rId39" w:history="1">
        <w:r w:rsidRPr="00CF5F2A">
          <w:rPr>
            <w:rStyle w:val="Hyperlink"/>
            <w:lang w:val="ru-RU"/>
          </w:rPr>
          <w:t>C25/36</w:t>
        </w:r>
      </w:hyperlink>
      <w:r w:rsidRPr="00CF5F2A">
        <w:rPr>
          <w:lang w:val="ru-RU"/>
        </w:rPr>
        <w:t>)</w:t>
      </w:r>
      <w:hyperlink r:id="rId40" w:history="1"/>
    </w:p>
    <w:p w14:paraId="35F798A3" w14:textId="79159ED4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6.1</w:t>
      </w:r>
      <w:r w:rsidRPr="00CF5F2A">
        <w:rPr>
          <w:lang w:val="ru-RU"/>
        </w:rPr>
        <w:tab/>
        <w:t xml:space="preserve">Представитель БР представляет Документ C25/36, в котором кратко излагается роль МСЭ в осуществлении Повестки дня "Космос-2030". Советникам предлагается ознакомиться с Документом </w:t>
      </w:r>
      <w:hyperlink r:id="rId41" w:history="1">
        <w:r w:rsidRPr="00CF5F2A">
          <w:rPr>
            <w:rStyle w:val="Hyperlink"/>
            <w:lang w:val="ru-RU"/>
          </w:rPr>
          <w:t>C25/INF/3</w:t>
        </w:r>
      </w:hyperlink>
      <w:r w:rsidRPr="00CF5F2A">
        <w:rPr>
          <w:lang w:val="ru-RU"/>
        </w:rPr>
        <w:t xml:space="preserve"> для получения полной отчетности, требуемой в соответствии с Резолюцией 218 (Бухарест, 2022 г.) ПК, по следующим вопросам: состояние Планов, регулируемых Приложениями 30, 30A и 30B к Регламенту радиосвязи; роль МСЭ в осуществлении Повестки дня "Космос-2030"; сессии Межучрежденческого совещания Организации Объединенных Наций по космической деятельности (ООН-Космос); а также меры, осуществляемые для содействия синергии и недопущения дублирования в использовании космических технологий.</w:t>
      </w:r>
      <w:hyperlink r:id="rId42" w:history="1"/>
    </w:p>
    <w:p w14:paraId="76A768DF" w14:textId="0BCB591D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6.2</w:t>
      </w:r>
      <w:r w:rsidRPr="00CF5F2A">
        <w:rPr>
          <w:lang w:val="ru-RU"/>
        </w:rPr>
        <w:tab/>
        <w:t>Советники приветствуют этот отчет и дают высокую оценку совместному подходу "Единый МСЭ", применяемому в рамках таких эффективных инициатив, как Форум по устойчивости космической деятельности, серия мероприятий Space Connect, Портал устойчивой деятельности в космическом пространстве, а также совместное создание потенциала с Управлением Организации Объединенных Наций по вопросам космического пространства. Эти усилия вносят непосредственный вклад в достижение ЦУР, обеспечивая всеобщий доступ к космическим ресурсам, совершенствуя создание потенциала и содействуя ответственному и справедливому использованию космических технологий, особенно в развивающихся странах, где использование космических услуг играет все более важную роль в реагировании на бедствия, мониторинге климата, возможности установления соединений и преодолении цифрового разрыва.</w:t>
      </w:r>
    </w:p>
    <w:p w14:paraId="0F6F340B" w14:textId="75F7E25E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6.3</w:t>
      </w:r>
      <w:r w:rsidRPr="00CF5F2A">
        <w:rPr>
          <w:lang w:val="ru-RU"/>
        </w:rPr>
        <w:tab/>
        <w:t>Советники поддерживают инициативы МСЭ в рамках Повестки дня "Космос-2030". Они</w:t>
      </w:r>
      <w:r w:rsidR="00C048DC" w:rsidRPr="00CF5F2A">
        <w:rPr>
          <w:lang w:val="ru-RU"/>
        </w:rPr>
        <w:t> </w:t>
      </w:r>
      <w:r w:rsidRPr="00CF5F2A">
        <w:rPr>
          <w:lang w:val="ru-RU"/>
        </w:rPr>
        <w:t>призывают к дальнейшему укреплению партнерских отношений в целях расширения технической помощи и участия стран с ограниченным космическим потенциалом, запрашивают информацию о сотрудничестве и координации с другими учреждениями Организации Объединенных Наций и мерах, принимаемых для поощрения взаимодополняемости видов деятельности и недопущения дублирования.</w:t>
      </w:r>
    </w:p>
    <w:p w14:paraId="382C3561" w14:textId="40F64581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6.4</w:t>
      </w:r>
      <w:r w:rsidRPr="00CF5F2A">
        <w:rPr>
          <w:lang w:val="ru-RU"/>
        </w:rPr>
        <w:tab/>
        <w:t xml:space="preserve">Один из наблюдателей говорит, что обсуждение деятельности, осуществляемой в соответствии с Резолюциями 218 (Бухарест, 2022 г.) и 219 (Бухарест, 2022 г.) ПК, должно быть </w:t>
      </w:r>
      <w:r w:rsidRPr="00CF5F2A">
        <w:rPr>
          <w:lang w:val="ru-RU"/>
        </w:rPr>
        <w:lastRenderedPageBreak/>
        <w:t>сосредоточено исключительно на направлениях работы МСЭ, и отмечает, что деятельность, описанная в отчете, в большей степени связана с Резолюцией 219 (Бухарест, 2022 г.), чем с Резолюцией 218 (Бухарест, 2022 г.) и повесткой дня "Космос-2030". Следует позаботиться о том, чтобы избежать дублирования работы и ненужных расходов. Он напоминает, что в Резолюции 219 (Бухарест, 2022 г.) содержится призыв в срочном порядке провести исследования по вопросу об увеличении использования ресурсов радиочастотного спектра и связанных с ним орбит на орбитах НГСО, а также о долгосрочной устойчивости этих ресурсов и что в Резолюции МСЭ-R 74 этот призыв повторяется.</w:t>
      </w:r>
    </w:p>
    <w:p w14:paraId="1308AA99" w14:textId="68EEA4C5" w:rsidR="00291AC8" w:rsidRPr="00CF5F2A" w:rsidRDefault="00291AC8" w:rsidP="00291AC8">
      <w:pPr>
        <w:rPr>
          <w:lang w:val="ru-RU"/>
        </w:rPr>
      </w:pPr>
      <w:r w:rsidRPr="00CF5F2A">
        <w:rPr>
          <w:lang w:val="ru-RU"/>
        </w:rPr>
        <w:t>6.5</w:t>
      </w:r>
      <w:r w:rsidRPr="00CF5F2A">
        <w:rPr>
          <w:lang w:val="ru-RU"/>
        </w:rPr>
        <w:tab/>
        <w:t xml:space="preserve">Совет </w:t>
      </w:r>
      <w:r w:rsidRPr="00CF5F2A">
        <w:rPr>
          <w:b/>
          <w:bCs/>
          <w:lang w:val="ru-RU"/>
        </w:rPr>
        <w:t>принимает к сведению</w:t>
      </w:r>
      <w:r w:rsidRPr="00CF5F2A">
        <w:rPr>
          <w:lang w:val="ru-RU"/>
        </w:rPr>
        <w:t xml:space="preserve"> отчет, содержащийся в Документе C25/36.</w:t>
      </w:r>
    </w:p>
    <w:p w14:paraId="719A2110" w14:textId="0F4D06AC" w:rsidR="00291AC8" w:rsidRPr="00CF5F2A" w:rsidRDefault="00291AC8" w:rsidP="00A56785">
      <w:pPr>
        <w:tabs>
          <w:tab w:val="left" w:pos="6237"/>
        </w:tabs>
        <w:spacing w:before="1080"/>
        <w:jc w:val="both"/>
        <w:rPr>
          <w:szCs w:val="24"/>
          <w:lang w:val="ru-RU"/>
        </w:rPr>
      </w:pPr>
      <w:r w:rsidRPr="00CF5F2A">
        <w:rPr>
          <w:lang w:val="ru-RU"/>
        </w:rPr>
        <w:t>Генеральный секретарь:</w:t>
      </w:r>
      <w:r w:rsidRPr="00CF5F2A">
        <w:rPr>
          <w:lang w:val="ru-RU"/>
        </w:rPr>
        <w:tab/>
        <w:t>Председатель:</w:t>
      </w:r>
      <w:r w:rsidR="00A56785" w:rsidRPr="00CF5F2A">
        <w:rPr>
          <w:lang w:val="ru-RU"/>
        </w:rPr>
        <w:br/>
      </w:r>
      <w:r w:rsidRPr="00CF5F2A">
        <w:rPr>
          <w:lang w:val="ru-RU"/>
        </w:rPr>
        <w:t>Д. БОГДАН-МАРТИН</w:t>
      </w:r>
      <w:r w:rsidRPr="00CF5F2A">
        <w:rPr>
          <w:lang w:val="ru-RU"/>
        </w:rPr>
        <w:tab/>
      </w:r>
      <w:r w:rsidR="0094568E" w:rsidRPr="00CF5F2A">
        <w:rPr>
          <w:lang w:val="ru-RU"/>
        </w:rPr>
        <w:tab/>
      </w:r>
      <w:r w:rsidR="002349B8" w:rsidRPr="00CF5F2A">
        <w:rPr>
          <w:lang w:val="ru-RU"/>
        </w:rPr>
        <w:t>К</w:t>
      </w:r>
      <w:r w:rsidRPr="00CF5F2A">
        <w:rPr>
          <w:lang w:val="ru-RU"/>
        </w:rPr>
        <w:t>. ФЛУТУР</w:t>
      </w:r>
    </w:p>
    <w:sectPr w:rsidR="00291AC8" w:rsidRPr="00CF5F2A" w:rsidSect="00796BD3">
      <w:footerReference w:type="default" r:id="rId43"/>
      <w:headerReference w:type="first" r:id="rId44"/>
      <w:footerReference w:type="first" r:id="rId4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0E1D" w14:textId="77777777" w:rsidR="002134E9" w:rsidRDefault="002134E9">
      <w:r>
        <w:separator/>
      </w:r>
    </w:p>
  </w:endnote>
  <w:endnote w:type="continuationSeparator" w:id="0">
    <w:p w14:paraId="0B138B1C" w14:textId="77777777" w:rsidR="002134E9" w:rsidRDefault="0021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9E400D9" w14:textId="77777777" w:rsidTr="00E31DCE">
      <w:trPr>
        <w:jc w:val="center"/>
      </w:trPr>
      <w:tc>
        <w:tcPr>
          <w:tcW w:w="1803" w:type="dxa"/>
          <w:vAlign w:val="center"/>
        </w:tcPr>
        <w:p w14:paraId="26563921" w14:textId="500F81EA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54DA6866" w14:textId="21A4F31E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291AC8">
            <w:rPr>
              <w:bCs/>
            </w:rPr>
            <w:t>111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B015EF9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BD2E090" w14:textId="77777777" w:rsidTr="00E31DCE">
      <w:trPr>
        <w:jc w:val="center"/>
      </w:trPr>
      <w:tc>
        <w:tcPr>
          <w:tcW w:w="1803" w:type="dxa"/>
          <w:vAlign w:val="center"/>
        </w:tcPr>
        <w:p w14:paraId="0B82B936" w14:textId="77777777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310805CA" w14:textId="24542784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291AC8">
            <w:rPr>
              <w:bCs/>
            </w:rPr>
            <w:t>111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3FDC76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8B0A" w14:textId="77777777" w:rsidR="002134E9" w:rsidRDefault="002134E9">
      <w:r>
        <w:t>____________________</w:t>
      </w:r>
    </w:p>
  </w:footnote>
  <w:footnote w:type="continuationSeparator" w:id="0">
    <w:p w14:paraId="37750A27" w14:textId="77777777" w:rsidR="002134E9" w:rsidRDefault="0021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1F8D2A99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443A857C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881881D" wp14:editId="2C4F9654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141FB5C6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05A7F5DE" w14:textId="77777777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6ED89" wp14:editId="30134C28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4F21C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C8"/>
    <w:rsid w:val="00005BE0"/>
    <w:rsid w:val="0002183E"/>
    <w:rsid w:val="00030434"/>
    <w:rsid w:val="000569B4"/>
    <w:rsid w:val="0006007D"/>
    <w:rsid w:val="00080E82"/>
    <w:rsid w:val="000B2DE7"/>
    <w:rsid w:val="000E568E"/>
    <w:rsid w:val="0014229E"/>
    <w:rsid w:val="001429F9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13059"/>
    <w:rsid w:val="002134E9"/>
    <w:rsid w:val="00213A57"/>
    <w:rsid w:val="00222D08"/>
    <w:rsid w:val="00225368"/>
    <w:rsid w:val="00227FF0"/>
    <w:rsid w:val="00234345"/>
    <w:rsid w:val="002349B8"/>
    <w:rsid w:val="002727E1"/>
    <w:rsid w:val="00291AC8"/>
    <w:rsid w:val="00291EB6"/>
    <w:rsid w:val="002B12C9"/>
    <w:rsid w:val="002C3F32"/>
    <w:rsid w:val="002D2F57"/>
    <w:rsid w:val="002D48C5"/>
    <w:rsid w:val="002E4EF3"/>
    <w:rsid w:val="002F7227"/>
    <w:rsid w:val="0033025A"/>
    <w:rsid w:val="00345D2A"/>
    <w:rsid w:val="003F099E"/>
    <w:rsid w:val="003F235E"/>
    <w:rsid w:val="00401FD7"/>
    <w:rsid w:val="004023E0"/>
    <w:rsid w:val="00403DD8"/>
    <w:rsid w:val="00442515"/>
    <w:rsid w:val="0045686C"/>
    <w:rsid w:val="004918C4"/>
    <w:rsid w:val="00497703"/>
    <w:rsid w:val="004A0374"/>
    <w:rsid w:val="004A45B5"/>
    <w:rsid w:val="004D0129"/>
    <w:rsid w:val="00515795"/>
    <w:rsid w:val="00575EA9"/>
    <w:rsid w:val="005A64D5"/>
    <w:rsid w:val="005B1BF3"/>
    <w:rsid w:val="005B3DEC"/>
    <w:rsid w:val="00601994"/>
    <w:rsid w:val="00652FC0"/>
    <w:rsid w:val="00660449"/>
    <w:rsid w:val="00672F8A"/>
    <w:rsid w:val="006E2D42"/>
    <w:rsid w:val="00703676"/>
    <w:rsid w:val="00707304"/>
    <w:rsid w:val="0072052A"/>
    <w:rsid w:val="00732269"/>
    <w:rsid w:val="00762555"/>
    <w:rsid w:val="0077110E"/>
    <w:rsid w:val="00785ABD"/>
    <w:rsid w:val="00796BD3"/>
    <w:rsid w:val="007A2DD4"/>
    <w:rsid w:val="007D38B5"/>
    <w:rsid w:val="007E7EA0"/>
    <w:rsid w:val="00807255"/>
    <w:rsid w:val="0081023E"/>
    <w:rsid w:val="008173AA"/>
    <w:rsid w:val="00840A14"/>
    <w:rsid w:val="008B62B4"/>
    <w:rsid w:val="008D2D7B"/>
    <w:rsid w:val="008E0737"/>
    <w:rsid w:val="008F7C2C"/>
    <w:rsid w:val="00940E96"/>
    <w:rsid w:val="0094568E"/>
    <w:rsid w:val="00950A82"/>
    <w:rsid w:val="009B0BAE"/>
    <w:rsid w:val="009C1C89"/>
    <w:rsid w:val="009F1342"/>
    <w:rsid w:val="009F3448"/>
    <w:rsid w:val="00A01CF9"/>
    <w:rsid w:val="00A20B63"/>
    <w:rsid w:val="00A56785"/>
    <w:rsid w:val="00A71773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63E2"/>
    <w:rsid w:val="00C048DC"/>
    <w:rsid w:val="00C462C5"/>
    <w:rsid w:val="00CD2009"/>
    <w:rsid w:val="00CF5F2A"/>
    <w:rsid w:val="00CF629C"/>
    <w:rsid w:val="00D068AA"/>
    <w:rsid w:val="00D631AA"/>
    <w:rsid w:val="00D92EEA"/>
    <w:rsid w:val="00DA5D4E"/>
    <w:rsid w:val="00DA770A"/>
    <w:rsid w:val="00DF4112"/>
    <w:rsid w:val="00E05752"/>
    <w:rsid w:val="00E127AC"/>
    <w:rsid w:val="00E176BA"/>
    <w:rsid w:val="00E423EC"/>
    <w:rsid w:val="00E4748C"/>
    <w:rsid w:val="00E55121"/>
    <w:rsid w:val="00EB4FCB"/>
    <w:rsid w:val="00EC6BC5"/>
    <w:rsid w:val="00F01D28"/>
    <w:rsid w:val="00F348D0"/>
    <w:rsid w:val="00F35898"/>
    <w:rsid w:val="00F5225B"/>
    <w:rsid w:val="00F67FA7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08925"/>
  <w15:docId w15:val="{DBE0D2D3-46BD-4E63-9E38-723CB3CF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A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customStyle="1" w:styleId="normaltextrun">
    <w:name w:val="normaltextrun"/>
    <w:basedOn w:val="DefaultParagraphFont"/>
    <w:rsid w:val="00291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5-CL-C-0027/en" TargetMode="External"/><Relationship Id="rId18" Type="http://schemas.openxmlformats.org/officeDocument/2006/relationships/hyperlink" Target="https://www.itu.int/md/S25-CL-C-0043/en" TargetMode="External"/><Relationship Id="rId26" Type="http://schemas.openxmlformats.org/officeDocument/2006/relationships/hyperlink" Target="https://www.itu.int/md/S25-CL-C-0100/en" TargetMode="External"/><Relationship Id="rId39" Type="http://schemas.openxmlformats.org/officeDocument/2006/relationships/hyperlink" Target="https://www.itu.int/md/S25-CL-C-0036/en" TargetMode="External"/><Relationship Id="rId21" Type="http://schemas.openxmlformats.org/officeDocument/2006/relationships/hyperlink" Target="https://www.itu.int/md/S25-CL-C-0089/en" TargetMode="External"/><Relationship Id="rId34" Type="http://schemas.openxmlformats.org/officeDocument/2006/relationships/hyperlink" Target="https://www.itu.int/md/S25-CL-C-0078/en" TargetMode="External"/><Relationship Id="rId42" Type="http://schemas.openxmlformats.org/officeDocument/2006/relationships/hyperlink" Target="https://www.itu.int/md/S25-CL-INF-0003/en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itu.int/md/S25-CL-C-0056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25-CL-C-0036/en" TargetMode="External"/><Relationship Id="rId29" Type="http://schemas.openxmlformats.org/officeDocument/2006/relationships/hyperlink" Target="https://www.itu.int/md/S25-CL-C-0035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L-C-0089/en" TargetMode="External"/><Relationship Id="rId24" Type="http://schemas.openxmlformats.org/officeDocument/2006/relationships/hyperlink" Target="https://www.itu.int/md/S25-CL-C-0076/en" TargetMode="External"/><Relationship Id="rId32" Type="http://schemas.openxmlformats.org/officeDocument/2006/relationships/hyperlink" Target="https://www.itu.int/md/S25-CL-C-0078/en" TargetMode="External"/><Relationship Id="rId37" Type="http://schemas.openxmlformats.org/officeDocument/2006/relationships/hyperlink" Target="https://www.itu.int/md/S25-RCLCWGLANG16-C-0003/en" TargetMode="External"/><Relationship Id="rId40" Type="http://schemas.openxmlformats.org/officeDocument/2006/relationships/hyperlink" Target="https://www.itu.int/md/S25-CL-C-0036/en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5-CL-C-0078/en" TargetMode="External"/><Relationship Id="rId23" Type="http://schemas.openxmlformats.org/officeDocument/2006/relationships/hyperlink" Target="https://www.itu.int/md/S25-CL-C-0017/en" TargetMode="External"/><Relationship Id="rId28" Type="http://schemas.openxmlformats.org/officeDocument/2006/relationships/hyperlink" Target="https://www.itu.int/md/S25-CL-C-0027/en" TargetMode="External"/><Relationship Id="rId36" Type="http://schemas.openxmlformats.org/officeDocument/2006/relationships/hyperlink" Target="https://www.itu.int/md/S25-CL-INF-0007/en" TargetMode="External"/><Relationship Id="rId10" Type="http://schemas.openxmlformats.org/officeDocument/2006/relationships/hyperlink" Target="https://www.itu.int/md/S25-CL-C-0076/en" TargetMode="External"/><Relationship Id="rId19" Type="http://schemas.openxmlformats.org/officeDocument/2006/relationships/hyperlink" Target="https://www.itu.int/md/S25-CL-C-0017/en" TargetMode="External"/><Relationship Id="rId31" Type="http://schemas.openxmlformats.org/officeDocument/2006/relationships/hyperlink" Target="https://www.itu.int/md/S25-CL-C-0012/en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L-C-0017/en" TargetMode="External"/><Relationship Id="rId14" Type="http://schemas.openxmlformats.org/officeDocument/2006/relationships/hyperlink" Target="https://www.itu.int/md/S25-CL-C-0012/en" TargetMode="External"/><Relationship Id="rId22" Type="http://schemas.openxmlformats.org/officeDocument/2006/relationships/hyperlink" Target="https://www.itu.int/md/S25-CL-C-0100/en" TargetMode="External"/><Relationship Id="rId27" Type="http://schemas.openxmlformats.org/officeDocument/2006/relationships/hyperlink" Target="https://www.itu.int/md/S25-CL-C-0027/en" TargetMode="External"/><Relationship Id="rId30" Type="http://schemas.openxmlformats.org/officeDocument/2006/relationships/hyperlink" Target="https://dr-birgit-woerle.ch/lipedema/?lang=en" TargetMode="External"/><Relationship Id="rId35" Type="http://schemas.openxmlformats.org/officeDocument/2006/relationships/hyperlink" Target="https://www.itu.int/md/S25-RCLCWGLANG16-C-0003/en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itu.int/md/S25-CL-C-0096/e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tu.int/md/S25-CL-C-0100/en" TargetMode="External"/><Relationship Id="rId17" Type="http://schemas.openxmlformats.org/officeDocument/2006/relationships/hyperlink" Target="https://www.itu.int/md/S25-CL-C-0043/en" TargetMode="External"/><Relationship Id="rId25" Type="http://schemas.openxmlformats.org/officeDocument/2006/relationships/hyperlink" Target="https://www.itu.int/md/S25-CL-C-0089/en" TargetMode="External"/><Relationship Id="rId33" Type="http://schemas.openxmlformats.org/officeDocument/2006/relationships/hyperlink" Target="https://www.itu.int/md/S25-CL-C-0012/en" TargetMode="External"/><Relationship Id="rId38" Type="http://schemas.openxmlformats.org/officeDocument/2006/relationships/hyperlink" Target="https://www.itu.int/md/S25-CL-INF-0007/en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itu.int/md/S25-CL-C-0076/en" TargetMode="External"/><Relationship Id="rId41" Type="http://schemas.openxmlformats.org/officeDocument/2006/relationships/hyperlink" Target="https://www.itu.int/md/S25-CL-INF-0003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0</TotalTime>
  <Pages>9</Pages>
  <Words>3383</Words>
  <Characters>25600</Characters>
  <Application>Microsoft Office Word</Application>
  <DocSecurity>0</DocSecurity>
  <Lines>213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28926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record of the fifth Plenary meeting of Council-25</dc:title>
  <dc:subject>ITU Council 2024</dc:subject>
  <dc:creator>GBS</dc:creator>
  <cp:keywords>C2025, C25, Council-25</cp:keywords>
  <dc:description/>
  <cp:lastModifiedBy>GBS</cp:lastModifiedBy>
  <cp:revision>2</cp:revision>
  <cp:lastPrinted>2006-03-28T16:12:00Z</cp:lastPrinted>
  <dcterms:created xsi:type="dcterms:W3CDTF">2025-09-04T12:08:00Z</dcterms:created>
  <dcterms:modified xsi:type="dcterms:W3CDTF">2025-09-04T12:08:00Z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